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DBE23" w14:textId="31F541F6" w:rsidR="00CC77A7" w:rsidRPr="000A27B3" w:rsidRDefault="005D01AD" w:rsidP="005D01AD">
      <w:pPr>
        <w:pStyle w:val="Pagedecouverture"/>
        <w:rPr>
          <w:noProof/>
        </w:rPr>
      </w:pPr>
      <w:bookmarkStart w:id="0" w:name="LW_BM_COVERPAGE"/>
      <w:r>
        <w:rPr>
          <w:noProof/>
        </w:rPr>
        <w:pict w14:anchorId="3A762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1033FDBF-6EAF-4D43-AD8D-7CC97DF1912B" style="width:455.25pt;height:410.25pt">
            <v:imagedata r:id="rId11" o:title=""/>
          </v:shape>
        </w:pict>
      </w:r>
    </w:p>
    <w:bookmarkEnd w:id="0"/>
    <w:p w14:paraId="3C441AF4" w14:textId="77777777" w:rsidR="00CC77A7" w:rsidRPr="000A27B3" w:rsidRDefault="00CC77A7" w:rsidP="00CC77A7">
      <w:pPr>
        <w:rPr>
          <w:noProof/>
          <w:lang w:val="en-GB"/>
        </w:rPr>
        <w:sectPr w:rsidR="00CC77A7" w:rsidRPr="000A27B3" w:rsidSect="005D01AD">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5A471F30" w14:textId="7AEEE625" w:rsidR="00CC77A7" w:rsidRPr="000A27B3" w:rsidRDefault="00CC77A7" w:rsidP="00CC77A7">
      <w:pPr>
        <w:jc w:val="center"/>
        <w:rPr>
          <w:rFonts w:ascii="Times New Roman" w:hAnsi="Times New Roman" w:cs="Times New Roman"/>
          <w:b/>
          <w:bCs/>
          <w:noProof/>
          <w:sz w:val="24"/>
          <w:szCs w:val="24"/>
        </w:rPr>
      </w:pPr>
      <w:bookmarkStart w:id="1" w:name="_GoBack"/>
      <w:bookmarkEnd w:id="1"/>
      <w:r>
        <w:rPr>
          <w:rFonts w:ascii="Times New Roman" w:hAnsi="Times New Roman"/>
          <w:b/>
          <w:noProof/>
          <w:sz w:val="24"/>
        </w:rPr>
        <w:lastRenderedPageBreak/>
        <w:t>ANEXĂ</w:t>
      </w:r>
    </w:p>
    <w:p w14:paraId="21E1DF08" w14:textId="77777777" w:rsidR="00CC77A7" w:rsidRPr="00E06E3D" w:rsidRDefault="00CC77A7" w:rsidP="00E06E3D">
      <w:pPr>
        <w:pStyle w:val="Heading1"/>
        <w:spacing w:after="360"/>
        <w:ind w:left="851" w:hanging="851"/>
        <w:rPr>
          <w:noProof/>
        </w:rPr>
      </w:pPr>
      <w:r>
        <w:rPr>
          <w:noProof/>
        </w:rPr>
        <w:t>SECȚIUNEA 1: REFORME ȘI INVESTIȚII INCLUSE ÎN PLANUL DE REDRESARE ȘI REZILIENȚĂ</w:t>
      </w:r>
    </w:p>
    <w:p w14:paraId="13BF1A77" w14:textId="77777777" w:rsidR="00CC77A7" w:rsidRPr="00E06E3D" w:rsidRDefault="00CC77A7" w:rsidP="00E06E3D">
      <w:pPr>
        <w:pStyle w:val="Heading2"/>
        <w:rPr>
          <w:smallCaps/>
          <w:noProof/>
        </w:rPr>
      </w:pPr>
      <w:r>
        <w:rPr>
          <w:smallCaps/>
          <w:noProof/>
        </w:rPr>
        <w:t xml:space="preserve">Descrierea reformelor și a investițiilor </w:t>
      </w:r>
    </w:p>
    <w:p w14:paraId="00A20A45" w14:textId="5C3AE3EF" w:rsidR="007B1C1A" w:rsidRPr="000A27B3" w:rsidRDefault="05E346A8" w:rsidP="0E274F31">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1: Managementul apei</w:t>
      </w:r>
    </w:p>
    <w:p w14:paraId="672A6659" w14:textId="77777777" w:rsidR="007B1C1A" w:rsidRPr="000A27B3" w:rsidRDefault="007B1C1A">
      <w:pPr>
        <w:rPr>
          <w:noProof/>
          <w:lang w:val="en-GB"/>
        </w:rPr>
        <w:sectPr w:rsidR="007B1C1A" w:rsidRPr="000A27B3" w:rsidSect="00CC77A7">
          <w:headerReference w:type="even" r:id="rId18"/>
          <w:headerReference w:type="default" r:id="rId19"/>
          <w:footerReference w:type="even" r:id="rId20"/>
          <w:footerReference w:type="default" r:id="rId21"/>
          <w:headerReference w:type="first" r:id="rId22"/>
          <w:footerReference w:type="first" r:id="rId23"/>
          <w:pgSz w:w="11907" w:h="16839"/>
          <w:pgMar w:top="1134" w:right="1417" w:bottom="1134" w:left="1417" w:header="709" w:footer="709" w:gutter="0"/>
          <w:cols w:space="720"/>
          <w:docGrid w:linePitch="360"/>
        </w:sectPr>
      </w:pPr>
    </w:p>
    <w:p w14:paraId="6CD2FC0C" w14:textId="0D7E5358"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componente este asigurarea sustenabilă a apei pentru un viitor sigur al populației, mediului și economiei. În special, componenta vizează: (1) creșterea gradului de acces al populației, în special din zonele rurale, la un serviciu public de apă și canalizare conform cu cerințele legislației Uniunii Europene și asigurarea accesului tuturor categoriilor sociale la acest serviciu; (2) creșterea gradului de siguranță a acumulărilor existente; (3)</w:t>
      </w:r>
      <w:r w:rsidR="001E4096">
        <w:rPr>
          <w:rFonts w:ascii="Times New Roman" w:hAnsi="Times New Roman"/>
          <w:noProof/>
          <w:sz w:val="24"/>
        </w:rPr>
        <w:t> </w:t>
      </w:r>
      <w:r>
        <w:rPr>
          <w:rFonts w:ascii="Times New Roman" w:hAnsi="Times New Roman"/>
          <w:noProof/>
          <w:sz w:val="24"/>
        </w:rPr>
        <w:t>consolidarea capacității administrative și de răspuns a Administrației Naționale Apele Române (ANAR) în situații de urgență, în special în ceea ce privește infrastructura de gospodărire a apelor; (4) îmbunătățirea acurateței prognozelor pentru sistemele de atenționări și avertizări meteorologice în vederea reducerii numărului de decese și de răniri cauzate de fenomene meteorologice extreme.</w:t>
      </w:r>
      <w:r w:rsidR="004C4C72">
        <w:rPr>
          <w:rFonts w:ascii="Times New Roman" w:hAnsi="Times New Roman"/>
          <w:noProof/>
          <w:sz w:val="24"/>
        </w:rPr>
        <w:t xml:space="preserve"> </w:t>
      </w:r>
    </w:p>
    <w:p w14:paraId="60BC02E3"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cuprinde două reforme și șapte investiții. </w:t>
      </w:r>
    </w:p>
    <w:p w14:paraId="48DCCD47"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măsurile incluse în componentă vor aborda unele provocări evidențiate în recomandarea specifică țării de a concentra investițiile asupra tranziției verzi și a tranziției digitale, în special asupra infrastructurii de mediu, printre altele (Recomandarea specifică 4 din 2019 și Recomandarea specifică 3 din 2020).</w:t>
      </w:r>
    </w:p>
    <w:p w14:paraId="44250219"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31C94AD2" w14:textId="77777777" w:rsidR="007B1C1A" w:rsidRPr="000A27B3" w:rsidRDefault="007B1C1A">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A</w:t>
      </w:r>
      <w:r>
        <w:rPr>
          <w:rFonts w:ascii="Times New Roman" w:hAnsi="Times New Roman"/>
          <w:b/>
          <w:smallCaps/>
          <w:noProof/>
          <w:sz w:val="24"/>
        </w:rPr>
        <w:t xml:space="preserve">.1. </w:t>
      </w:r>
      <w:r>
        <w:rPr>
          <w:noProof/>
        </w:rPr>
        <w:tab/>
      </w:r>
      <w:r>
        <w:rPr>
          <w:rFonts w:ascii="Times New Roman" w:hAnsi="Times New Roman"/>
          <w:b/>
          <w:smallCaps/>
          <w:noProof/>
          <w:sz w:val="24"/>
        </w:rPr>
        <w:t>Descrierea reformelor și a investițiilor pentru care se prevede acordarea împrumutului</w:t>
      </w:r>
    </w:p>
    <w:p w14:paraId="436A7C6B" w14:textId="77777777" w:rsidR="007B1C1A" w:rsidRPr="000A27B3" w:rsidRDefault="007B1C1A">
      <w:pPr>
        <w:pStyle w:val="Standard"/>
        <w:jc w:val="both"/>
        <w:rPr>
          <w:rFonts w:ascii="Times New Roman" w:eastAsiaTheme="majorEastAsia" w:hAnsi="Times New Roman" w:cs="Times New Roman"/>
          <w:noProof/>
          <w:u w:val="single"/>
        </w:rPr>
      </w:pPr>
      <w:r>
        <w:rPr>
          <w:noProof/>
          <w:u w:val="single"/>
        </w:rPr>
        <w:t>Reforma 1. Consolidarea cadrului de reglementare pentru managementul sustenabil al sectorului de apă și apă uzată și pentru accelerarea accesului populației la servicii de calitate conform directivelor europene</w:t>
      </w:r>
    </w:p>
    <w:p w14:paraId="1E98996E"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îmbunătăți capacitatea operatorilor regionali ai infrastructurii de apă și de ape uzate, precum și calitatea și eficiența colaborării dintre aceștia și autoritățile locale / asociațiile de dezvoltare intercomunitară (ADI), proprietarii infrastructurii de apă și de ape uzate. În acest scop, se vor efectua o serie de modificări legislative și de reglementare: </w:t>
      </w:r>
    </w:p>
    <w:p w14:paraId="17BFF7D3"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1) Se vor aduce modificări Legii serviciului de alimentare cu apă și de canalizare nr. 241/2006 prin care: </w:t>
      </w:r>
    </w:p>
    <w:p w14:paraId="761954DE"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Se va aproba strategia tarifară a operatorului regional de apă și canalizare de către adunarea generală a asociațiilor de dezvoltare intercomunitară (ADI), în baza mandatului special primit de la unitățile administrativ-teritoriale. Prin această modificare, timpul necesar pentru aprobarea strategiei tarifare se va reduce semnificativ, ceea ce va permite extinderea infrastructurii de servicii de gestionare a apelor și a apelor uzate.</w:t>
      </w:r>
    </w:p>
    <w:p w14:paraId="6EE01799"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Se va impune obligația autorităților administrației publice locale de a ține evidența persoanelor fizice și juridice care nu evacuează apa uzată la rețeaua publică de canalizare și de a transmite în fiecare an lista acestor persoane către Garda Națională de Mediu. </w:t>
      </w:r>
    </w:p>
    <w:p w14:paraId="60CB35D4"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Se va impune obligația utilizatorilor de a se racorda la sistemele publice de canalizare existente, dacă nu dețin un sistem individual de colectare și epurare corespunzător.</w:t>
      </w:r>
    </w:p>
    <w:p w14:paraId="13430AA2"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rPr>
      </w:pPr>
      <w:r>
        <w:rPr>
          <w:rFonts w:ascii="Times New Roman" w:hAnsi="Times New Roman"/>
          <w:noProof/>
          <w:sz w:val="24"/>
          <w:bdr w:val="none" w:sz="0" w:space="0" w:color="auto" w:frame="1"/>
        </w:rPr>
        <w:t>Se va permite organizarea, după caz, a furnizării serviciului de alimentare cu apă numai cu condiția să se asigure colectarea apelor uzate prin sisteme individuale de colectare și epurare care asigură același nivel de protecție a mediului ca sistemele centralizate de colectare și epurare.</w:t>
      </w:r>
    </w:p>
    <w:p w14:paraId="3A3DE571"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rPr>
      </w:pPr>
      <w:r>
        <w:rPr>
          <w:rFonts w:ascii="Times New Roman" w:hAnsi="Times New Roman"/>
          <w:noProof/>
          <w:sz w:val="24"/>
        </w:rPr>
        <w:t>Se va asigura caracterul excepțional al sistemelor individuale adecvate, în sensul că ar trebui să se utilizeze aceste sisteme în situațiile în care sistemele centralizate nu sunt fezabile din punct de vedere tehnic și economic.</w:t>
      </w:r>
    </w:p>
    <w:p w14:paraId="02054EB0"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rPr>
      </w:pPr>
      <w:r>
        <w:rPr>
          <w:rFonts w:ascii="Times New Roman" w:hAnsi="Times New Roman"/>
          <w:noProof/>
          <w:sz w:val="24"/>
        </w:rPr>
        <w:t>Se va interzice evacuarea directă în mediu a apelor uzate netratate din sistemele individuale adecvate.</w:t>
      </w:r>
    </w:p>
    <w:p w14:paraId="05FC019D"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rPr>
      </w:pPr>
      <w:r>
        <w:rPr>
          <w:rFonts w:ascii="Times New Roman" w:hAnsi="Times New Roman"/>
          <w:noProof/>
          <w:sz w:val="24"/>
        </w:rPr>
        <w:t>Se vor elabora criteriile pentru autorizarea, construcția, înscrierea/înregistrarea, exploatarea și întreținerea sistemelor individuale adecvate.</w:t>
      </w:r>
    </w:p>
    <w:p w14:paraId="7C52BE90"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reformei de mai sus se va finaliza până la 31 decembrie 2021. </w:t>
      </w:r>
    </w:p>
    <w:p w14:paraId="725BF618"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2) Intrarea în vigoare a legii de aprobare a programului național „Prima conectare la apă și canalizare”, care va sprijini familiile și persoanele singure cu venituri reduse (care au media veniturilor bănești nete lunare sub salariul minim brut pe țară garantat la plată pe membru de familie) pentru plata cheltuielilor de racordare la sistemul de alimentare cu apă și de canalizare. Implementarea reformei se va finaliza până la 31 martie 2022. </w:t>
      </w:r>
    </w:p>
    <w:p w14:paraId="7D516933"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3) Semnarea acordurilor de implementare dintre Administrația Fondului pentru Mediu și autoritățile locale care participă la programul „Prima conectare la apă și canalizare”. Acordurile se va finaliza până la 31 decembrie 2022. </w:t>
      </w:r>
    </w:p>
    <w:p w14:paraId="52CE4C87"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Reformă. 2 Reconfigurarea actualului mecanism economic al Administrației Naționale Apele Române (ANAR) în vederea asigurării modernizării și întreținerii sistemului național de gospodărire a apelor, precum și a implementării corespunzătoare a Directivei-cadru privind apa și a Directivei privind inundațiile</w:t>
      </w:r>
    </w:p>
    <w:p w14:paraId="1C3E83F9"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de a asigura modernizarea și întreținerea sistemului național de gospodărire a apelului și punerea în aplicare corespunzătoare a Directivei 2000/60/CE (Directiva-cadru privind apa) și a Directivei 2007/60/CE (Directiva privind inundațiile) și de a asigura un management cât mai eficient al costurilor la nivelul ANAR. </w:t>
      </w:r>
    </w:p>
    <w:p w14:paraId="6F4B28F7"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acest scop, un nou mecanism economic care să permită ANAR să răspundă în mod optim nevoilor consumatorilor, inclusiv prin îmbunătățirea conexiunii dintre atribuții și structura de personal, va deveni operațional, prin efectuarea studiilor necesare pentru cele 11 bazine hidrografice din România, care să acopere: (i) importanța economică a gestionării și utilizării durabile a apei; (ii) tendințele privind evoluția necesarului de apă și a volumelor de apă colectate la nivelul bazinului/spațiului hidrografic și (iii) indicatorii macroeconomici pe termen mediu și lung și mecanismul optim de recuperare a costurilor pentru volumele de apă furnizate de ANAR utilizatorilor de resurse de apă în conformitate cu cerințele privind debitul ecologic. </w:t>
      </w:r>
    </w:p>
    <w:p w14:paraId="251D37B1" w14:textId="77777777"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Pe baza acestor studii, se vor adopta modificări legislative ale Legii apelor nr. 107/1996 în vederea reglementării noului mecanism economic pentru resursele de apă din România. </w:t>
      </w:r>
    </w:p>
    <w:p w14:paraId="4A09802E"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reformei se va finaliza până la 30 septembrie 2024. </w:t>
      </w:r>
    </w:p>
    <w:p w14:paraId="0A37501D" w14:textId="07FA9FBD" w:rsidR="007B1C1A" w:rsidRPr="000A27B3" w:rsidRDefault="007B1C1A" w:rsidP="009F1DC7">
      <w:pPr>
        <w:spacing w:before="120" w:after="120" w:line="240" w:lineRule="auto"/>
        <w:jc w:val="both"/>
        <w:rPr>
          <w:rFonts w:ascii="Times New Roman" w:hAnsi="Times New Roman" w:cs="Times New Roman"/>
          <w:noProof/>
          <w:sz w:val="24"/>
        </w:rPr>
      </w:pPr>
      <w:r>
        <w:rPr>
          <w:rFonts w:ascii="Times New Roman" w:hAnsi="Times New Roman"/>
          <w:noProof/>
          <w:sz w:val="24"/>
        </w:rPr>
        <w:t>Reforma 1 va fi însoțită de trei investiții – investițiile 1, 2 și 3.</w:t>
      </w:r>
      <w:r>
        <w:rPr>
          <w:noProof/>
        </w:rPr>
        <w:br w:type="page"/>
      </w:r>
    </w:p>
    <w:p w14:paraId="647A95A8"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1. Extinderea sistemelor de apă și canalizare în aglomerări mai mari de 2 000 de locuitori echivalenți, prioritizate prin Planul accelerat de conformare cu directivele europene</w:t>
      </w:r>
    </w:p>
    <w:p w14:paraId="760DDBF0"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extinde acoperirea sistemelor de apă și de colectare a apelor uzate în localitățile cu peste 2 000 de locuitori echivalenți, prioritizate prin Planul accelerat de conformare cu directivele europene. </w:t>
      </w:r>
    </w:p>
    <w:p w14:paraId="11BE12FA" w14:textId="59F71AD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Ca urmare a investiției, un total de 1 282 km de rețele de distribuție a apei și cel puțin 2 003 km de rețele de canalizare în total vor fi construite și operaționalizat în aglomerări cu peste 2 000 de locuitori echivalenți (l.e), prioritizate prin Planul accelerat de conformare cu directivele europene și în conformitate cu modificările aduse Legii nr. 241/2006 adoptate în cadrul reformei 1. </w:t>
      </w:r>
    </w:p>
    <w:p w14:paraId="5AFC7AC4"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091D2BC2"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2. Colectarea apelor uzate în aglomerări mai mici de 2 000 de locuitori echivalenți, care împiedică atingerea unei stări bune a corpurilor de apă și / sau afectează zone naturale protejate</w:t>
      </w:r>
    </w:p>
    <w:p w14:paraId="1644A19D" w14:textId="4FC380C9"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construi sisteme individuale sau alte sisteme adecvate (comune) pentru colectarea apelor uzate în aglomerări mai mici de 2 000 de locuitori echivalenți.</w:t>
      </w:r>
    </w:p>
    <w:p w14:paraId="6D00D8E9" w14:textId="62A5EBA8"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Ca urmare a investiției, un total de cel puțin 12 900 de sisteme individuale sau alte sisteme corespunzătoare și cel puțin 320 km de rețele de canalizare în total vor fi construite și operaționalizate. Investiția va începe numai după aprobarea modificărilor legislative privind sistemele individuale corespunzătoare (reforma 1) și după intrarea în vigoare a actului normativ de aprobare a Programului național pentru prima racordare la rețelele de apă și canalizare (reforma 1) și va fi conformă cu modificările aduse Legii nr. 241/2006 adoptate în cadrul reformei 1. </w:t>
      </w:r>
    </w:p>
    <w:p w14:paraId="08E0D1DD"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iunie 2026. </w:t>
      </w:r>
    </w:p>
    <w:p w14:paraId="62B73CC6"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3. Sprijinirea conectării populației cu venituri mici la rețelele de alimentare cu apă și canalizare existente</w:t>
      </w:r>
    </w:p>
    <w:p w14:paraId="47A6D80E"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să sprijine familiile și persoanele singure cu venituri reduse (care au media veniturilor bănești nete lunare sub salariul minim brut pe țară garantat la plată pe membru de familie) pentru acoperirea costurilor de racordare la sistemul public de alimentare cu apă și de canalizare.</w:t>
      </w:r>
    </w:p>
    <w:p w14:paraId="6A954D96" w14:textId="7C7D53F1"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Ca urmare a investiției, cel puțin 70 851 de gospodării suplimentare vor fi conectate la apă și canalizare prin intermediul programului național „Prima conectare la apă și canalizare”, adoptat în cadrul reformei 1. Investiția va fi implementată de autoritățile locale prin operatorii publici de apă și canalizare care administrează sistemele edilitare vizate. Investiția va finanța costurilor suportate și justificate conform prevederilor legale de către autoritățile contractante fără depășirea nivelului de 2 371 EUR/gospodărie conectată. </w:t>
      </w:r>
    </w:p>
    <w:p w14:paraId="7C5BBC2A"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iunie 2026. </w:t>
      </w:r>
    </w:p>
    <w:p w14:paraId="27C90F3C"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4. Adaptarea la schimbările climatice prin automatizarea și digitalizarea echipamentelor de evacuare și stocare a apei la acumulări existente pentru asigurarea debitului ecologic și creșterea siguranței alimentării cu apă a populației și reducerea riscului la inundații</w:t>
      </w:r>
    </w:p>
    <w:p w14:paraId="6FDF210B" w14:textId="77777777"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Investiția constă în două subinvestiții: (1) reabilitarea liniilor de apărare existente în conformitate cu Directiva privind inundațiile și cu Strategia Națională pentru Managementul Riscului la Inundații și (2) reabilitarea acumulărilor existente care riscă să se prăbușească. </w:t>
      </w:r>
    </w:p>
    <w:p w14:paraId="59F353FA" w14:textId="6ADE8182" w:rsidR="007B1C1A" w:rsidRPr="000A27B3" w:rsidRDefault="007B1C1A" w:rsidP="0908C516">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primei subinvestiții este de a reabilita liniile existente de apărare împotriva inundațiilor. Ca urmare a acestei subinvestiții, un total de cel puțin 408 km de linii de apărare împotriva inundațiilor vor fi reabilitate în conformitate cu Directiva privind inundațiile și cu Strategia Națională pentru Managementul Riscului la Inundații. Lucrările de reabilitare vor fi prioritiza zonele pe baza planurilor de prevenire și protecție și diminuarea efectelor inundațiilor și vor consta în umpluturi din materiale locale extrase din zonele dig-mal, urmate de acoperirea cu un strat vegetal înierbat </w:t>
      </w:r>
    </w:p>
    <w:p w14:paraId="408B7965" w14:textId="77777777"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Implementarea subinvestiției se va finaliza până la 31 martie 2026.</w:t>
      </w:r>
    </w:p>
    <w:p w14:paraId="034BF429" w14:textId="06571FF5" w:rsidR="007B1C1A" w:rsidRPr="000A27B3" w:rsidRDefault="007B1C1A" w:rsidP="3E5D43F5">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celei de a doua subinvestiții este de a repara și renova barajele deteriorate și polderele de prevenire a inundațiilor pe liniile existente de protecție împotriva inundațiilor, pentru a restabili și a menține capacitatea acestora de a preveni inundațiile. Subinvestiția va fi implementată prin adoptarea, până la 30 iunie 2023, a conceptelor de proiect pentru reabilitarea a 13 baraje existente, pentru care nu există alternative fezabile de reducere a riscului de inundații. Pe baza acestor concepte de proiect, vor fi reabilitate 13 baraje existente, cu privire la care studiile de fezabilitate revizuite au concluzionat că nu există alternative fezabile pentru reducerea riscurilor de inundații. Reabilitarea se va realiza conform cerințelor stabilite în studiile de fezabilitate și în conceptele de proiect și va respecta pe deplin rezultatele și condițiile stabilite în evaluarea cuprinzătoare și cumulativă a impactului asupra mediului care va fi finalizată în conformitate cu Directiva 2011/92/UE (Directiva privind evaluarea impactului asupra mediului), precum și evaluările relevante în contextul Directivei 2000/60/CE (Directiva-cadru privind apa) și evaluarea corespunzătoare în temeiul Directivei 92/43/CEE (Directiva privind habitatele), inclusiv implementarea măsurilor de atenuare necesare. Se va atinge starea ecologică bună/potențialul ecologic bun al corpurilor de apă relevante în conformitate cu cerințele Directivei-cadru privind apa, se va demonstra atingerea acesteia/acestuia pe baza celor mai recente date justificative relevante și se va evita orice deteriorare. În ceea ce privește polderele de prevenire a inundațiilor, ca urmare a acestei investiții, vor fi reabilitate sau nou-instalate 13 poldere de prevenire a inundațiilor de pe liniile de apărare împotriva inundațiilor existente.</w:t>
      </w:r>
    </w:p>
    <w:p w14:paraId="023673D2" w14:textId="77777777"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Implementarea subinvestiției se va finaliza până la 31 martie 2026. </w:t>
      </w:r>
    </w:p>
    <w:p w14:paraId="4140B653"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5. Dotarea adecvată a administrațiilor bazinale pentru monitorizarea infrastructurii, prevenirea și gestionarea situațiilor de urgență</w:t>
      </w:r>
    </w:p>
    <w:p w14:paraId="64E550B7"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investiției este de a dota ANAR/administrațiile bazinelor cu utilajele și echipamentele necesare pentru intervenție în vederea atenuării efectelor fenomenelor meteorologice extreme. </w:t>
      </w:r>
    </w:p>
    <w:p w14:paraId="6429C283" w14:textId="76A8320C"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Ca urmare a investiției, 11 administrații bazinale vor fi dotate cu utilaje pentru acces și intervenție în teren accidentat, șenilate amfibii pentru acces și transportul sacilor/digurilor mobile în zone greu accesibile; drone dotate cu senzori LIDAR/FLIR/fotogrametrie; tehnologii geoelectrorezistive/georadar pentru corpurile digurilor, precum și infrastructură hardware și software pentru analiza datelor și stocarea datelor colectate de echipamentele menționate mai sus, pentru a sprijini și a îmbunătăți prevenirea inundațiilor și răspunsul la situații de urgență.</w:t>
      </w:r>
      <w:r w:rsidR="004C4C72">
        <w:rPr>
          <w:rFonts w:ascii="Times New Roman" w:hAnsi="Times New Roman"/>
          <w:noProof/>
          <w:sz w:val="24"/>
        </w:rPr>
        <w:t xml:space="preserve"> </w:t>
      </w:r>
    </w:p>
    <w:p w14:paraId="523B156D" w14:textId="45D9C31D" w:rsidR="007B1C1A" w:rsidRPr="000A27B3" w:rsidRDefault="05E346A8">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această măsură nu va prejudicia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eventualele vehicule care vor fi achiziționate vor trebui să aibă emisii specifice de CO2, astfel cum sunt definite la articolul 3 alineatul (1) litera (h) din Regulamentul (UE) 2019/631, mai mici de 50gCO2/km. </w:t>
      </w:r>
    </w:p>
    <w:p w14:paraId="5DAB6C7B" w14:textId="34CEDC2B" w:rsidR="007B1C1A" w:rsidRPr="000A27B3" w:rsidRDefault="007B1C1A" w:rsidP="009F1DC7">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Implementarea investiției va fi finalizată până la 31 decembrie 2024. </w:t>
      </w:r>
      <w:r>
        <w:rPr>
          <w:noProof/>
        </w:rPr>
        <w:br w:type="page"/>
      </w:r>
    </w:p>
    <w:p w14:paraId="64E597EC"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6. Realizarea cadastrului apelor</w:t>
      </w:r>
    </w:p>
    <w:p w14:paraId="69C904D2"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delimita rapid albiile minore ale cursurilor de apă, utilizând tehnici de interpretare și prelucrare semiautomata a informațiilor satelitare disponibile la nivel mondial și european pentru aproximativ 70 % din lungimea cursurilor de apa cadastrate, determinarea prin metode semiautomate a zonelor active hidromorfologic (eroziune/sedimentare) care să sprijine punerea în aplicare a Directivei-cadru privind apa, a punctelor critice ale infrastructurilor longitudinale ale cursurilor de apă (diguri, apărări de mal) în vederea prioritizării punerii în aplicare a Directivei privind inundațiile. </w:t>
      </w:r>
    </w:p>
    <w:p w14:paraId="0FBB6235"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Cadastrul apelor va fi elaborat și operaționalizat prin (i) achiziționarea unui model digital de teren (DTM)/ model digital de suprafață (DSM) la nivel național, bazat pe informații satelitare, care va fi pus la dispoziția tuturor autorităților de stat; (ii) dezvoltarea de software pentru determinarea modificării albiei râurilor (procesul de eroziune/sedimentare), monitorizarea extracției de pietriș și potențialul de alunecare a solului în zonele cu baraje și lacuri de acumulare; (iii) digitizarea și delimitarea semiautomată a albiile minore ale cursurilor de apă pe baza imaginilor ortofoto DTM/DSM și a imaginilor satelitare.</w:t>
      </w:r>
    </w:p>
    <w:p w14:paraId="52FB55FE"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se va finaliza până la 31 decembrie 2025. </w:t>
      </w:r>
    </w:p>
    <w:p w14:paraId="38E7F4C9" w14:textId="77777777" w:rsidR="007B1C1A" w:rsidRPr="000A27B3" w:rsidRDefault="007B1C1A">
      <w:pPr>
        <w:pStyle w:val="Standard"/>
        <w:spacing w:before="240"/>
        <w:jc w:val="both"/>
        <w:rPr>
          <w:rFonts w:ascii="Times New Roman" w:eastAsiaTheme="majorEastAsia" w:hAnsi="Times New Roman" w:cs="Times New Roman"/>
          <w:noProof/>
          <w:u w:val="single"/>
        </w:rPr>
      </w:pPr>
      <w:r>
        <w:rPr>
          <w:noProof/>
          <w:u w:val="single"/>
        </w:rPr>
        <w:t>Investiția 7. Extinderea rețelei naționale de observații din cadrul Sistemului Meteorologic Integrat Național (SIMIN)</w:t>
      </w:r>
    </w:p>
    <w:p w14:paraId="661780B8"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spori capacitatea de a prognoza fenomenele de vreme severă imediată (de tip nowcasting), ceea ce va duce la diminuarea sau prevenirea efectelor negative ale acestor fenomene. Acest lucru se va realiza prin extinderea rețelei naționale de observații din cadrul Sistemului Meteorologic Național Integrat (SIMIN) cu stații meteorologice automate și autonome de suprafață și stații agrometeorologice. </w:t>
      </w:r>
    </w:p>
    <w:p w14:paraId="7A45FA57" w14:textId="77777777"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Ca urmare a acestei investiții, 300 de stații meteorologice automate și autonome de suprafață și 100 de stații agrometeorologice vor fi achiziționate și operaționalizate până la 31 decembrie 2025. În plus, tehnologia informației și comunicațiilor pentru integrarea stațiilor meteorologice suplimentare în cadrul Sistemul Meteorologic Integrat Național (SIMIN) va fi operaționalizată până la 30 iunie 2026.</w:t>
      </w:r>
    </w:p>
    <w:p w14:paraId="3D18D682" w14:textId="77777777" w:rsidR="007B1C1A" w:rsidRPr="000A27B3" w:rsidRDefault="007B1C1A">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Implementarea investiției va fi finalizată până la 30 iunie 2026. </w:t>
      </w:r>
    </w:p>
    <w:p w14:paraId="29D6B04F" w14:textId="77777777" w:rsidR="007B1C1A" w:rsidRPr="000A27B3" w:rsidRDefault="007B1C1A">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w:t>
      </w:r>
    </w:p>
    <w:p w14:paraId="02EB378F" w14:textId="77777777" w:rsidR="007B1C1A" w:rsidRPr="009F1DC7" w:rsidRDefault="007B1C1A">
      <w:pPr>
        <w:spacing w:before="120" w:after="120" w:line="240" w:lineRule="auto"/>
        <w:jc w:val="both"/>
        <w:rPr>
          <w:rFonts w:ascii="Times New Roman" w:hAnsi="Times New Roman" w:cs="Times New Roman"/>
          <w:noProof/>
          <w:sz w:val="24"/>
          <w:szCs w:val="24"/>
          <w:lang w:val="fr-FR"/>
        </w:rPr>
        <w:sectPr w:rsidR="007B1C1A" w:rsidRPr="009F1DC7">
          <w:headerReference w:type="even" r:id="rId24"/>
          <w:headerReference w:type="default" r:id="rId25"/>
          <w:footerReference w:type="even" r:id="rId26"/>
          <w:footerReference w:type="default" r:id="rId27"/>
          <w:headerReference w:type="first" r:id="rId28"/>
          <w:footerReference w:type="first" r:id="rId29"/>
          <w:type w:val="continuous"/>
          <w:pgSz w:w="11907" w:h="16839"/>
          <w:pgMar w:top="1134" w:right="1417" w:bottom="1134" w:left="1417" w:header="709" w:footer="709" w:gutter="0"/>
          <w:cols w:space="720"/>
          <w:docGrid w:linePitch="360"/>
        </w:sectPr>
      </w:pPr>
    </w:p>
    <w:p w14:paraId="3A3388DC" w14:textId="77777777" w:rsidR="007B1C1A" w:rsidRPr="000A27B3" w:rsidRDefault="007B1C1A">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A.2. </w:t>
      </w:r>
      <w:r>
        <w:rPr>
          <w:noProof/>
        </w:rPr>
        <w:tab/>
      </w:r>
      <w:r>
        <w:rPr>
          <w:rFonts w:ascii="Times New Roman" w:hAnsi="Times New Roman"/>
          <w:b/>
          <w:noProof/>
          <w:sz w:val="24"/>
        </w:rPr>
        <w:t>Jaloane, ținte, indicatori și calendarul de monitorizare și implementare aplicabile împrumutului</w:t>
      </w:r>
    </w:p>
    <w:tbl>
      <w:tblPr>
        <w:tblW w:w="15688" w:type="dxa"/>
        <w:jc w:val="center"/>
        <w:tblLayout w:type="fixed"/>
        <w:tblLook w:val="04A0" w:firstRow="1" w:lastRow="0" w:firstColumn="1" w:lastColumn="0" w:noHBand="0" w:noVBand="1"/>
      </w:tblPr>
      <w:tblGrid>
        <w:gridCol w:w="955"/>
        <w:gridCol w:w="2117"/>
        <w:gridCol w:w="1123"/>
        <w:gridCol w:w="1560"/>
        <w:gridCol w:w="1680"/>
        <w:gridCol w:w="1320"/>
        <w:gridCol w:w="1200"/>
        <w:gridCol w:w="840"/>
        <w:gridCol w:w="1316"/>
        <w:gridCol w:w="742"/>
        <w:gridCol w:w="2835"/>
      </w:tblGrid>
      <w:tr w:rsidR="000A27B3" w:rsidRPr="000A27B3" w14:paraId="0605486A" w14:textId="77777777" w:rsidTr="008F1E27">
        <w:trPr>
          <w:trHeight w:val="927"/>
          <w:tblHeader/>
          <w:jc w:val="center"/>
        </w:trPr>
        <w:tc>
          <w:tcPr>
            <w:tcW w:w="9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B5A68C"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21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695AC7"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1AB82C" w14:textId="2DCCFB2F"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8F1E27">
              <w:rPr>
                <w:rFonts w:ascii="Times New Roman" w:hAnsi="Times New Roman"/>
                <w:b/>
                <w:noProof/>
                <w:sz w:val="24"/>
              </w:rPr>
              <w:br/>
            </w:r>
            <w:r>
              <w:rPr>
                <w:rFonts w:ascii="Times New Roman" w:hAnsi="Times New Roman"/>
                <w:b/>
                <w:noProof/>
                <w:sz w:val="24"/>
              </w:rPr>
              <w:t>țintă</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909AED"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4A854D"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309D3E62"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36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66F4D67"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405427CF" w14:textId="453435F6"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58"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EDADFDA"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w:t>
            </w:r>
          </w:p>
          <w:p w14:paraId="2BD886A6" w14:textId="3EB942CE"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pentru atingerea jaloanelor/</w:t>
            </w:r>
            <w:r w:rsidR="008F1E27">
              <w:rPr>
                <w:rFonts w:ascii="Times New Roman" w:hAnsi="Times New Roman"/>
                <w:b/>
                <w:noProof/>
                <w:sz w:val="24"/>
              </w:rPr>
              <w:br/>
            </w:r>
            <w:r>
              <w:rPr>
                <w:rFonts w:ascii="Times New Roman" w:hAnsi="Times New Roman"/>
                <w:b/>
                <w:noProof/>
                <w:sz w:val="24"/>
              </w:rPr>
              <w:t>țintelor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B83F06"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48CA1EE" w14:textId="77777777" w:rsidTr="008F1E27">
        <w:trPr>
          <w:trHeight w:val="1013"/>
          <w:tblHeader/>
          <w:jc w:val="center"/>
        </w:trPr>
        <w:tc>
          <w:tcPr>
            <w:tcW w:w="955" w:type="dxa"/>
            <w:vMerge/>
            <w:tcBorders>
              <w:top w:val="single" w:sz="4" w:space="0" w:color="auto"/>
              <w:left w:val="single" w:sz="4" w:space="0" w:color="auto"/>
              <w:bottom w:val="single" w:sz="4" w:space="0" w:color="auto"/>
              <w:right w:val="single" w:sz="4" w:space="0" w:color="auto"/>
            </w:tcBorders>
            <w:hideMark/>
          </w:tcPr>
          <w:p w14:paraId="6A05A809" w14:textId="77777777" w:rsidR="007B1C1A" w:rsidRPr="009F1DC7" w:rsidRDefault="007B1C1A">
            <w:pPr>
              <w:spacing w:after="0" w:line="240" w:lineRule="auto"/>
              <w:jc w:val="center"/>
              <w:rPr>
                <w:rFonts w:ascii="Times New Roman" w:eastAsia="Times New Roman" w:hAnsi="Times New Roman" w:cs="Times New Roman"/>
                <w:b/>
                <w:bCs/>
                <w:noProof/>
                <w:sz w:val="24"/>
                <w:szCs w:val="24"/>
                <w:lang w:eastAsia="en-GB"/>
              </w:rPr>
            </w:pPr>
          </w:p>
        </w:tc>
        <w:tc>
          <w:tcPr>
            <w:tcW w:w="2117" w:type="dxa"/>
            <w:vMerge/>
            <w:tcBorders>
              <w:top w:val="single" w:sz="4" w:space="0" w:color="auto"/>
              <w:left w:val="single" w:sz="4" w:space="0" w:color="auto"/>
              <w:bottom w:val="single" w:sz="4" w:space="0" w:color="auto"/>
              <w:right w:val="single" w:sz="4" w:space="0" w:color="auto"/>
            </w:tcBorders>
            <w:hideMark/>
          </w:tcPr>
          <w:p w14:paraId="5A39BBE3" w14:textId="77777777" w:rsidR="007B1C1A" w:rsidRPr="009F1DC7" w:rsidRDefault="007B1C1A">
            <w:pPr>
              <w:spacing w:after="0" w:line="240" w:lineRule="auto"/>
              <w:jc w:val="both"/>
              <w:rPr>
                <w:rFonts w:ascii="Times New Roman" w:eastAsia="Times New Roman" w:hAnsi="Times New Roman" w:cs="Times New Roman"/>
                <w:b/>
                <w:bCs/>
                <w:noProof/>
                <w:sz w:val="24"/>
                <w:szCs w:val="24"/>
                <w:lang w:eastAsia="en-GB"/>
              </w:rPr>
            </w:pPr>
          </w:p>
        </w:tc>
        <w:tc>
          <w:tcPr>
            <w:tcW w:w="1123" w:type="dxa"/>
            <w:vMerge/>
            <w:tcBorders>
              <w:top w:val="single" w:sz="4" w:space="0" w:color="auto"/>
              <w:left w:val="single" w:sz="4" w:space="0" w:color="auto"/>
              <w:bottom w:val="single" w:sz="4" w:space="0" w:color="auto"/>
              <w:right w:val="single" w:sz="4" w:space="0" w:color="auto"/>
            </w:tcBorders>
            <w:hideMark/>
          </w:tcPr>
          <w:p w14:paraId="41C8F396" w14:textId="77777777" w:rsidR="007B1C1A" w:rsidRPr="009F1DC7" w:rsidRDefault="007B1C1A">
            <w:pPr>
              <w:spacing w:after="0" w:line="240" w:lineRule="auto"/>
              <w:jc w:val="center"/>
              <w:rPr>
                <w:rFonts w:ascii="Times New Roman" w:eastAsia="Times New Roman" w:hAnsi="Times New Roman" w:cs="Times New Roman"/>
                <w:b/>
                <w:bCs/>
                <w:noProof/>
                <w:sz w:val="24"/>
                <w:szCs w:val="24"/>
                <w:lang w:eastAsia="en-GB"/>
              </w:rPr>
            </w:pPr>
          </w:p>
        </w:tc>
        <w:tc>
          <w:tcPr>
            <w:tcW w:w="1560" w:type="dxa"/>
            <w:vMerge/>
            <w:tcBorders>
              <w:top w:val="single" w:sz="4" w:space="0" w:color="auto"/>
              <w:left w:val="single" w:sz="4" w:space="0" w:color="auto"/>
              <w:bottom w:val="single" w:sz="4" w:space="0" w:color="auto"/>
              <w:right w:val="single" w:sz="4" w:space="0" w:color="auto"/>
            </w:tcBorders>
            <w:hideMark/>
          </w:tcPr>
          <w:p w14:paraId="72A3D3EC" w14:textId="77777777" w:rsidR="007B1C1A" w:rsidRPr="009F1DC7" w:rsidRDefault="007B1C1A">
            <w:pPr>
              <w:spacing w:after="0" w:line="240" w:lineRule="auto"/>
              <w:jc w:val="both"/>
              <w:rPr>
                <w:rFonts w:ascii="Times New Roman" w:eastAsia="Times New Roman" w:hAnsi="Times New Roman" w:cs="Times New Roman"/>
                <w:b/>
                <w:bCs/>
                <w:noProof/>
                <w:sz w:val="24"/>
                <w:szCs w:val="24"/>
                <w:lang w:eastAsia="en-GB"/>
              </w:rPr>
            </w:pPr>
          </w:p>
        </w:tc>
        <w:tc>
          <w:tcPr>
            <w:tcW w:w="1680" w:type="dxa"/>
            <w:vMerge/>
            <w:tcBorders>
              <w:top w:val="single" w:sz="4" w:space="0" w:color="auto"/>
              <w:left w:val="single" w:sz="4" w:space="0" w:color="auto"/>
              <w:bottom w:val="single" w:sz="4" w:space="0" w:color="auto"/>
              <w:right w:val="single" w:sz="4" w:space="0" w:color="auto"/>
            </w:tcBorders>
            <w:hideMark/>
          </w:tcPr>
          <w:p w14:paraId="0D0B940D" w14:textId="77777777" w:rsidR="007B1C1A" w:rsidRPr="009F1DC7" w:rsidRDefault="007B1C1A">
            <w:pPr>
              <w:spacing w:after="0" w:line="240" w:lineRule="auto"/>
              <w:jc w:val="both"/>
              <w:rPr>
                <w:rFonts w:ascii="Times New Roman" w:eastAsia="Times New Roman" w:hAnsi="Times New Roman" w:cs="Times New Roman"/>
                <w:b/>
                <w:bCs/>
                <w:noProof/>
                <w:sz w:val="24"/>
                <w:szCs w:val="24"/>
                <w:lang w:eastAsia="en-GB"/>
              </w:rPr>
            </w:pPr>
          </w:p>
        </w:tc>
        <w:tc>
          <w:tcPr>
            <w:tcW w:w="13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FFE63E3"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w:t>
            </w:r>
          </w:p>
          <w:p w14:paraId="3FF70910"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w:t>
            </w:r>
          </w:p>
          <w:p w14:paraId="6BF87FA2"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w:t>
            </w:r>
          </w:p>
        </w:tc>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1D7DF87" w14:textId="3B8621ED" w:rsidR="007B1C1A" w:rsidRPr="000A27B3" w:rsidRDefault="007B1C1A" w:rsidP="007027BF">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84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996A6EA"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31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4400C56"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4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C72651D" w14:textId="77777777" w:rsidR="007B1C1A" w:rsidRPr="000A27B3" w:rsidRDefault="007B1C1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2835" w:type="dxa"/>
            <w:vMerge/>
            <w:tcBorders>
              <w:top w:val="single" w:sz="4" w:space="0" w:color="auto"/>
              <w:bottom w:val="single" w:sz="4" w:space="0" w:color="auto"/>
              <w:right w:val="single" w:sz="4" w:space="0" w:color="auto"/>
            </w:tcBorders>
            <w:hideMark/>
          </w:tcPr>
          <w:p w14:paraId="0E27B00A" w14:textId="77777777" w:rsidR="007B1C1A" w:rsidRPr="000A27B3" w:rsidRDefault="007B1C1A">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0914803C" w14:textId="77777777" w:rsidTr="008F1E27">
        <w:trPr>
          <w:trHeight w:val="309"/>
          <w:jc w:val="center"/>
        </w:trPr>
        <w:tc>
          <w:tcPr>
            <w:tcW w:w="955" w:type="dxa"/>
            <w:tcBorders>
              <w:top w:val="single" w:sz="4" w:space="0" w:color="auto"/>
              <w:left w:val="single" w:sz="4" w:space="0" w:color="auto"/>
              <w:bottom w:val="single" w:sz="4" w:space="0" w:color="auto"/>
              <w:right w:val="single" w:sz="4" w:space="0" w:color="auto"/>
            </w:tcBorders>
            <w:shd w:val="clear" w:color="auto" w:fill="C6EFCE"/>
            <w:noWrap/>
            <w:hideMark/>
          </w:tcPr>
          <w:p w14:paraId="649841BE"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w:t>
            </w:r>
          </w:p>
        </w:tc>
        <w:tc>
          <w:tcPr>
            <w:tcW w:w="2117" w:type="dxa"/>
            <w:tcBorders>
              <w:top w:val="single" w:sz="4" w:space="0" w:color="auto"/>
              <w:left w:val="nil"/>
              <w:bottom w:val="single" w:sz="4" w:space="0" w:color="auto"/>
              <w:right w:val="single" w:sz="4" w:space="0" w:color="auto"/>
            </w:tcBorders>
            <w:shd w:val="clear" w:color="auto" w:fill="C6EFCE"/>
            <w:noWrap/>
            <w:hideMark/>
          </w:tcPr>
          <w:p w14:paraId="203D5FB8" w14:textId="77777777" w:rsidR="007B1C1A" w:rsidRPr="000A27B3" w:rsidRDefault="007B1C1A" w:rsidP="007027BF">
            <w:pPr>
              <w:spacing w:after="0" w:line="240" w:lineRule="auto"/>
              <w:rPr>
                <w:rFonts w:ascii="Times New Roman" w:eastAsia="Times New Roman" w:hAnsi="Times New Roman" w:cs="Times New Roman"/>
                <w:noProof/>
                <w:sz w:val="24"/>
              </w:rPr>
            </w:pPr>
            <w:r>
              <w:rPr>
                <w:rFonts w:ascii="Times New Roman" w:hAnsi="Times New Roman"/>
                <w:noProof/>
                <w:sz w:val="24"/>
              </w:rPr>
              <w:t>Reforma 1. Consolidarea cadrului de reglementare pentru managementul sustenabil al sectorului de apă și apă uzată și pentru accelerarea accesului populației la servicii de calitate conform directivelor europene</w:t>
            </w:r>
          </w:p>
        </w:tc>
        <w:tc>
          <w:tcPr>
            <w:tcW w:w="1123" w:type="dxa"/>
            <w:tcBorders>
              <w:top w:val="single" w:sz="4" w:space="0" w:color="auto"/>
              <w:left w:val="nil"/>
              <w:bottom w:val="single" w:sz="4" w:space="0" w:color="auto"/>
              <w:right w:val="single" w:sz="4" w:space="0" w:color="auto"/>
            </w:tcBorders>
            <w:shd w:val="clear" w:color="auto" w:fill="C6EFCE"/>
            <w:noWrap/>
            <w:hideMark/>
          </w:tcPr>
          <w:p w14:paraId="24421DF3"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60" w:type="dxa"/>
            <w:tcBorders>
              <w:top w:val="single" w:sz="4" w:space="0" w:color="auto"/>
              <w:left w:val="nil"/>
              <w:bottom w:val="single" w:sz="4" w:space="0" w:color="auto"/>
              <w:right w:val="single" w:sz="4" w:space="0" w:color="auto"/>
            </w:tcBorders>
            <w:shd w:val="clear" w:color="auto" w:fill="C6EFCE"/>
            <w:noWrap/>
            <w:hideMark/>
          </w:tcPr>
          <w:p w14:paraId="55820A5E" w14:textId="77777777" w:rsidR="007B1C1A" w:rsidRPr="000A27B3" w:rsidRDefault="007B1C1A" w:rsidP="007027BF">
            <w:pPr>
              <w:spacing w:after="0" w:line="240" w:lineRule="auto"/>
              <w:rPr>
                <w:rFonts w:ascii="Times New Roman" w:eastAsia="Times New Roman" w:hAnsi="Times New Roman" w:cs="Times New Roman"/>
                <w:noProof/>
                <w:sz w:val="24"/>
              </w:rPr>
            </w:pPr>
            <w:r>
              <w:rPr>
                <w:rFonts w:ascii="Times New Roman" w:hAnsi="Times New Roman"/>
                <w:noProof/>
                <w:sz w:val="24"/>
              </w:rPr>
              <w:t xml:space="preserve">Intrarea în vigoare a modificărilor aduse Legii serviciului de alimentare cu apă și de canalizare nr. 241/2006 </w:t>
            </w:r>
          </w:p>
        </w:tc>
        <w:tc>
          <w:tcPr>
            <w:tcW w:w="1680" w:type="dxa"/>
            <w:tcBorders>
              <w:top w:val="single" w:sz="4" w:space="0" w:color="auto"/>
              <w:left w:val="nil"/>
              <w:bottom w:val="single" w:sz="4" w:space="0" w:color="auto"/>
              <w:right w:val="single" w:sz="4" w:space="0" w:color="auto"/>
            </w:tcBorders>
            <w:shd w:val="clear" w:color="auto" w:fill="C6EFCE"/>
            <w:noWrap/>
            <w:hideMark/>
          </w:tcPr>
          <w:p w14:paraId="1C7E17A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Dispoziție legală care indică intrarea în vigoare a legii </w:t>
            </w:r>
          </w:p>
        </w:tc>
        <w:tc>
          <w:tcPr>
            <w:tcW w:w="1320" w:type="dxa"/>
            <w:tcBorders>
              <w:top w:val="single" w:sz="4" w:space="0" w:color="auto"/>
              <w:left w:val="nil"/>
              <w:bottom w:val="single" w:sz="4" w:space="0" w:color="auto"/>
              <w:right w:val="single" w:sz="4" w:space="0" w:color="auto"/>
            </w:tcBorders>
            <w:shd w:val="clear" w:color="auto" w:fill="C6EFCE"/>
            <w:noWrap/>
            <w:hideMark/>
          </w:tcPr>
          <w:p w14:paraId="60061E4C"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hideMark/>
          </w:tcPr>
          <w:p w14:paraId="44EAFD9C"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840" w:type="dxa"/>
            <w:tcBorders>
              <w:top w:val="single" w:sz="4" w:space="0" w:color="auto"/>
              <w:left w:val="nil"/>
              <w:bottom w:val="single" w:sz="4" w:space="0" w:color="auto"/>
              <w:right w:val="single" w:sz="4" w:space="0" w:color="auto"/>
            </w:tcBorders>
            <w:shd w:val="clear" w:color="auto" w:fill="C6EFCE"/>
            <w:noWrap/>
            <w:hideMark/>
          </w:tcPr>
          <w:p w14:paraId="4B94D5A5"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1316" w:type="dxa"/>
            <w:tcBorders>
              <w:top w:val="single" w:sz="4" w:space="0" w:color="auto"/>
              <w:left w:val="nil"/>
              <w:bottom w:val="single" w:sz="4" w:space="0" w:color="auto"/>
              <w:right w:val="single" w:sz="4" w:space="0" w:color="auto"/>
            </w:tcBorders>
            <w:shd w:val="clear" w:color="auto" w:fill="C6EFCE"/>
            <w:noWrap/>
            <w:hideMark/>
          </w:tcPr>
          <w:p w14:paraId="0943417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2" w:type="dxa"/>
            <w:tcBorders>
              <w:top w:val="single" w:sz="4" w:space="0" w:color="auto"/>
              <w:left w:val="nil"/>
              <w:bottom w:val="single" w:sz="4" w:space="0" w:color="auto"/>
              <w:right w:val="single" w:sz="4" w:space="0" w:color="auto"/>
            </w:tcBorders>
            <w:shd w:val="clear" w:color="auto" w:fill="C6EFCE"/>
            <w:noWrap/>
            <w:hideMark/>
          </w:tcPr>
          <w:p w14:paraId="65B281B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2021</w:t>
            </w:r>
          </w:p>
        </w:tc>
        <w:tc>
          <w:tcPr>
            <w:tcW w:w="2835" w:type="dxa"/>
            <w:tcBorders>
              <w:top w:val="single" w:sz="4" w:space="0" w:color="auto"/>
              <w:left w:val="nil"/>
              <w:bottom w:val="single" w:sz="4" w:space="0" w:color="auto"/>
              <w:right w:val="single" w:sz="4" w:space="0" w:color="auto"/>
            </w:tcBorders>
            <w:shd w:val="clear" w:color="auto" w:fill="C6EFCE"/>
            <w:noWrap/>
          </w:tcPr>
          <w:p w14:paraId="15F043B6"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modificărilor aduse Legii serviciului de alimentare cu apă și de canalizare nr. 241/2006 prin care:</w:t>
            </w:r>
          </w:p>
          <w:p w14:paraId="23F16F12" w14:textId="77777777" w:rsidR="007B1C1A" w:rsidRPr="000A27B3" w:rsidRDefault="007B1C1A" w:rsidP="007B1C1A">
            <w:pPr>
              <w:pStyle w:val="ListParagraph"/>
              <w:numPr>
                <w:ilvl w:val="0"/>
                <w:numId w:val="3"/>
              </w:numPr>
              <w:spacing w:after="0" w:line="240" w:lineRule="auto"/>
              <w:ind w:left="175" w:hanging="223"/>
              <w:jc w:val="both"/>
              <w:rPr>
                <w:rFonts w:ascii="Times New Roman" w:eastAsia="Times New Roman" w:hAnsi="Times New Roman" w:cs="Times New Roman"/>
                <w:noProof/>
                <w:sz w:val="24"/>
              </w:rPr>
            </w:pPr>
            <w:r>
              <w:rPr>
                <w:rFonts w:ascii="Times New Roman" w:hAnsi="Times New Roman"/>
                <w:noProof/>
                <w:sz w:val="24"/>
              </w:rPr>
              <w:t>Se va permite aprobarea strategiei tarifare a operatorului regional de apă și canalizare de către adunarea generală a asociațiilor de dezvoltare intercomunitară (ADI), în baza mandatului special primit de la unitățile administrativ-teritoriale. Prin această modificare, timpul necesar pentru aprobarea strategiei tarifare se va reduce semnificativ, ceea ce va permite extinderea infrastructurii de servicii de gestionare a apelor și a apelor uzate.</w:t>
            </w:r>
          </w:p>
          <w:p w14:paraId="693C78AE" w14:textId="77777777" w:rsidR="007B1C1A" w:rsidRPr="000A27B3" w:rsidRDefault="007B1C1A" w:rsidP="007B1C1A">
            <w:pPr>
              <w:pStyle w:val="ListParagraph"/>
              <w:numPr>
                <w:ilvl w:val="0"/>
                <w:numId w:val="3"/>
              </w:numPr>
              <w:spacing w:after="0" w:line="240" w:lineRule="auto"/>
              <w:ind w:left="175" w:hanging="223"/>
              <w:jc w:val="both"/>
              <w:rPr>
                <w:rFonts w:ascii="Times New Roman" w:eastAsia="Times New Roman" w:hAnsi="Times New Roman" w:cs="Times New Roman"/>
                <w:noProof/>
                <w:sz w:val="24"/>
              </w:rPr>
            </w:pPr>
            <w:r>
              <w:rPr>
                <w:rFonts w:ascii="Times New Roman" w:hAnsi="Times New Roman"/>
                <w:noProof/>
                <w:sz w:val="24"/>
              </w:rPr>
              <w:t xml:space="preserve">Se va impune obligația autorităților administrației publice locale de a ține evidența persoanelor fizice și juridice care nu evacuează apa uzată la rețeaua publică de canalizare și de a transmite în fiecare an lista acestor persoane către Garda Națională de Mediu. </w:t>
            </w:r>
          </w:p>
          <w:p w14:paraId="1DD36739" w14:textId="77777777" w:rsidR="007B1C1A" w:rsidRPr="000A27B3" w:rsidRDefault="007B1C1A" w:rsidP="007B1C1A">
            <w:pPr>
              <w:pStyle w:val="ListParagraph"/>
              <w:numPr>
                <w:ilvl w:val="0"/>
                <w:numId w:val="3"/>
              </w:numPr>
              <w:spacing w:after="0" w:line="240" w:lineRule="auto"/>
              <w:ind w:left="175" w:hanging="223"/>
              <w:jc w:val="both"/>
              <w:rPr>
                <w:rFonts w:ascii="Times New Roman" w:eastAsia="Times New Roman" w:hAnsi="Times New Roman" w:cs="Times New Roman"/>
                <w:noProof/>
                <w:sz w:val="24"/>
              </w:rPr>
            </w:pPr>
            <w:r>
              <w:rPr>
                <w:rFonts w:ascii="Times New Roman" w:hAnsi="Times New Roman"/>
                <w:noProof/>
                <w:sz w:val="24"/>
              </w:rPr>
              <w:t>Se va impune obligația utilizatorilor de a se racorda la sistemele publice de canalizare existente, dacă nu dețin un sistem individual de colectare și epurare corespunzător.</w:t>
            </w:r>
          </w:p>
          <w:p w14:paraId="0B83DA9B" w14:textId="77777777" w:rsidR="007B1C1A" w:rsidRPr="000A27B3" w:rsidRDefault="007B1C1A" w:rsidP="007B1C1A">
            <w:pPr>
              <w:numPr>
                <w:ilvl w:val="0"/>
                <w:numId w:val="2"/>
              </w:numPr>
              <w:spacing w:before="120" w:after="120" w:line="240" w:lineRule="auto"/>
              <w:ind w:left="360"/>
              <w:jc w:val="both"/>
              <w:rPr>
                <w:rFonts w:ascii="Times New Roman" w:hAnsi="Times New Roman" w:cs="Times New Roman"/>
                <w:noProof/>
                <w:sz w:val="24"/>
                <w:szCs w:val="24"/>
              </w:rPr>
            </w:pPr>
            <w:r>
              <w:rPr>
                <w:rFonts w:ascii="Times New Roman" w:hAnsi="Times New Roman"/>
                <w:noProof/>
                <w:sz w:val="24"/>
                <w:bdr w:val="none" w:sz="0" w:space="0" w:color="auto" w:frame="1"/>
              </w:rPr>
              <w:t>Se va permite organizarea, după caz, a furnizării serviciului de alimentare cu apă numai cu condiția să se asigure colectarea apelor uzate prin sisteme individuale de colectare și epurare care asigură același nivel de protecție a mediului ca sistemele centralizate de colectare și epurare.</w:t>
            </w:r>
          </w:p>
          <w:p w14:paraId="67D37599" w14:textId="77777777" w:rsidR="007B1C1A" w:rsidRPr="000A27B3" w:rsidRDefault="007B1C1A" w:rsidP="007B1C1A">
            <w:pPr>
              <w:pStyle w:val="ListParagraph"/>
              <w:numPr>
                <w:ilvl w:val="0"/>
                <w:numId w:val="3"/>
              </w:numPr>
              <w:spacing w:after="0" w:line="240" w:lineRule="auto"/>
              <w:ind w:left="175" w:hanging="223"/>
              <w:jc w:val="both"/>
              <w:rPr>
                <w:rFonts w:ascii="Times New Roman" w:hAnsi="Times New Roman" w:cs="Times New Roman"/>
                <w:noProof/>
                <w:sz w:val="24"/>
                <w:szCs w:val="24"/>
              </w:rPr>
            </w:pPr>
            <w:r>
              <w:rPr>
                <w:rFonts w:ascii="Times New Roman" w:hAnsi="Times New Roman"/>
                <w:noProof/>
                <w:sz w:val="24"/>
              </w:rPr>
              <w:t xml:space="preserve"> Se va asigura caracterul excepțional al sistemelor individuale adecvate, care vor fi utilizate numai în situațiile în care sistemele centralizate nu sunt fezabile din punct de vedere tehnic și economic.</w:t>
            </w:r>
          </w:p>
          <w:p w14:paraId="3DD0FF35" w14:textId="77777777" w:rsidR="007B1C1A" w:rsidRPr="000A27B3" w:rsidRDefault="007B1C1A" w:rsidP="007B1C1A">
            <w:pPr>
              <w:pStyle w:val="ListParagraph"/>
              <w:numPr>
                <w:ilvl w:val="0"/>
                <w:numId w:val="3"/>
              </w:numPr>
              <w:spacing w:after="0" w:line="240" w:lineRule="auto"/>
              <w:ind w:left="175" w:hanging="223"/>
              <w:jc w:val="both"/>
              <w:rPr>
                <w:rFonts w:ascii="Times New Roman" w:hAnsi="Times New Roman" w:cs="Times New Roman"/>
                <w:noProof/>
                <w:sz w:val="24"/>
                <w:szCs w:val="24"/>
              </w:rPr>
            </w:pPr>
            <w:r>
              <w:rPr>
                <w:rFonts w:ascii="Times New Roman" w:hAnsi="Times New Roman"/>
                <w:noProof/>
                <w:sz w:val="24"/>
              </w:rPr>
              <w:t>Se va interzice evacuarea directă în mediu a apelor uzate netratate din sistemele individuale adecvate.</w:t>
            </w:r>
          </w:p>
          <w:p w14:paraId="47DA719A" w14:textId="77777777" w:rsidR="007B1C1A" w:rsidRPr="000A27B3" w:rsidRDefault="007B1C1A" w:rsidP="007B1C1A">
            <w:pPr>
              <w:pStyle w:val="ListParagraph"/>
              <w:numPr>
                <w:ilvl w:val="0"/>
                <w:numId w:val="3"/>
              </w:numPr>
              <w:spacing w:after="0" w:line="240" w:lineRule="auto"/>
              <w:ind w:left="175" w:hanging="223"/>
              <w:jc w:val="both"/>
              <w:rPr>
                <w:rFonts w:ascii="Times New Roman" w:eastAsia="Times New Roman" w:hAnsi="Times New Roman" w:cs="Times New Roman"/>
                <w:noProof/>
                <w:sz w:val="24"/>
              </w:rPr>
            </w:pPr>
            <w:r>
              <w:rPr>
                <w:rFonts w:ascii="Times New Roman" w:hAnsi="Times New Roman"/>
                <w:noProof/>
                <w:sz w:val="24"/>
              </w:rPr>
              <w:t>Se vor elabora criteriile pentru autorizarea, construcția, înscrierea/înregistrarea, exploatarea și întreținerea sistemelor individuale adecvate.</w:t>
            </w:r>
          </w:p>
        </w:tc>
      </w:tr>
      <w:tr w:rsidR="000A27B3" w:rsidRPr="000A27B3" w14:paraId="61A9FD27"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hideMark/>
          </w:tcPr>
          <w:p w14:paraId="18F999B5"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w:t>
            </w:r>
          </w:p>
        </w:tc>
        <w:tc>
          <w:tcPr>
            <w:tcW w:w="2117" w:type="dxa"/>
            <w:tcBorders>
              <w:top w:val="nil"/>
              <w:left w:val="nil"/>
              <w:bottom w:val="single" w:sz="4" w:space="0" w:color="auto"/>
              <w:right w:val="single" w:sz="4" w:space="0" w:color="auto"/>
            </w:tcBorders>
            <w:shd w:val="clear" w:color="auto" w:fill="C6EFCE"/>
            <w:noWrap/>
            <w:hideMark/>
          </w:tcPr>
          <w:p w14:paraId="6BE7AA9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Consolidarea cadrului de reglementare pentru managementul sustenabil al sectorului de apă și apă uzată și pentru accelerarea accesului populației la servicii de calitate conform directivelor europene</w:t>
            </w:r>
          </w:p>
        </w:tc>
        <w:tc>
          <w:tcPr>
            <w:tcW w:w="1123" w:type="dxa"/>
            <w:tcBorders>
              <w:top w:val="nil"/>
              <w:left w:val="nil"/>
              <w:bottom w:val="single" w:sz="4" w:space="0" w:color="auto"/>
              <w:right w:val="single" w:sz="4" w:space="0" w:color="auto"/>
            </w:tcBorders>
            <w:shd w:val="clear" w:color="auto" w:fill="C6EFCE"/>
            <w:noWrap/>
            <w:hideMark/>
          </w:tcPr>
          <w:p w14:paraId="0F48E228"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60" w:type="dxa"/>
            <w:tcBorders>
              <w:top w:val="nil"/>
              <w:left w:val="nil"/>
              <w:bottom w:val="single" w:sz="4" w:space="0" w:color="auto"/>
              <w:right w:val="single" w:sz="4" w:space="0" w:color="auto"/>
            </w:tcBorders>
            <w:shd w:val="clear" w:color="auto" w:fill="C6EFCE"/>
            <w:noWrap/>
            <w:hideMark/>
          </w:tcPr>
          <w:p w14:paraId="567A4DB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legii de aprobare a programului național „Prima conectare la apă și canalizare” </w:t>
            </w:r>
          </w:p>
        </w:tc>
        <w:tc>
          <w:tcPr>
            <w:tcW w:w="1680" w:type="dxa"/>
            <w:tcBorders>
              <w:top w:val="nil"/>
              <w:left w:val="nil"/>
              <w:bottom w:val="single" w:sz="4" w:space="0" w:color="auto"/>
              <w:right w:val="single" w:sz="4" w:space="0" w:color="auto"/>
            </w:tcBorders>
            <w:shd w:val="clear" w:color="auto" w:fill="C6EFCE"/>
            <w:noWrap/>
            <w:hideMark/>
          </w:tcPr>
          <w:p w14:paraId="1E63D9B3"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privind programul „Prima conectare la apă și canalizare”</w:t>
            </w:r>
          </w:p>
        </w:tc>
        <w:tc>
          <w:tcPr>
            <w:tcW w:w="1320" w:type="dxa"/>
            <w:tcBorders>
              <w:top w:val="nil"/>
              <w:left w:val="nil"/>
              <w:bottom w:val="single" w:sz="4" w:space="0" w:color="auto"/>
              <w:right w:val="single" w:sz="4" w:space="0" w:color="auto"/>
            </w:tcBorders>
            <w:shd w:val="clear" w:color="auto" w:fill="C6EFCE"/>
            <w:noWrap/>
            <w:hideMark/>
          </w:tcPr>
          <w:p w14:paraId="3DEEC669"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3656B9AB"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840" w:type="dxa"/>
            <w:tcBorders>
              <w:top w:val="nil"/>
              <w:left w:val="nil"/>
              <w:bottom w:val="single" w:sz="4" w:space="0" w:color="auto"/>
              <w:right w:val="single" w:sz="4" w:space="0" w:color="auto"/>
            </w:tcBorders>
            <w:shd w:val="clear" w:color="auto" w:fill="C6EFCE"/>
            <w:noWrap/>
            <w:hideMark/>
          </w:tcPr>
          <w:p w14:paraId="45FB0818"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1316" w:type="dxa"/>
            <w:tcBorders>
              <w:top w:val="nil"/>
              <w:left w:val="nil"/>
              <w:bottom w:val="single" w:sz="4" w:space="0" w:color="auto"/>
              <w:right w:val="single" w:sz="4" w:space="0" w:color="auto"/>
            </w:tcBorders>
            <w:shd w:val="clear" w:color="auto" w:fill="C6EFCE"/>
            <w:noWrap/>
            <w:hideMark/>
          </w:tcPr>
          <w:p w14:paraId="34B5F073"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42" w:type="dxa"/>
            <w:tcBorders>
              <w:top w:val="nil"/>
              <w:left w:val="nil"/>
              <w:bottom w:val="single" w:sz="4" w:space="0" w:color="auto"/>
              <w:right w:val="single" w:sz="4" w:space="0" w:color="auto"/>
            </w:tcBorders>
            <w:shd w:val="clear" w:color="auto" w:fill="C6EFCE"/>
            <w:noWrap/>
            <w:hideMark/>
          </w:tcPr>
          <w:p w14:paraId="1FBE425F"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835" w:type="dxa"/>
            <w:tcBorders>
              <w:top w:val="nil"/>
              <w:left w:val="nil"/>
              <w:bottom w:val="single" w:sz="4" w:space="0" w:color="auto"/>
              <w:right w:val="single" w:sz="4" w:space="0" w:color="auto"/>
            </w:tcBorders>
            <w:shd w:val="clear" w:color="auto" w:fill="C6EFCE"/>
            <w:noWrap/>
            <w:hideMark/>
          </w:tcPr>
          <w:p w14:paraId="5996B98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legii de aprobare a programului național „Prima conectare la apă și canalizare”, care va sprijini familiile și persoanele singure cu venituri reduse (care au media veniturilor bănești nete lunare sub salariul minim brut pe țară garantat la plată pe membru de familie) pentru plata cheltuielilor de racordare la sistemul de alimentare cu apă și de canalizare.</w:t>
            </w:r>
          </w:p>
          <w:p w14:paraId="4A597FA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Gospodăriile cu venituri mici vor fi identificate de autoritățile locale. Programul privind prima conectare va finanța apoi, prin intermediul Administrației Fondului pentru Mediu, lucrările de conectare contractate de autoritățile locale pentru familiile identificate.</w:t>
            </w:r>
          </w:p>
        </w:tc>
      </w:tr>
      <w:tr w:rsidR="000A27B3" w:rsidRPr="000A27B3" w14:paraId="67483252"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hideMark/>
          </w:tcPr>
          <w:p w14:paraId="5FCD5EC4"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w:t>
            </w:r>
          </w:p>
        </w:tc>
        <w:tc>
          <w:tcPr>
            <w:tcW w:w="2117" w:type="dxa"/>
            <w:tcBorders>
              <w:top w:val="nil"/>
              <w:left w:val="nil"/>
              <w:bottom w:val="single" w:sz="4" w:space="0" w:color="auto"/>
              <w:right w:val="single" w:sz="4" w:space="0" w:color="auto"/>
            </w:tcBorders>
            <w:shd w:val="clear" w:color="auto" w:fill="C6EFCE"/>
            <w:noWrap/>
            <w:hideMark/>
          </w:tcPr>
          <w:p w14:paraId="0BCFB6E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Consolidarea cadrului de reglementare pentru managementul sustenabil al sectorului de apă și apă uzată și pentru accelerarea accesului populației la servicii de calitate conform directivelor europene </w:t>
            </w:r>
          </w:p>
        </w:tc>
        <w:tc>
          <w:tcPr>
            <w:tcW w:w="1123" w:type="dxa"/>
            <w:tcBorders>
              <w:top w:val="nil"/>
              <w:left w:val="nil"/>
              <w:bottom w:val="single" w:sz="4" w:space="0" w:color="auto"/>
              <w:right w:val="single" w:sz="4" w:space="0" w:color="auto"/>
            </w:tcBorders>
            <w:shd w:val="clear" w:color="auto" w:fill="C6EFCE"/>
            <w:noWrap/>
            <w:hideMark/>
          </w:tcPr>
          <w:p w14:paraId="19C37E2A"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60" w:type="dxa"/>
            <w:tcBorders>
              <w:top w:val="nil"/>
              <w:left w:val="nil"/>
              <w:bottom w:val="single" w:sz="4" w:space="0" w:color="auto"/>
              <w:right w:val="single" w:sz="4" w:space="0" w:color="auto"/>
            </w:tcBorders>
            <w:shd w:val="clear" w:color="auto" w:fill="C6EFCE"/>
            <w:noWrap/>
            <w:hideMark/>
          </w:tcPr>
          <w:p w14:paraId="73CF860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Acorduri de implementare semnate cu autoritățile locale care participă la programul „Prima conectare la apă și canalizare”</w:t>
            </w:r>
          </w:p>
        </w:tc>
        <w:tc>
          <w:tcPr>
            <w:tcW w:w="1680" w:type="dxa"/>
            <w:tcBorders>
              <w:top w:val="nil"/>
              <w:left w:val="nil"/>
              <w:bottom w:val="single" w:sz="4" w:space="0" w:color="auto"/>
              <w:right w:val="single" w:sz="4" w:space="0" w:color="auto"/>
            </w:tcBorders>
            <w:shd w:val="clear" w:color="auto" w:fill="C6EFCE"/>
            <w:noWrap/>
            <w:hideMark/>
          </w:tcPr>
          <w:p w14:paraId="3380507F"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Acorduri de implementare semnate cu autoritățile locale care participă la programul „Prima conectare la apă și canalizare”</w:t>
            </w:r>
          </w:p>
        </w:tc>
        <w:tc>
          <w:tcPr>
            <w:tcW w:w="1320" w:type="dxa"/>
            <w:tcBorders>
              <w:top w:val="nil"/>
              <w:left w:val="nil"/>
              <w:bottom w:val="single" w:sz="4" w:space="0" w:color="auto"/>
              <w:right w:val="single" w:sz="4" w:space="0" w:color="auto"/>
            </w:tcBorders>
            <w:shd w:val="clear" w:color="auto" w:fill="C6EFCE"/>
            <w:noWrap/>
            <w:hideMark/>
          </w:tcPr>
          <w:p w14:paraId="049F31CB"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1200" w:type="dxa"/>
            <w:tcBorders>
              <w:top w:val="nil"/>
              <w:left w:val="nil"/>
              <w:bottom w:val="single" w:sz="4" w:space="0" w:color="auto"/>
              <w:right w:val="single" w:sz="4" w:space="0" w:color="auto"/>
            </w:tcBorders>
            <w:shd w:val="clear" w:color="auto" w:fill="C6EFCE"/>
            <w:noWrap/>
            <w:hideMark/>
          </w:tcPr>
          <w:p w14:paraId="53128261"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840" w:type="dxa"/>
            <w:tcBorders>
              <w:top w:val="nil"/>
              <w:left w:val="nil"/>
              <w:bottom w:val="single" w:sz="4" w:space="0" w:color="auto"/>
              <w:right w:val="single" w:sz="4" w:space="0" w:color="auto"/>
            </w:tcBorders>
            <w:shd w:val="clear" w:color="auto" w:fill="C6EFCE"/>
            <w:noWrap/>
            <w:hideMark/>
          </w:tcPr>
          <w:p w14:paraId="62486C05"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1316" w:type="dxa"/>
            <w:tcBorders>
              <w:top w:val="nil"/>
              <w:left w:val="nil"/>
              <w:bottom w:val="single" w:sz="4" w:space="0" w:color="auto"/>
              <w:right w:val="single" w:sz="4" w:space="0" w:color="auto"/>
            </w:tcBorders>
            <w:shd w:val="clear" w:color="auto" w:fill="C6EFCE"/>
            <w:noWrap/>
            <w:hideMark/>
          </w:tcPr>
          <w:p w14:paraId="57113BC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2" w:type="dxa"/>
            <w:tcBorders>
              <w:top w:val="nil"/>
              <w:left w:val="nil"/>
              <w:bottom w:val="single" w:sz="4" w:space="0" w:color="auto"/>
              <w:right w:val="single" w:sz="4" w:space="0" w:color="auto"/>
            </w:tcBorders>
            <w:shd w:val="clear" w:color="auto" w:fill="C6EFCE"/>
            <w:noWrap/>
            <w:hideMark/>
          </w:tcPr>
          <w:p w14:paraId="78066D5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835" w:type="dxa"/>
            <w:tcBorders>
              <w:top w:val="nil"/>
              <w:left w:val="nil"/>
              <w:bottom w:val="single" w:sz="4" w:space="0" w:color="auto"/>
              <w:right w:val="single" w:sz="4" w:space="0" w:color="auto"/>
            </w:tcBorders>
            <w:shd w:val="clear" w:color="auto" w:fill="C6EFCE"/>
            <w:noWrap/>
            <w:hideMark/>
          </w:tcPr>
          <w:p w14:paraId="761CA02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Administrației Fondului pentru Mediu va semna acorduri de implementare cu autoritățile locale care participă la programul „Prima conectare la apă și canalizare”</w:t>
            </w:r>
          </w:p>
        </w:tc>
      </w:tr>
      <w:tr w:rsidR="000A27B3" w:rsidRPr="000A27B3" w14:paraId="02140B83"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2598DEE6"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w:t>
            </w:r>
          </w:p>
        </w:tc>
        <w:tc>
          <w:tcPr>
            <w:tcW w:w="2117" w:type="dxa"/>
            <w:tcBorders>
              <w:top w:val="nil"/>
              <w:left w:val="nil"/>
              <w:bottom w:val="single" w:sz="4" w:space="0" w:color="auto"/>
              <w:right w:val="single" w:sz="4" w:space="0" w:color="auto"/>
            </w:tcBorders>
            <w:shd w:val="clear" w:color="auto" w:fill="C6EFCE"/>
            <w:noWrap/>
          </w:tcPr>
          <w:p w14:paraId="6C3D628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Reconfigurarea actualului mecanism economic al ANAR în vederea asigurării modernizării și întreținerii sistemului național de gospodărire a apelor, precum și a implementării corespunzătoare a Directivei-cadru privind apa și a Directivei privind inundațiile </w:t>
            </w:r>
          </w:p>
        </w:tc>
        <w:tc>
          <w:tcPr>
            <w:tcW w:w="1123" w:type="dxa"/>
            <w:tcBorders>
              <w:top w:val="nil"/>
              <w:left w:val="nil"/>
              <w:bottom w:val="single" w:sz="4" w:space="0" w:color="auto"/>
              <w:right w:val="single" w:sz="4" w:space="0" w:color="auto"/>
            </w:tcBorders>
            <w:shd w:val="clear" w:color="auto" w:fill="C6EFCE"/>
            <w:noWrap/>
          </w:tcPr>
          <w:p w14:paraId="72DE33FB"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60" w:type="dxa"/>
            <w:tcBorders>
              <w:top w:val="nil"/>
              <w:left w:val="nil"/>
              <w:bottom w:val="single" w:sz="4" w:space="0" w:color="auto"/>
              <w:right w:val="single" w:sz="4" w:space="0" w:color="auto"/>
            </w:tcBorders>
            <w:shd w:val="clear" w:color="auto" w:fill="C6EFCE"/>
            <w:noWrap/>
          </w:tcPr>
          <w:p w14:paraId="436CB52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legii de modificare a Legii apelor - Legea nr. 107/1996</w:t>
            </w:r>
          </w:p>
        </w:tc>
        <w:tc>
          <w:tcPr>
            <w:tcW w:w="1680" w:type="dxa"/>
            <w:tcBorders>
              <w:top w:val="nil"/>
              <w:left w:val="nil"/>
              <w:bottom w:val="single" w:sz="4" w:space="0" w:color="auto"/>
              <w:right w:val="single" w:sz="4" w:space="0" w:color="auto"/>
            </w:tcBorders>
            <w:shd w:val="clear" w:color="auto" w:fill="C6EFCE"/>
            <w:noWrap/>
          </w:tcPr>
          <w:p w14:paraId="2E3203E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normativ de modificare a Legii apelor nr. 107/1996</w:t>
            </w:r>
          </w:p>
        </w:tc>
        <w:tc>
          <w:tcPr>
            <w:tcW w:w="1320" w:type="dxa"/>
            <w:tcBorders>
              <w:top w:val="nil"/>
              <w:left w:val="nil"/>
              <w:bottom w:val="single" w:sz="4" w:space="0" w:color="auto"/>
              <w:right w:val="single" w:sz="4" w:space="0" w:color="auto"/>
            </w:tcBorders>
            <w:shd w:val="clear" w:color="auto" w:fill="C6EFCE"/>
            <w:noWrap/>
          </w:tcPr>
          <w:p w14:paraId="6E7BEAA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63E4A9C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840" w:type="dxa"/>
            <w:tcBorders>
              <w:top w:val="nil"/>
              <w:left w:val="nil"/>
              <w:bottom w:val="single" w:sz="4" w:space="0" w:color="auto"/>
              <w:right w:val="single" w:sz="4" w:space="0" w:color="auto"/>
            </w:tcBorders>
            <w:shd w:val="clear" w:color="auto" w:fill="C6EFCE"/>
            <w:noWrap/>
          </w:tcPr>
          <w:p w14:paraId="4F6584BE"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16" w:type="dxa"/>
            <w:tcBorders>
              <w:top w:val="nil"/>
              <w:left w:val="nil"/>
              <w:bottom w:val="single" w:sz="4" w:space="0" w:color="auto"/>
              <w:right w:val="single" w:sz="4" w:space="0" w:color="auto"/>
            </w:tcBorders>
            <w:shd w:val="clear" w:color="auto" w:fill="C6EFCE"/>
            <w:noWrap/>
          </w:tcPr>
          <w:p w14:paraId="0356CC74"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2" w:type="dxa"/>
            <w:tcBorders>
              <w:top w:val="nil"/>
              <w:left w:val="nil"/>
              <w:bottom w:val="single" w:sz="4" w:space="0" w:color="auto"/>
              <w:right w:val="single" w:sz="4" w:space="0" w:color="auto"/>
            </w:tcBorders>
            <w:shd w:val="clear" w:color="auto" w:fill="C6EFCE"/>
            <w:noWrap/>
          </w:tcPr>
          <w:p w14:paraId="3C04FD3E"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835" w:type="dxa"/>
            <w:tcBorders>
              <w:top w:val="nil"/>
              <w:left w:val="nil"/>
              <w:bottom w:val="single" w:sz="4" w:space="0" w:color="auto"/>
              <w:right w:val="single" w:sz="4" w:space="0" w:color="auto"/>
            </w:tcBorders>
            <w:shd w:val="clear" w:color="auto" w:fill="C6EFCE"/>
            <w:noWrap/>
          </w:tcPr>
          <w:p w14:paraId="5EB507E4" w14:textId="0C8E1E0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Pe baza studiilor desfășurate, modificări legislative ale Legii apelor nr. 107/1996 vor fi adoptate și vor intra în vigoare în vederea reglementării noului mecanism economic pentru resursele de apă din România. </w:t>
            </w:r>
          </w:p>
          <w:p w14:paraId="322EFD3A"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Noul mecanism va îmbunătăți corelare dintre sistemul de venituri în domeniul apelor reglementat de ANAR (Administrația Apelor Române) și costurile aferente fiecărei categorii de utilizatori pentru care ANAR furnizează volumele de apă necesare, în conformitate cu cerințele privind debitul privind debitul ecologic.</w:t>
            </w:r>
          </w:p>
        </w:tc>
      </w:tr>
      <w:tr w:rsidR="000A27B3" w:rsidRPr="000A27B3" w14:paraId="7B4C05E1"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hideMark/>
          </w:tcPr>
          <w:p w14:paraId="78941E47"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5</w:t>
            </w:r>
          </w:p>
        </w:tc>
        <w:tc>
          <w:tcPr>
            <w:tcW w:w="2117" w:type="dxa"/>
            <w:tcBorders>
              <w:top w:val="nil"/>
              <w:left w:val="nil"/>
              <w:bottom w:val="single" w:sz="4" w:space="0" w:color="auto"/>
              <w:right w:val="single" w:sz="4" w:space="0" w:color="auto"/>
            </w:tcBorders>
            <w:shd w:val="clear" w:color="auto" w:fill="C6EFCE"/>
            <w:noWrap/>
            <w:hideMark/>
          </w:tcPr>
          <w:p w14:paraId="43619EEE"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Extinderea sistemelor de apă și canalizare în aglomerări mai mari de 2 000 de locuitori echivalenți, prioritizate prin Planul accelerat de conformare cu directivele europene</w:t>
            </w:r>
          </w:p>
        </w:tc>
        <w:tc>
          <w:tcPr>
            <w:tcW w:w="1123" w:type="dxa"/>
            <w:tcBorders>
              <w:top w:val="nil"/>
              <w:left w:val="nil"/>
              <w:bottom w:val="single" w:sz="4" w:space="0" w:color="auto"/>
              <w:right w:val="single" w:sz="4" w:space="0" w:color="auto"/>
            </w:tcBorders>
            <w:shd w:val="clear" w:color="auto" w:fill="C6EFCE"/>
            <w:noWrap/>
            <w:hideMark/>
          </w:tcPr>
          <w:p w14:paraId="461A4C5F"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nil"/>
              <w:bottom w:val="single" w:sz="4" w:space="0" w:color="auto"/>
              <w:right w:val="single" w:sz="4" w:space="0" w:color="auto"/>
            </w:tcBorders>
            <w:shd w:val="clear" w:color="auto" w:fill="C6EFCE"/>
            <w:noWrap/>
            <w:hideMark/>
          </w:tcPr>
          <w:p w14:paraId="7BF99207"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Rețelele de distribuție a apei sunt construite și operaționale</w:t>
            </w:r>
          </w:p>
          <w:p w14:paraId="4101652C"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p w14:paraId="4B99056E"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1680" w:type="dxa"/>
            <w:tcBorders>
              <w:top w:val="nil"/>
              <w:left w:val="nil"/>
              <w:bottom w:val="single" w:sz="4" w:space="0" w:color="auto"/>
              <w:right w:val="single" w:sz="4" w:space="0" w:color="auto"/>
            </w:tcBorders>
            <w:shd w:val="clear" w:color="auto" w:fill="C6EFCE"/>
            <w:noWrap/>
            <w:hideMark/>
          </w:tcPr>
          <w:p w14:paraId="09AF38F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nil"/>
              <w:bottom w:val="single" w:sz="4" w:space="0" w:color="auto"/>
              <w:right w:val="single" w:sz="4" w:space="0" w:color="auto"/>
            </w:tcBorders>
            <w:shd w:val="clear" w:color="auto" w:fill="C6EFCE"/>
            <w:noWrap/>
            <w:hideMark/>
          </w:tcPr>
          <w:p w14:paraId="6136D92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Kilometri (km) </w:t>
            </w:r>
          </w:p>
        </w:tc>
        <w:tc>
          <w:tcPr>
            <w:tcW w:w="1200" w:type="dxa"/>
            <w:tcBorders>
              <w:top w:val="nil"/>
              <w:left w:val="nil"/>
              <w:bottom w:val="single" w:sz="4" w:space="0" w:color="auto"/>
              <w:right w:val="single" w:sz="4" w:space="0" w:color="auto"/>
            </w:tcBorders>
            <w:shd w:val="clear" w:color="auto" w:fill="C6EFCE"/>
            <w:noWrap/>
            <w:hideMark/>
          </w:tcPr>
          <w:p w14:paraId="1CAC2DF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0</w:t>
            </w:r>
          </w:p>
        </w:tc>
        <w:tc>
          <w:tcPr>
            <w:tcW w:w="840" w:type="dxa"/>
            <w:tcBorders>
              <w:top w:val="nil"/>
              <w:left w:val="nil"/>
              <w:bottom w:val="single" w:sz="4" w:space="0" w:color="auto"/>
              <w:right w:val="single" w:sz="4" w:space="0" w:color="auto"/>
            </w:tcBorders>
            <w:shd w:val="clear" w:color="auto" w:fill="C6EFCE"/>
            <w:noWrap/>
            <w:hideMark/>
          </w:tcPr>
          <w:p w14:paraId="0DD95DAE" w14:textId="1EF5879A" w:rsidR="007B1C1A" w:rsidRPr="000A27B3" w:rsidRDefault="007B1C1A"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319</w:t>
            </w:r>
          </w:p>
        </w:tc>
        <w:tc>
          <w:tcPr>
            <w:tcW w:w="1316" w:type="dxa"/>
            <w:tcBorders>
              <w:top w:val="nil"/>
              <w:left w:val="nil"/>
              <w:bottom w:val="single" w:sz="4" w:space="0" w:color="auto"/>
              <w:right w:val="single" w:sz="4" w:space="0" w:color="auto"/>
            </w:tcBorders>
            <w:shd w:val="clear" w:color="auto" w:fill="C6EFCE"/>
            <w:noWrap/>
            <w:hideMark/>
          </w:tcPr>
          <w:p w14:paraId="78458AA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T3</w:t>
            </w:r>
          </w:p>
        </w:tc>
        <w:tc>
          <w:tcPr>
            <w:tcW w:w="742" w:type="dxa"/>
            <w:tcBorders>
              <w:top w:val="nil"/>
              <w:left w:val="nil"/>
              <w:bottom w:val="single" w:sz="4" w:space="0" w:color="auto"/>
              <w:right w:val="single" w:sz="4" w:space="0" w:color="auto"/>
            </w:tcBorders>
            <w:shd w:val="clear" w:color="auto" w:fill="C6EFCE"/>
            <w:noWrap/>
            <w:hideMark/>
          </w:tcPr>
          <w:p w14:paraId="7021C26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2024</w:t>
            </w:r>
          </w:p>
        </w:tc>
        <w:tc>
          <w:tcPr>
            <w:tcW w:w="2835" w:type="dxa"/>
            <w:tcBorders>
              <w:top w:val="nil"/>
              <w:left w:val="nil"/>
              <w:bottom w:val="single" w:sz="4" w:space="0" w:color="auto"/>
              <w:right w:val="single" w:sz="4" w:space="0" w:color="auto"/>
            </w:tcBorders>
            <w:shd w:val="clear" w:color="auto" w:fill="C6EFCE"/>
            <w:noWrap/>
            <w:hideMark/>
          </w:tcPr>
          <w:p w14:paraId="60A20EFD" w14:textId="215975BC" w:rsidR="007B1C1A" w:rsidRPr="000A27B3" w:rsidRDefault="007B1C1A"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Cel puțin 319 km de rețele de distribuție a apei vor fi construite și operaționalizate în localități aflate în aglomerările prioritizate prin Planul accelerat de conformare cu directivele europene și în conformitate cu modificările aduse Legii nr. 241/2006 conform jalonului 1. </w:t>
            </w:r>
          </w:p>
        </w:tc>
      </w:tr>
      <w:tr w:rsidR="000A27B3" w:rsidRPr="000A27B3" w14:paraId="2001799F"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29B4EA11"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w:t>
            </w:r>
          </w:p>
        </w:tc>
        <w:tc>
          <w:tcPr>
            <w:tcW w:w="2117" w:type="dxa"/>
            <w:tcBorders>
              <w:top w:val="nil"/>
              <w:left w:val="single" w:sz="4" w:space="0" w:color="auto"/>
              <w:bottom w:val="single" w:sz="4" w:space="0" w:color="auto"/>
              <w:right w:val="single" w:sz="4" w:space="0" w:color="auto"/>
            </w:tcBorders>
            <w:shd w:val="clear" w:color="auto" w:fill="C6EFCE"/>
            <w:noWrap/>
          </w:tcPr>
          <w:p w14:paraId="5883427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Extinderea sistemelor de apă și canalizare în aglomerări mai mari de 2 000 de locuitori echivalenți, prioritizate prin Planul accelerat de conformare cu directivele europene </w:t>
            </w:r>
          </w:p>
        </w:tc>
        <w:tc>
          <w:tcPr>
            <w:tcW w:w="1123" w:type="dxa"/>
            <w:tcBorders>
              <w:top w:val="single" w:sz="4" w:space="0" w:color="auto"/>
              <w:left w:val="single" w:sz="4" w:space="0" w:color="auto"/>
              <w:bottom w:val="single" w:sz="4" w:space="0" w:color="auto"/>
              <w:right w:val="single" w:sz="4" w:space="0" w:color="auto"/>
            </w:tcBorders>
            <w:shd w:val="clear" w:color="auto" w:fill="C6EFCE"/>
            <w:noWrap/>
          </w:tcPr>
          <w:p w14:paraId="759A125A"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single" w:sz="4" w:space="0" w:color="auto"/>
              <w:left w:val="single" w:sz="4" w:space="0" w:color="auto"/>
              <w:bottom w:val="single" w:sz="4" w:space="0" w:color="auto"/>
              <w:right w:val="single" w:sz="4" w:space="0" w:color="auto"/>
            </w:tcBorders>
            <w:shd w:val="clear" w:color="auto" w:fill="C6EFCE"/>
            <w:noWrap/>
          </w:tcPr>
          <w:p w14:paraId="4325B25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Rețelele de distribuție a apei sunt construite și operaționale </w:t>
            </w:r>
          </w:p>
          <w:p w14:paraId="1299C43A"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p w14:paraId="4DDBEF00"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C6EFCE"/>
            <w:noWrap/>
          </w:tcPr>
          <w:p w14:paraId="15AA318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single" w:sz="4" w:space="0" w:color="auto"/>
              <w:left w:val="single" w:sz="4" w:space="0" w:color="auto"/>
              <w:bottom w:val="single" w:sz="4" w:space="0" w:color="auto"/>
              <w:right w:val="single" w:sz="4" w:space="0" w:color="auto"/>
            </w:tcBorders>
            <w:shd w:val="clear" w:color="auto" w:fill="C6EFCE"/>
            <w:noWrap/>
          </w:tcPr>
          <w:p w14:paraId="2C08453B"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Kilometri (km)</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7CBB677E" w14:textId="15852EFA" w:rsidR="007B1C1A" w:rsidRPr="000A27B3" w:rsidRDefault="007B1C1A" w:rsidP="1A2DC0D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319</w:t>
            </w:r>
          </w:p>
        </w:tc>
        <w:tc>
          <w:tcPr>
            <w:tcW w:w="840" w:type="dxa"/>
            <w:tcBorders>
              <w:top w:val="nil"/>
              <w:left w:val="single" w:sz="4" w:space="0" w:color="auto"/>
              <w:bottom w:val="single" w:sz="4" w:space="0" w:color="auto"/>
              <w:right w:val="single" w:sz="4" w:space="0" w:color="auto"/>
            </w:tcBorders>
            <w:shd w:val="clear" w:color="auto" w:fill="C6EFCE"/>
            <w:noWrap/>
          </w:tcPr>
          <w:p w14:paraId="53867189" w14:textId="3167D80E" w:rsidR="007B1C1A" w:rsidRPr="000A27B3" w:rsidRDefault="007B1C1A"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1 282</w:t>
            </w:r>
          </w:p>
        </w:tc>
        <w:tc>
          <w:tcPr>
            <w:tcW w:w="1316" w:type="dxa"/>
            <w:tcBorders>
              <w:top w:val="nil"/>
              <w:left w:val="single" w:sz="4" w:space="0" w:color="auto"/>
              <w:bottom w:val="single" w:sz="4" w:space="0" w:color="auto"/>
              <w:right w:val="single" w:sz="4" w:space="0" w:color="auto"/>
            </w:tcBorders>
            <w:shd w:val="clear" w:color="auto" w:fill="C6EFCE"/>
            <w:noWrap/>
          </w:tcPr>
          <w:p w14:paraId="7E778CF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T2</w:t>
            </w:r>
          </w:p>
        </w:tc>
        <w:tc>
          <w:tcPr>
            <w:tcW w:w="742" w:type="dxa"/>
            <w:tcBorders>
              <w:top w:val="nil"/>
              <w:left w:val="single" w:sz="4" w:space="0" w:color="auto"/>
              <w:bottom w:val="single" w:sz="4" w:space="0" w:color="auto"/>
              <w:right w:val="single" w:sz="4" w:space="0" w:color="auto"/>
            </w:tcBorders>
            <w:shd w:val="clear" w:color="auto" w:fill="C6EFCE"/>
            <w:noWrap/>
          </w:tcPr>
          <w:p w14:paraId="762929D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2026 </w:t>
            </w:r>
          </w:p>
        </w:tc>
        <w:tc>
          <w:tcPr>
            <w:tcW w:w="2835" w:type="dxa"/>
            <w:tcBorders>
              <w:top w:val="single" w:sz="4" w:space="0" w:color="auto"/>
              <w:left w:val="single" w:sz="4" w:space="0" w:color="auto"/>
              <w:bottom w:val="single" w:sz="4" w:space="0" w:color="auto"/>
              <w:right w:val="single" w:sz="4" w:space="0" w:color="auto"/>
            </w:tcBorders>
            <w:shd w:val="clear" w:color="auto" w:fill="C6EFCE"/>
            <w:noWrap/>
          </w:tcPr>
          <w:p w14:paraId="6A0C9BDB" w14:textId="77D86381"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În total, 1 282 km de rețele de distribuție a apei vor fi construite și operaționalizate în localități aflate în aglomerările prioritizate prin Planul accelerat de conformare cu directivele europene și în conformitate cu modificările aduse Legii nr. 241/2006 conform jalonului 1. </w:t>
            </w:r>
          </w:p>
        </w:tc>
      </w:tr>
      <w:tr w:rsidR="000A27B3" w:rsidRPr="000A27B3" w14:paraId="1031E573"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75697EEC"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w:t>
            </w:r>
          </w:p>
        </w:tc>
        <w:tc>
          <w:tcPr>
            <w:tcW w:w="2117" w:type="dxa"/>
            <w:tcBorders>
              <w:top w:val="nil"/>
              <w:left w:val="single" w:sz="4" w:space="0" w:color="auto"/>
              <w:bottom w:val="single" w:sz="4" w:space="0" w:color="auto"/>
              <w:right w:val="single" w:sz="4" w:space="0" w:color="auto"/>
            </w:tcBorders>
            <w:shd w:val="clear" w:color="auto" w:fill="C6EFCE"/>
            <w:noWrap/>
          </w:tcPr>
          <w:p w14:paraId="2B9D2AB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Extinderea sistemelor de apă și canalizare în aglomerări mai mari de 2 000 de locuitori echivalenți, prioritizate prin Planul accelerat de conformare cu directivele europene </w:t>
            </w:r>
          </w:p>
        </w:tc>
        <w:tc>
          <w:tcPr>
            <w:tcW w:w="1123" w:type="dxa"/>
            <w:tcBorders>
              <w:top w:val="nil"/>
              <w:left w:val="single" w:sz="4" w:space="0" w:color="auto"/>
              <w:bottom w:val="single" w:sz="4" w:space="0" w:color="auto"/>
              <w:right w:val="single" w:sz="4" w:space="0" w:color="auto"/>
            </w:tcBorders>
            <w:shd w:val="clear" w:color="auto" w:fill="C6EFCE"/>
            <w:noWrap/>
          </w:tcPr>
          <w:p w14:paraId="7A38EEB2"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4ABDFC9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Rețele de canalizare construite și operaționale </w:t>
            </w:r>
          </w:p>
        </w:tc>
        <w:tc>
          <w:tcPr>
            <w:tcW w:w="1680" w:type="dxa"/>
            <w:tcBorders>
              <w:top w:val="nil"/>
              <w:left w:val="single" w:sz="4" w:space="0" w:color="auto"/>
              <w:bottom w:val="single" w:sz="4" w:space="0" w:color="auto"/>
              <w:right w:val="single" w:sz="4" w:space="0" w:color="auto"/>
            </w:tcBorders>
            <w:shd w:val="clear" w:color="auto" w:fill="C6EFCE"/>
            <w:noWrap/>
          </w:tcPr>
          <w:p w14:paraId="01512BE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0F77BC0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200" w:type="dxa"/>
            <w:tcBorders>
              <w:top w:val="nil"/>
              <w:left w:val="single" w:sz="4" w:space="0" w:color="auto"/>
              <w:bottom w:val="single" w:sz="4" w:space="0" w:color="auto"/>
              <w:right w:val="single" w:sz="4" w:space="0" w:color="auto"/>
            </w:tcBorders>
            <w:shd w:val="clear" w:color="auto" w:fill="C6EFCE"/>
            <w:noWrap/>
          </w:tcPr>
          <w:p w14:paraId="4B58431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34FB4232" w14:textId="436E4493" w:rsidR="007B1C1A" w:rsidRPr="000A27B3" w:rsidRDefault="01BE4A49"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239</w:t>
            </w:r>
          </w:p>
        </w:tc>
        <w:tc>
          <w:tcPr>
            <w:tcW w:w="1316" w:type="dxa"/>
            <w:tcBorders>
              <w:top w:val="nil"/>
              <w:left w:val="single" w:sz="4" w:space="0" w:color="auto"/>
              <w:bottom w:val="single" w:sz="4" w:space="0" w:color="auto"/>
              <w:right w:val="single" w:sz="4" w:space="0" w:color="auto"/>
            </w:tcBorders>
            <w:shd w:val="clear" w:color="auto" w:fill="C6EFCE"/>
            <w:noWrap/>
          </w:tcPr>
          <w:p w14:paraId="7A8F9DA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2" w:type="dxa"/>
            <w:tcBorders>
              <w:top w:val="nil"/>
              <w:left w:val="single" w:sz="4" w:space="0" w:color="auto"/>
              <w:bottom w:val="single" w:sz="4" w:space="0" w:color="auto"/>
              <w:right w:val="single" w:sz="4" w:space="0" w:color="auto"/>
            </w:tcBorders>
            <w:shd w:val="clear" w:color="auto" w:fill="C6EFCE"/>
            <w:noWrap/>
          </w:tcPr>
          <w:p w14:paraId="46C646BA"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04DC8DC2" w14:textId="784986DA" w:rsidR="007B1C1A" w:rsidRPr="000A27B3" w:rsidRDefault="007B1C1A"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Cel puțin 239 km de rețele de canalizare vor fi construite și operaționalizate în aglomerări mai mari de 2 000 de locuitori echivalenți, prioritizate prin Planul accelerat de conformare cu directivele europene și în conformitate cu modificările aduse Legii nr. 241/2006 conform jalonului 1. </w:t>
            </w:r>
          </w:p>
        </w:tc>
      </w:tr>
      <w:tr w:rsidR="000A27B3" w:rsidRPr="000A27B3" w14:paraId="160F5C6C"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44B0A208"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w:t>
            </w:r>
          </w:p>
        </w:tc>
        <w:tc>
          <w:tcPr>
            <w:tcW w:w="2117" w:type="dxa"/>
            <w:tcBorders>
              <w:top w:val="nil"/>
              <w:left w:val="single" w:sz="4" w:space="0" w:color="auto"/>
              <w:bottom w:val="single" w:sz="4" w:space="0" w:color="auto"/>
              <w:right w:val="single" w:sz="4" w:space="0" w:color="auto"/>
            </w:tcBorders>
            <w:shd w:val="clear" w:color="auto" w:fill="C6EFCE"/>
            <w:noWrap/>
          </w:tcPr>
          <w:p w14:paraId="05C5C8FB"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Extinderea sistemelor de apă și canalizare în aglomerări mai mari de 2 000 de locuitori echivalenți, prioritizate prin Planul accelerat de conformare cu directivele europene </w:t>
            </w:r>
          </w:p>
        </w:tc>
        <w:tc>
          <w:tcPr>
            <w:tcW w:w="1123" w:type="dxa"/>
            <w:tcBorders>
              <w:top w:val="nil"/>
              <w:left w:val="single" w:sz="4" w:space="0" w:color="auto"/>
              <w:bottom w:val="single" w:sz="4" w:space="0" w:color="auto"/>
              <w:right w:val="single" w:sz="4" w:space="0" w:color="auto"/>
            </w:tcBorders>
            <w:shd w:val="clear" w:color="auto" w:fill="C6EFCE"/>
            <w:noWrap/>
          </w:tcPr>
          <w:p w14:paraId="67009B04"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1244B010"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Rețelele de canalizare în aglomerări prioritizate prin Planul accelerat de conformare cu directivele europene sunt construite și operaționale </w:t>
            </w:r>
          </w:p>
        </w:tc>
        <w:tc>
          <w:tcPr>
            <w:tcW w:w="1680" w:type="dxa"/>
            <w:tcBorders>
              <w:top w:val="nil"/>
              <w:left w:val="single" w:sz="4" w:space="0" w:color="auto"/>
              <w:bottom w:val="single" w:sz="4" w:space="0" w:color="auto"/>
              <w:right w:val="single" w:sz="4" w:space="0" w:color="auto"/>
            </w:tcBorders>
            <w:shd w:val="clear" w:color="auto" w:fill="C6EFCE"/>
            <w:noWrap/>
          </w:tcPr>
          <w:p w14:paraId="0DA70637"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2B345F2A"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200" w:type="dxa"/>
            <w:tcBorders>
              <w:top w:val="nil"/>
              <w:left w:val="single" w:sz="4" w:space="0" w:color="auto"/>
              <w:bottom w:val="single" w:sz="4" w:space="0" w:color="auto"/>
              <w:right w:val="single" w:sz="4" w:space="0" w:color="auto"/>
            </w:tcBorders>
            <w:shd w:val="clear" w:color="auto" w:fill="C6EFCE"/>
            <w:noWrap/>
          </w:tcPr>
          <w:p w14:paraId="6F73A68B" w14:textId="37C75607" w:rsidR="007B1C1A" w:rsidRPr="000A27B3" w:rsidRDefault="1C79F71A" w:rsidP="1A2DC0D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239</w:t>
            </w:r>
          </w:p>
        </w:tc>
        <w:tc>
          <w:tcPr>
            <w:tcW w:w="840" w:type="dxa"/>
            <w:tcBorders>
              <w:top w:val="nil"/>
              <w:left w:val="single" w:sz="4" w:space="0" w:color="auto"/>
              <w:bottom w:val="single" w:sz="4" w:space="0" w:color="auto"/>
              <w:right w:val="single" w:sz="4" w:space="0" w:color="auto"/>
            </w:tcBorders>
            <w:shd w:val="clear" w:color="auto" w:fill="C6EFCE"/>
            <w:noWrap/>
          </w:tcPr>
          <w:p w14:paraId="73B0472C" w14:textId="392D15F6" w:rsidR="007B1C1A" w:rsidRPr="000A27B3" w:rsidRDefault="773884FD"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2 003</w:t>
            </w:r>
          </w:p>
        </w:tc>
        <w:tc>
          <w:tcPr>
            <w:tcW w:w="1316" w:type="dxa"/>
            <w:tcBorders>
              <w:top w:val="nil"/>
              <w:left w:val="single" w:sz="4" w:space="0" w:color="auto"/>
              <w:bottom w:val="single" w:sz="4" w:space="0" w:color="auto"/>
              <w:right w:val="single" w:sz="4" w:space="0" w:color="auto"/>
            </w:tcBorders>
            <w:shd w:val="clear" w:color="auto" w:fill="C6EFCE"/>
            <w:noWrap/>
          </w:tcPr>
          <w:p w14:paraId="4A8B0D6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2" w:type="dxa"/>
            <w:tcBorders>
              <w:top w:val="nil"/>
              <w:left w:val="single" w:sz="4" w:space="0" w:color="auto"/>
              <w:bottom w:val="single" w:sz="4" w:space="0" w:color="auto"/>
              <w:right w:val="single" w:sz="4" w:space="0" w:color="auto"/>
            </w:tcBorders>
            <w:shd w:val="clear" w:color="auto" w:fill="C6EFCE"/>
            <w:noWrap/>
          </w:tcPr>
          <w:p w14:paraId="4B169B8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53A48881" w14:textId="11B04421" w:rsidR="007B1C1A" w:rsidRPr="000A27B3" w:rsidRDefault="05E346A8" w:rsidP="28049F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Cel puțin 2 003 km de rețele de canalizare vor fi construite și operaționalizate în aglomerări mai mari de 2 000 de locuitori echivalenți, prioritizate prin Planul accelerat de conformare cu directivele europene și în conformitate cu modificările aduse Legii nr. 241/2006 conform jalonului 1.</w:t>
            </w:r>
          </w:p>
        </w:tc>
      </w:tr>
      <w:tr w:rsidR="000A27B3" w:rsidRPr="000A27B3" w14:paraId="0FF039D8"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2B2B7304"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w:t>
            </w:r>
          </w:p>
        </w:tc>
        <w:tc>
          <w:tcPr>
            <w:tcW w:w="2117" w:type="dxa"/>
            <w:tcBorders>
              <w:top w:val="nil"/>
              <w:left w:val="single" w:sz="4" w:space="0" w:color="auto"/>
              <w:bottom w:val="single" w:sz="4" w:space="0" w:color="auto"/>
              <w:right w:val="single" w:sz="4" w:space="0" w:color="auto"/>
            </w:tcBorders>
            <w:shd w:val="clear" w:color="auto" w:fill="C6EFCE"/>
            <w:noWrap/>
          </w:tcPr>
          <w:p w14:paraId="1ADF251E"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Colectarea apelor uzate în aglomerări mai mici de 2 000 de locuitori echivalenți, care împiedică atingerea unei stări bune a corpurilor de apă și / sau afectează zone naturale protejate</w:t>
            </w:r>
          </w:p>
        </w:tc>
        <w:tc>
          <w:tcPr>
            <w:tcW w:w="1123" w:type="dxa"/>
            <w:tcBorders>
              <w:top w:val="nil"/>
              <w:left w:val="single" w:sz="4" w:space="0" w:color="auto"/>
              <w:bottom w:val="single" w:sz="4" w:space="0" w:color="auto"/>
              <w:right w:val="single" w:sz="4" w:space="0" w:color="auto"/>
            </w:tcBorders>
            <w:shd w:val="clear" w:color="auto" w:fill="C6EFCE"/>
            <w:noWrap/>
          </w:tcPr>
          <w:p w14:paraId="478566D1"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275CD477"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Sisteme individuale sau alte sisteme corespunzătoare construite și operaționale în aglomerări mai mici de 2 000 de locuitori echivalenți</w:t>
            </w:r>
          </w:p>
        </w:tc>
        <w:tc>
          <w:tcPr>
            <w:tcW w:w="1680" w:type="dxa"/>
            <w:tcBorders>
              <w:top w:val="nil"/>
              <w:left w:val="single" w:sz="4" w:space="0" w:color="auto"/>
              <w:bottom w:val="single" w:sz="4" w:space="0" w:color="auto"/>
              <w:right w:val="single" w:sz="4" w:space="0" w:color="auto"/>
            </w:tcBorders>
            <w:shd w:val="clear" w:color="auto" w:fill="C6EFCE"/>
            <w:noWrap/>
          </w:tcPr>
          <w:p w14:paraId="4662417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15F94F2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2322F00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11447E3E"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1 000</w:t>
            </w:r>
          </w:p>
        </w:tc>
        <w:tc>
          <w:tcPr>
            <w:tcW w:w="1316" w:type="dxa"/>
            <w:tcBorders>
              <w:top w:val="nil"/>
              <w:left w:val="single" w:sz="4" w:space="0" w:color="auto"/>
              <w:bottom w:val="single" w:sz="4" w:space="0" w:color="auto"/>
              <w:right w:val="single" w:sz="4" w:space="0" w:color="auto"/>
            </w:tcBorders>
            <w:shd w:val="clear" w:color="auto" w:fill="C6EFCE"/>
            <w:noWrap/>
          </w:tcPr>
          <w:p w14:paraId="6DF9947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2" w:type="dxa"/>
            <w:tcBorders>
              <w:top w:val="nil"/>
              <w:left w:val="single" w:sz="4" w:space="0" w:color="auto"/>
              <w:bottom w:val="single" w:sz="4" w:space="0" w:color="auto"/>
              <w:right w:val="single" w:sz="4" w:space="0" w:color="auto"/>
            </w:tcBorders>
            <w:shd w:val="clear" w:color="auto" w:fill="C6EFCE"/>
            <w:noWrap/>
          </w:tcPr>
          <w:p w14:paraId="73F56A6F"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835" w:type="dxa"/>
            <w:tcBorders>
              <w:top w:val="nil"/>
              <w:left w:val="single" w:sz="4" w:space="0" w:color="auto"/>
              <w:bottom w:val="single" w:sz="4" w:space="0" w:color="auto"/>
              <w:right w:val="single" w:sz="4" w:space="0" w:color="auto"/>
            </w:tcBorders>
            <w:shd w:val="clear" w:color="auto" w:fill="C6EFCE"/>
            <w:noWrap/>
          </w:tcPr>
          <w:p w14:paraId="5F3DF2B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Cel puțin 1 000 de sisteme individuale sau alte sisteme corespunzătoare vor fi construite și operaționalizate pentru preluarea încărcării din aglomerările mai mici de 2 000 de locuitori echivalenți, care împiedică atingerea unei stări bune a corpurilor de apă și/sau afectează arii naturale protejate. </w:t>
            </w:r>
          </w:p>
        </w:tc>
      </w:tr>
      <w:tr w:rsidR="000A27B3" w:rsidRPr="000A27B3" w14:paraId="0F5C0B37"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5D369756"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w:t>
            </w:r>
          </w:p>
        </w:tc>
        <w:tc>
          <w:tcPr>
            <w:tcW w:w="2117" w:type="dxa"/>
            <w:tcBorders>
              <w:top w:val="nil"/>
              <w:left w:val="single" w:sz="4" w:space="0" w:color="auto"/>
              <w:bottom w:val="single" w:sz="4" w:space="0" w:color="auto"/>
              <w:right w:val="single" w:sz="4" w:space="0" w:color="auto"/>
            </w:tcBorders>
            <w:shd w:val="clear" w:color="auto" w:fill="C6EFCE"/>
            <w:noWrap/>
          </w:tcPr>
          <w:p w14:paraId="49A05FB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Colectarea apelor uzate în aglomerări mai mici de 2 000 de locuitori echivalenți, care împiedică atingerea unei stări bune a corpurilor de apă și / sau afectează arii naturale protejate</w:t>
            </w:r>
          </w:p>
        </w:tc>
        <w:tc>
          <w:tcPr>
            <w:tcW w:w="1123" w:type="dxa"/>
            <w:tcBorders>
              <w:top w:val="nil"/>
              <w:left w:val="single" w:sz="4" w:space="0" w:color="auto"/>
              <w:bottom w:val="single" w:sz="4" w:space="0" w:color="auto"/>
              <w:right w:val="single" w:sz="4" w:space="0" w:color="auto"/>
            </w:tcBorders>
            <w:shd w:val="clear" w:color="auto" w:fill="C6EFCE"/>
            <w:noWrap/>
          </w:tcPr>
          <w:p w14:paraId="1A873CFE"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61AA589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Sisteme individuale sau alte sisteme corespunzătoare construite și operaționale în aglomerări mai mici de 2 000 de locuitori echivalenți.</w:t>
            </w:r>
          </w:p>
        </w:tc>
        <w:tc>
          <w:tcPr>
            <w:tcW w:w="1680" w:type="dxa"/>
            <w:tcBorders>
              <w:top w:val="nil"/>
              <w:left w:val="single" w:sz="4" w:space="0" w:color="auto"/>
              <w:bottom w:val="single" w:sz="4" w:space="0" w:color="auto"/>
              <w:right w:val="single" w:sz="4" w:space="0" w:color="auto"/>
            </w:tcBorders>
            <w:shd w:val="clear" w:color="auto" w:fill="C6EFCE"/>
            <w:noWrap/>
          </w:tcPr>
          <w:p w14:paraId="4B8484D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2407ED7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610F9B2F"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1 000</w:t>
            </w:r>
          </w:p>
        </w:tc>
        <w:tc>
          <w:tcPr>
            <w:tcW w:w="840" w:type="dxa"/>
            <w:tcBorders>
              <w:top w:val="nil"/>
              <w:left w:val="single" w:sz="4" w:space="0" w:color="auto"/>
              <w:bottom w:val="single" w:sz="4" w:space="0" w:color="auto"/>
              <w:right w:val="single" w:sz="4" w:space="0" w:color="auto"/>
            </w:tcBorders>
            <w:shd w:val="clear" w:color="auto" w:fill="C6EFCE"/>
            <w:noWrap/>
          </w:tcPr>
          <w:p w14:paraId="1C3CEF0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12 900</w:t>
            </w:r>
          </w:p>
        </w:tc>
        <w:tc>
          <w:tcPr>
            <w:tcW w:w="1316" w:type="dxa"/>
            <w:tcBorders>
              <w:top w:val="nil"/>
              <w:left w:val="single" w:sz="4" w:space="0" w:color="auto"/>
              <w:bottom w:val="single" w:sz="4" w:space="0" w:color="auto"/>
              <w:right w:val="single" w:sz="4" w:space="0" w:color="auto"/>
            </w:tcBorders>
            <w:shd w:val="clear" w:color="auto" w:fill="C6EFCE"/>
            <w:noWrap/>
          </w:tcPr>
          <w:p w14:paraId="735CD073"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2" w:type="dxa"/>
            <w:tcBorders>
              <w:top w:val="nil"/>
              <w:left w:val="single" w:sz="4" w:space="0" w:color="auto"/>
              <w:bottom w:val="single" w:sz="4" w:space="0" w:color="auto"/>
              <w:right w:val="single" w:sz="4" w:space="0" w:color="auto"/>
            </w:tcBorders>
            <w:shd w:val="clear" w:color="auto" w:fill="C6EFCE"/>
            <w:noWrap/>
          </w:tcPr>
          <w:p w14:paraId="627BB9B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0B7FB077"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Un total de cel puțin 12 900 de sisteme individuale sau alte sisteme corespunzătoare vor fi construite și operaționalizate pentru preluarea încărcării din aglomerările mai mici de 2 000 de locuitori echivalenți, care împiedică atingerea unei stări bune a corpurilor de apă și / sau afectează arii naturale protejate. </w:t>
            </w:r>
          </w:p>
        </w:tc>
      </w:tr>
      <w:tr w:rsidR="000A27B3" w:rsidRPr="000A27B3" w14:paraId="3D37598E"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4737E36C"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11</w:t>
            </w:r>
          </w:p>
        </w:tc>
        <w:tc>
          <w:tcPr>
            <w:tcW w:w="2117" w:type="dxa"/>
            <w:tcBorders>
              <w:top w:val="nil"/>
              <w:left w:val="single" w:sz="4" w:space="0" w:color="auto"/>
              <w:bottom w:val="single" w:sz="4" w:space="0" w:color="auto"/>
              <w:right w:val="single" w:sz="4" w:space="0" w:color="auto"/>
            </w:tcBorders>
            <w:shd w:val="clear" w:color="auto" w:fill="C6EFCE"/>
            <w:noWrap/>
          </w:tcPr>
          <w:p w14:paraId="20BADED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Colectarea apelor uzate în aglomerări mai mici de 2 000 de locuitori echivalenți, care împiedică atingerea unei stări bune a corpurilor de apă și / sau afectează arii naturale protejate</w:t>
            </w:r>
          </w:p>
        </w:tc>
        <w:tc>
          <w:tcPr>
            <w:tcW w:w="1123" w:type="dxa"/>
            <w:tcBorders>
              <w:top w:val="nil"/>
              <w:left w:val="single" w:sz="4" w:space="0" w:color="auto"/>
              <w:bottom w:val="single" w:sz="4" w:space="0" w:color="auto"/>
              <w:right w:val="single" w:sz="4" w:space="0" w:color="auto"/>
            </w:tcBorders>
            <w:shd w:val="clear" w:color="auto" w:fill="C6EFCE"/>
            <w:noWrap/>
          </w:tcPr>
          <w:p w14:paraId="6F285379"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51A5F55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Rețelele de canalizare în aglomerări mai mici de 2 000 de locuitori echivalenți sunt construite și operaționale </w:t>
            </w:r>
          </w:p>
        </w:tc>
        <w:tc>
          <w:tcPr>
            <w:tcW w:w="1680" w:type="dxa"/>
            <w:tcBorders>
              <w:top w:val="nil"/>
              <w:left w:val="single" w:sz="4" w:space="0" w:color="auto"/>
              <w:bottom w:val="single" w:sz="4" w:space="0" w:color="auto"/>
              <w:right w:val="single" w:sz="4" w:space="0" w:color="auto"/>
            </w:tcBorders>
            <w:shd w:val="clear" w:color="auto" w:fill="C6EFCE"/>
            <w:noWrap/>
          </w:tcPr>
          <w:p w14:paraId="4F8F56C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3A241F5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200" w:type="dxa"/>
            <w:tcBorders>
              <w:top w:val="nil"/>
              <w:left w:val="single" w:sz="4" w:space="0" w:color="auto"/>
              <w:bottom w:val="single" w:sz="4" w:space="0" w:color="auto"/>
              <w:right w:val="single" w:sz="4" w:space="0" w:color="auto"/>
            </w:tcBorders>
            <w:shd w:val="clear" w:color="auto" w:fill="C6EFCE"/>
            <w:noWrap/>
          </w:tcPr>
          <w:p w14:paraId="7B7EFE0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0CCF700D" w14:textId="3AABE5FE" w:rsidR="007B1C1A" w:rsidRPr="000A27B3" w:rsidRDefault="1D4B74E3" w:rsidP="3E5D43F5">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80</w:t>
            </w:r>
          </w:p>
        </w:tc>
        <w:tc>
          <w:tcPr>
            <w:tcW w:w="1316" w:type="dxa"/>
            <w:tcBorders>
              <w:top w:val="nil"/>
              <w:left w:val="single" w:sz="4" w:space="0" w:color="auto"/>
              <w:bottom w:val="single" w:sz="4" w:space="0" w:color="auto"/>
              <w:right w:val="single" w:sz="4" w:space="0" w:color="auto"/>
            </w:tcBorders>
            <w:shd w:val="clear" w:color="auto" w:fill="C6EFCE"/>
            <w:noWrap/>
          </w:tcPr>
          <w:p w14:paraId="7A86818B"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2" w:type="dxa"/>
            <w:tcBorders>
              <w:top w:val="nil"/>
              <w:left w:val="single" w:sz="4" w:space="0" w:color="auto"/>
              <w:bottom w:val="single" w:sz="4" w:space="0" w:color="auto"/>
              <w:right w:val="single" w:sz="4" w:space="0" w:color="auto"/>
            </w:tcBorders>
            <w:shd w:val="clear" w:color="auto" w:fill="C6EFCE"/>
            <w:noWrap/>
          </w:tcPr>
          <w:p w14:paraId="560B5D26"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286FE1EE" w14:textId="6FA31531" w:rsidR="007B1C1A" w:rsidRPr="000A27B3" w:rsidRDefault="007B1C1A" w:rsidP="0908C516">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Cel puțin 80 km de rețele de canalizare vor fi construite și operaționale în aglomerări mai mici de 2 000 de locuitori echivalenți, cu respectarea modificărilor aduse Legii nr. 241/2006 conform jalonului 1. </w:t>
            </w:r>
          </w:p>
        </w:tc>
      </w:tr>
      <w:tr w:rsidR="000A27B3" w:rsidRPr="000A27B3" w14:paraId="214E3FC7"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4B73E586"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12</w:t>
            </w:r>
          </w:p>
        </w:tc>
        <w:tc>
          <w:tcPr>
            <w:tcW w:w="2117" w:type="dxa"/>
            <w:tcBorders>
              <w:top w:val="nil"/>
              <w:left w:val="single" w:sz="4" w:space="0" w:color="auto"/>
              <w:bottom w:val="single" w:sz="4" w:space="0" w:color="auto"/>
              <w:right w:val="single" w:sz="4" w:space="0" w:color="auto"/>
            </w:tcBorders>
            <w:shd w:val="clear" w:color="auto" w:fill="C6EFCE"/>
            <w:noWrap/>
          </w:tcPr>
          <w:p w14:paraId="6CD5629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2. Colectarea apelor uzate în aglomerări mai mici de 2 000 de locuitori echivalenți, care împiedică atingerea unei stări bune a corpurilor de apă și / sau afectează arii naturale protejate </w:t>
            </w:r>
          </w:p>
        </w:tc>
        <w:tc>
          <w:tcPr>
            <w:tcW w:w="1123" w:type="dxa"/>
            <w:tcBorders>
              <w:top w:val="nil"/>
              <w:left w:val="single" w:sz="4" w:space="0" w:color="auto"/>
              <w:bottom w:val="single" w:sz="4" w:space="0" w:color="auto"/>
              <w:right w:val="single" w:sz="4" w:space="0" w:color="auto"/>
            </w:tcBorders>
            <w:shd w:val="clear" w:color="auto" w:fill="C6EFCE"/>
            <w:noWrap/>
          </w:tcPr>
          <w:p w14:paraId="1687BC1C"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64F12686"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Rețelele de canalizare în aglomerări mai mici de 2 000 de locuitori echivalenți sunt construite și operaționale</w:t>
            </w:r>
          </w:p>
        </w:tc>
        <w:tc>
          <w:tcPr>
            <w:tcW w:w="1680" w:type="dxa"/>
            <w:tcBorders>
              <w:top w:val="nil"/>
              <w:left w:val="single" w:sz="4" w:space="0" w:color="auto"/>
              <w:bottom w:val="single" w:sz="4" w:space="0" w:color="auto"/>
              <w:right w:val="single" w:sz="4" w:space="0" w:color="auto"/>
            </w:tcBorders>
            <w:shd w:val="clear" w:color="auto" w:fill="C6EFCE"/>
            <w:noWrap/>
          </w:tcPr>
          <w:p w14:paraId="649CC1FA"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443B20EF"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200" w:type="dxa"/>
            <w:tcBorders>
              <w:top w:val="nil"/>
              <w:left w:val="single" w:sz="4" w:space="0" w:color="auto"/>
              <w:bottom w:val="single" w:sz="4" w:space="0" w:color="auto"/>
              <w:right w:val="single" w:sz="4" w:space="0" w:color="auto"/>
            </w:tcBorders>
            <w:shd w:val="clear" w:color="auto" w:fill="C6EFCE"/>
            <w:noWrap/>
          </w:tcPr>
          <w:p w14:paraId="02B72823" w14:textId="5E70FA6D" w:rsidR="007B1C1A" w:rsidRPr="000A27B3" w:rsidRDefault="00156B52">
            <w:pPr>
              <w:spacing w:after="0" w:line="240" w:lineRule="auto"/>
              <w:jc w:val="both"/>
              <w:rPr>
                <w:rFonts w:ascii="Times New Roman" w:eastAsia="Times New Roman" w:hAnsi="Times New Roman" w:cs="Times New Roman"/>
                <w:noProof/>
                <w:sz w:val="24"/>
              </w:rPr>
            </w:pPr>
            <w:r>
              <w:rPr>
                <w:rFonts w:ascii="Times New Roman" w:hAnsi="Times New Roman"/>
                <w:noProof/>
                <w:sz w:val="24"/>
              </w:rPr>
              <w:t>80</w:t>
            </w:r>
          </w:p>
        </w:tc>
        <w:tc>
          <w:tcPr>
            <w:tcW w:w="840" w:type="dxa"/>
            <w:tcBorders>
              <w:top w:val="nil"/>
              <w:left w:val="single" w:sz="4" w:space="0" w:color="auto"/>
              <w:bottom w:val="single" w:sz="4" w:space="0" w:color="auto"/>
              <w:right w:val="single" w:sz="4" w:space="0" w:color="auto"/>
            </w:tcBorders>
            <w:shd w:val="clear" w:color="auto" w:fill="C6EFCE"/>
            <w:noWrap/>
          </w:tcPr>
          <w:p w14:paraId="18F7D30E" w14:textId="2F440ABB" w:rsidR="007B1C1A" w:rsidRPr="000A27B3" w:rsidRDefault="3EDD47AC" w:rsidP="3E5D43F5">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320</w:t>
            </w:r>
          </w:p>
        </w:tc>
        <w:tc>
          <w:tcPr>
            <w:tcW w:w="1316" w:type="dxa"/>
            <w:tcBorders>
              <w:top w:val="nil"/>
              <w:left w:val="single" w:sz="4" w:space="0" w:color="auto"/>
              <w:bottom w:val="single" w:sz="4" w:space="0" w:color="auto"/>
              <w:right w:val="single" w:sz="4" w:space="0" w:color="auto"/>
            </w:tcBorders>
            <w:shd w:val="clear" w:color="auto" w:fill="C6EFCE"/>
            <w:noWrap/>
          </w:tcPr>
          <w:p w14:paraId="3AE9D3A3"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2" w:type="dxa"/>
            <w:tcBorders>
              <w:top w:val="nil"/>
              <w:left w:val="single" w:sz="4" w:space="0" w:color="auto"/>
              <w:bottom w:val="single" w:sz="4" w:space="0" w:color="auto"/>
              <w:right w:val="single" w:sz="4" w:space="0" w:color="auto"/>
            </w:tcBorders>
            <w:shd w:val="clear" w:color="auto" w:fill="C6EFCE"/>
            <w:noWrap/>
          </w:tcPr>
          <w:p w14:paraId="5A7F8D7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27D383D9" w14:textId="11C5F8A1" w:rsidR="007B1C1A" w:rsidRPr="000A27B3" w:rsidRDefault="007B1C1A" w:rsidP="0908C516">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Un total de cel puțin 320 km de rețele de canalizare vor fi construite și operaționale în aglomerări mai mici de 2 000 de locuitori echivalenți, cu respectarea modificărilor aduse Legii nr. 241/2006 conform jalonului 1.</w:t>
            </w:r>
          </w:p>
        </w:tc>
      </w:tr>
      <w:tr w:rsidR="000A27B3" w:rsidRPr="000A27B3" w14:paraId="47AC23D8"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39F18D26"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13</w:t>
            </w:r>
          </w:p>
        </w:tc>
        <w:tc>
          <w:tcPr>
            <w:tcW w:w="2117" w:type="dxa"/>
            <w:tcBorders>
              <w:top w:val="nil"/>
              <w:left w:val="single" w:sz="4" w:space="0" w:color="auto"/>
              <w:bottom w:val="single" w:sz="4" w:space="0" w:color="auto"/>
              <w:right w:val="single" w:sz="4" w:space="0" w:color="auto"/>
            </w:tcBorders>
            <w:shd w:val="clear" w:color="auto" w:fill="C6EFCE"/>
            <w:noWrap/>
          </w:tcPr>
          <w:p w14:paraId="6180671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 Sprijinirea conectării populației cu venituri mici la rețelele de alimentare cu apă și canalizare existente</w:t>
            </w:r>
          </w:p>
        </w:tc>
        <w:tc>
          <w:tcPr>
            <w:tcW w:w="1123" w:type="dxa"/>
            <w:tcBorders>
              <w:top w:val="nil"/>
              <w:left w:val="single" w:sz="4" w:space="0" w:color="auto"/>
              <w:bottom w:val="single" w:sz="4" w:space="0" w:color="auto"/>
              <w:right w:val="single" w:sz="4" w:space="0" w:color="auto"/>
            </w:tcBorders>
            <w:shd w:val="clear" w:color="auto" w:fill="C6EFCE"/>
            <w:noWrap/>
          </w:tcPr>
          <w:p w14:paraId="2BC70DA8"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30565F0A"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Gospodării conectate la rețeaua de apă și canalizare prin intermediul programului național „Prima conectare la apă și canalizare”</w:t>
            </w:r>
          </w:p>
        </w:tc>
        <w:tc>
          <w:tcPr>
            <w:tcW w:w="1680" w:type="dxa"/>
            <w:tcBorders>
              <w:top w:val="nil"/>
              <w:left w:val="single" w:sz="4" w:space="0" w:color="auto"/>
              <w:bottom w:val="single" w:sz="4" w:space="0" w:color="auto"/>
              <w:right w:val="single" w:sz="4" w:space="0" w:color="auto"/>
            </w:tcBorders>
            <w:shd w:val="clear" w:color="auto" w:fill="C6EFCE"/>
            <w:noWrap/>
          </w:tcPr>
          <w:p w14:paraId="10EF996B"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59CFD28D"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33113584"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23A9446A" w14:textId="27A30B28" w:rsidR="007B1C1A" w:rsidRPr="000A27B3" w:rsidRDefault="3DA5F127" w:rsidP="3E5D43F5">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70 851</w:t>
            </w:r>
          </w:p>
        </w:tc>
        <w:tc>
          <w:tcPr>
            <w:tcW w:w="1316" w:type="dxa"/>
            <w:tcBorders>
              <w:top w:val="nil"/>
              <w:left w:val="single" w:sz="4" w:space="0" w:color="auto"/>
              <w:bottom w:val="single" w:sz="4" w:space="0" w:color="auto"/>
              <w:right w:val="single" w:sz="4" w:space="0" w:color="auto"/>
            </w:tcBorders>
            <w:shd w:val="clear" w:color="auto" w:fill="C6EFCE"/>
            <w:noWrap/>
          </w:tcPr>
          <w:p w14:paraId="3A4E1A0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2" w:type="dxa"/>
            <w:tcBorders>
              <w:top w:val="nil"/>
              <w:left w:val="single" w:sz="4" w:space="0" w:color="auto"/>
              <w:bottom w:val="single" w:sz="4" w:space="0" w:color="auto"/>
              <w:right w:val="single" w:sz="4" w:space="0" w:color="auto"/>
            </w:tcBorders>
            <w:shd w:val="clear" w:color="auto" w:fill="C6EFCE"/>
            <w:noWrap/>
          </w:tcPr>
          <w:p w14:paraId="1D5B6C8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2ED32C58" w14:textId="3E294012" w:rsidR="007B1C1A" w:rsidRPr="000A27B3" w:rsidRDefault="05E346A8" w:rsidP="167D6BC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Cel puțin 70 851 de gospodării suplimentare vor fi conectate la apă și canalizare prin intermediul programului național „Prima conectare la apă și canalizare”.</w:t>
            </w:r>
          </w:p>
        </w:tc>
      </w:tr>
      <w:tr w:rsidR="000A27B3" w:rsidRPr="000A27B3" w14:paraId="7C501822"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4E1E336A"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w:t>
            </w:r>
          </w:p>
        </w:tc>
        <w:tc>
          <w:tcPr>
            <w:tcW w:w="2117" w:type="dxa"/>
            <w:tcBorders>
              <w:top w:val="nil"/>
              <w:left w:val="single" w:sz="4" w:space="0" w:color="auto"/>
              <w:bottom w:val="single" w:sz="4" w:space="0" w:color="auto"/>
              <w:right w:val="single" w:sz="4" w:space="0" w:color="auto"/>
            </w:tcBorders>
            <w:shd w:val="clear" w:color="auto" w:fill="C6EFCE"/>
            <w:noWrap/>
          </w:tcPr>
          <w:p w14:paraId="511B9641" w14:textId="48F7003A"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Investiția 4.1. Reabilitarea liniilor de apărare existente în conformitate cu Directiva privind inundațiile și cu Strategia Națională pentru Managementul Riscului la Inundații</w:t>
            </w:r>
            <w:r w:rsidR="004C4C72">
              <w:rPr>
                <w:rFonts w:ascii="Times New Roman" w:hAnsi="Times New Roman"/>
                <w:noProof/>
                <w:sz w:val="24"/>
              </w:rPr>
              <w:t xml:space="preserve"> </w:t>
            </w:r>
          </w:p>
        </w:tc>
        <w:tc>
          <w:tcPr>
            <w:tcW w:w="1123" w:type="dxa"/>
            <w:tcBorders>
              <w:top w:val="nil"/>
              <w:left w:val="single" w:sz="4" w:space="0" w:color="auto"/>
              <w:bottom w:val="single" w:sz="4" w:space="0" w:color="auto"/>
              <w:right w:val="single" w:sz="4" w:space="0" w:color="auto"/>
            </w:tcBorders>
            <w:shd w:val="clear" w:color="auto" w:fill="C6EFCE"/>
            <w:noWrap/>
          </w:tcPr>
          <w:p w14:paraId="089BCD0E" w14:textId="77777777" w:rsidR="007B1C1A" w:rsidRPr="000A27B3" w:rsidRDefault="007B1C1A">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6A0BCE98"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Reabilitarea liniilor de apărare împotriva inundațiilor în conformitate cu Directiva privind inundațiile și cu Strategia Națională pentru Managementul Riscului la Inundații </w:t>
            </w:r>
          </w:p>
        </w:tc>
        <w:tc>
          <w:tcPr>
            <w:tcW w:w="1680" w:type="dxa"/>
            <w:tcBorders>
              <w:top w:val="nil"/>
              <w:left w:val="single" w:sz="4" w:space="0" w:color="auto"/>
              <w:bottom w:val="single" w:sz="4" w:space="0" w:color="auto"/>
              <w:right w:val="single" w:sz="4" w:space="0" w:color="auto"/>
            </w:tcBorders>
            <w:shd w:val="clear" w:color="auto" w:fill="C6EFCE"/>
            <w:noWrap/>
          </w:tcPr>
          <w:p w14:paraId="5E3886A4"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04FA00E7"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Kilometri (km)</w:t>
            </w:r>
          </w:p>
        </w:tc>
        <w:tc>
          <w:tcPr>
            <w:tcW w:w="1200" w:type="dxa"/>
            <w:tcBorders>
              <w:top w:val="nil"/>
              <w:left w:val="single" w:sz="4" w:space="0" w:color="auto"/>
              <w:bottom w:val="single" w:sz="4" w:space="0" w:color="auto"/>
              <w:right w:val="single" w:sz="4" w:space="0" w:color="auto"/>
            </w:tcBorders>
            <w:shd w:val="clear" w:color="auto" w:fill="C6EFCE"/>
            <w:noWrap/>
          </w:tcPr>
          <w:p w14:paraId="5531F93F"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7863B65F" w14:textId="6941CAFE" w:rsidR="007B1C1A" w:rsidRPr="000A27B3" w:rsidRDefault="0ABFAE0D">
            <w:pPr>
              <w:spacing w:after="0" w:line="240" w:lineRule="auto"/>
              <w:jc w:val="both"/>
              <w:rPr>
                <w:rFonts w:ascii="Times New Roman" w:hAnsi="Times New Roman" w:cs="Times New Roman"/>
                <w:noProof/>
                <w:sz w:val="24"/>
                <w:szCs w:val="24"/>
              </w:rPr>
            </w:pPr>
            <w:r>
              <w:rPr>
                <w:rFonts w:ascii="Times New Roman" w:hAnsi="Times New Roman"/>
                <w:noProof/>
                <w:sz w:val="24"/>
              </w:rPr>
              <w:t>79</w:t>
            </w:r>
          </w:p>
        </w:tc>
        <w:tc>
          <w:tcPr>
            <w:tcW w:w="1316" w:type="dxa"/>
            <w:tcBorders>
              <w:top w:val="nil"/>
              <w:left w:val="single" w:sz="4" w:space="0" w:color="auto"/>
              <w:bottom w:val="single" w:sz="4" w:space="0" w:color="auto"/>
              <w:right w:val="single" w:sz="4" w:space="0" w:color="auto"/>
            </w:tcBorders>
            <w:shd w:val="clear" w:color="auto" w:fill="C6EFCE"/>
            <w:noWrap/>
          </w:tcPr>
          <w:p w14:paraId="0A7EA1C0"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42" w:type="dxa"/>
            <w:tcBorders>
              <w:top w:val="nil"/>
              <w:left w:val="single" w:sz="4" w:space="0" w:color="auto"/>
              <w:bottom w:val="single" w:sz="4" w:space="0" w:color="auto"/>
              <w:right w:val="single" w:sz="4" w:space="0" w:color="auto"/>
            </w:tcBorders>
            <w:shd w:val="clear" w:color="auto" w:fill="C6EFCE"/>
            <w:noWrap/>
          </w:tcPr>
          <w:p w14:paraId="7EEB8710"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59EF34E6" w14:textId="12677ED3"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Cel puțin 79 km de linii de apărare împotriva inundațiilor vor fi reabilitate în conformitate cu Directiva privind inundațiile și cu Strategia Națională pentru Managementul Riscului la Inundații. Lucrările de reabilitare vor fi prioritizate pe baza planurilor de prevenire a inundațiilor și de protecție împotriva inundațiilor și vor consta în umpluturi din materiale locale extrase din zonele dig-mal, urmate de acoperirea cu un strat vegetal înierbat.</w:t>
            </w:r>
          </w:p>
        </w:tc>
      </w:tr>
      <w:tr w:rsidR="000A27B3" w:rsidRPr="000A27B3" w14:paraId="1D2AD2EB"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33CFEC6B"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w:t>
            </w:r>
          </w:p>
        </w:tc>
        <w:tc>
          <w:tcPr>
            <w:tcW w:w="2117" w:type="dxa"/>
            <w:tcBorders>
              <w:top w:val="nil"/>
              <w:left w:val="single" w:sz="4" w:space="0" w:color="auto"/>
              <w:bottom w:val="single" w:sz="4" w:space="0" w:color="auto"/>
              <w:right w:val="single" w:sz="4" w:space="0" w:color="auto"/>
            </w:tcBorders>
            <w:shd w:val="clear" w:color="auto" w:fill="C6EFCE"/>
            <w:noWrap/>
          </w:tcPr>
          <w:p w14:paraId="120EC796"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4.1. Reabilitarea liniilor de apărare existente în conformitate cu Directiva privind inundațiile și cu Strategia Națională pentru Managementul Riscului la Inundații </w:t>
            </w:r>
          </w:p>
        </w:tc>
        <w:tc>
          <w:tcPr>
            <w:tcW w:w="1123" w:type="dxa"/>
            <w:tcBorders>
              <w:top w:val="nil"/>
              <w:left w:val="single" w:sz="4" w:space="0" w:color="auto"/>
              <w:bottom w:val="single" w:sz="4" w:space="0" w:color="auto"/>
              <w:right w:val="single" w:sz="4" w:space="0" w:color="auto"/>
            </w:tcBorders>
            <w:shd w:val="clear" w:color="auto" w:fill="C6EFCE"/>
            <w:noWrap/>
          </w:tcPr>
          <w:p w14:paraId="5143153B"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38C6E1D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Reabilitarea liniilor de apărare împotriva inundațiilor în conformitate cu Directiva privind inundațiile și cu Strategia Națională pentru Managementul Riscului la Inundații </w:t>
            </w:r>
          </w:p>
        </w:tc>
        <w:tc>
          <w:tcPr>
            <w:tcW w:w="1680" w:type="dxa"/>
            <w:tcBorders>
              <w:top w:val="nil"/>
              <w:left w:val="single" w:sz="4" w:space="0" w:color="auto"/>
              <w:bottom w:val="single" w:sz="4" w:space="0" w:color="auto"/>
              <w:right w:val="single" w:sz="4" w:space="0" w:color="auto"/>
            </w:tcBorders>
            <w:shd w:val="clear" w:color="auto" w:fill="C6EFCE"/>
            <w:noWrap/>
          </w:tcPr>
          <w:p w14:paraId="4ECEB114"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27392B2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200" w:type="dxa"/>
            <w:tcBorders>
              <w:top w:val="nil"/>
              <w:left w:val="single" w:sz="4" w:space="0" w:color="auto"/>
              <w:bottom w:val="single" w:sz="4" w:space="0" w:color="auto"/>
              <w:right w:val="single" w:sz="4" w:space="0" w:color="auto"/>
            </w:tcBorders>
            <w:shd w:val="clear" w:color="auto" w:fill="C6EFCE"/>
            <w:noWrap/>
          </w:tcPr>
          <w:p w14:paraId="60525613" w14:textId="7CAA9170" w:rsidR="007B1C1A" w:rsidRPr="000A27B3" w:rsidRDefault="2F60B9E2" w:rsidP="0908C516">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79</w:t>
            </w:r>
          </w:p>
        </w:tc>
        <w:tc>
          <w:tcPr>
            <w:tcW w:w="840" w:type="dxa"/>
            <w:tcBorders>
              <w:top w:val="nil"/>
              <w:left w:val="single" w:sz="4" w:space="0" w:color="auto"/>
              <w:bottom w:val="single" w:sz="4" w:space="0" w:color="auto"/>
              <w:right w:val="single" w:sz="4" w:space="0" w:color="auto"/>
            </w:tcBorders>
            <w:shd w:val="clear" w:color="auto" w:fill="C6EFCE"/>
            <w:noWrap/>
          </w:tcPr>
          <w:p w14:paraId="71AFE04B" w14:textId="369A7C09" w:rsidR="007B1C1A" w:rsidRPr="000A27B3" w:rsidRDefault="78944F24" w:rsidP="0908C516">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408</w:t>
            </w:r>
          </w:p>
        </w:tc>
        <w:tc>
          <w:tcPr>
            <w:tcW w:w="1316" w:type="dxa"/>
            <w:tcBorders>
              <w:top w:val="nil"/>
              <w:left w:val="single" w:sz="4" w:space="0" w:color="auto"/>
              <w:bottom w:val="single" w:sz="4" w:space="0" w:color="auto"/>
              <w:right w:val="single" w:sz="4" w:space="0" w:color="auto"/>
            </w:tcBorders>
            <w:shd w:val="clear" w:color="auto" w:fill="C6EFCE"/>
            <w:noWrap/>
          </w:tcPr>
          <w:p w14:paraId="2F103B77"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42" w:type="dxa"/>
            <w:tcBorders>
              <w:top w:val="nil"/>
              <w:left w:val="single" w:sz="4" w:space="0" w:color="auto"/>
              <w:bottom w:val="single" w:sz="4" w:space="0" w:color="auto"/>
              <w:right w:val="single" w:sz="4" w:space="0" w:color="auto"/>
            </w:tcBorders>
            <w:shd w:val="clear" w:color="auto" w:fill="C6EFCE"/>
            <w:noWrap/>
          </w:tcPr>
          <w:p w14:paraId="2576EDE7"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4E922D34" w14:textId="5F9532F8"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 total de cel puțin 408 km de linii de apărare împotriva inundațiilor vor fi reabilitate în conformitate cu Directiva privind inundațiile și cu Strategia Națională pentru Managementul Riscului la Inundații. </w:t>
            </w:r>
          </w:p>
          <w:p w14:paraId="54AFDAA2"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Lucrările de reabilitare vor fi prioritizate pe baza planurilor de prevenire a inundațiilor și de protecție împotriva inundațiilor și vor consta în umpluturi din materiale locale extrase din zonele dig-mal, urmate de acoperirea cu un strat vegetal înierbat.</w:t>
            </w:r>
          </w:p>
        </w:tc>
      </w:tr>
      <w:tr w:rsidR="000A27B3" w:rsidRPr="000A27B3" w14:paraId="7E451362"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0EB5E791"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w:t>
            </w:r>
          </w:p>
        </w:tc>
        <w:tc>
          <w:tcPr>
            <w:tcW w:w="2117" w:type="dxa"/>
            <w:tcBorders>
              <w:top w:val="nil"/>
              <w:left w:val="single" w:sz="4" w:space="0" w:color="auto"/>
              <w:bottom w:val="single" w:sz="4" w:space="0" w:color="auto"/>
              <w:right w:val="single" w:sz="4" w:space="0" w:color="auto"/>
            </w:tcBorders>
            <w:shd w:val="clear" w:color="auto" w:fill="C6EFCE"/>
            <w:noWrap/>
          </w:tcPr>
          <w:p w14:paraId="5F018284"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4.2. Reabilitarea acumulărilor existente care necesită intervenții de urgență pentru exploatarea în condiții de siguranță </w:t>
            </w:r>
          </w:p>
        </w:tc>
        <w:tc>
          <w:tcPr>
            <w:tcW w:w="1123" w:type="dxa"/>
            <w:tcBorders>
              <w:top w:val="nil"/>
              <w:left w:val="single" w:sz="4" w:space="0" w:color="auto"/>
              <w:bottom w:val="single" w:sz="4" w:space="0" w:color="auto"/>
              <w:right w:val="single" w:sz="4" w:space="0" w:color="auto"/>
            </w:tcBorders>
            <w:shd w:val="clear" w:color="auto" w:fill="C6EFCE"/>
            <w:noWrap/>
          </w:tcPr>
          <w:p w14:paraId="0631EBCB"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60" w:type="dxa"/>
            <w:tcBorders>
              <w:top w:val="nil"/>
              <w:left w:val="single" w:sz="4" w:space="0" w:color="auto"/>
              <w:bottom w:val="single" w:sz="4" w:space="0" w:color="auto"/>
              <w:right w:val="single" w:sz="4" w:space="0" w:color="auto"/>
            </w:tcBorders>
            <w:shd w:val="clear" w:color="auto" w:fill="C6EFCE"/>
            <w:noWrap/>
          </w:tcPr>
          <w:p w14:paraId="6C04BF14"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Adoptarea conceptelor de proiect prin hotărâre de guvern/ordin ministerial, după caz </w:t>
            </w:r>
          </w:p>
        </w:tc>
        <w:tc>
          <w:tcPr>
            <w:tcW w:w="1680" w:type="dxa"/>
            <w:tcBorders>
              <w:top w:val="nil"/>
              <w:left w:val="single" w:sz="4" w:space="0" w:color="auto"/>
              <w:bottom w:val="single" w:sz="4" w:space="0" w:color="auto"/>
              <w:right w:val="single" w:sz="4" w:space="0" w:color="auto"/>
            </w:tcBorders>
            <w:shd w:val="clear" w:color="auto" w:fill="C6EFCE"/>
            <w:noWrap/>
          </w:tcPr>
          <w:p w14:paraId="1B9172D0"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hotărârii de guvern/ordinului ministerial, după caz</w:t>
            </w:r>
          </w:p>
        </w:tc>
        <w:tc>
          <w:tcPr>
            <w:tcW w:w="1320" w:type="dxa"/>
            <w:tcBorders>
              <w:top w:val="nil"/>
              <w:left w:val="single" w:sz="4" w:space="0" w:color="auto"/>
              <w:bottom w:val="single" w:sz="4" w:space="0" w:color="auto"/>
              <w:right w:val="single" w:sz="4" w:space="0" w:color="auto"/>
            </w:tcBorders>
            <w:shd w:val="clear" w:color="auto" w:fill="C6EFCE"/>
            <w:noWrap/>
          </w:tcPr>
          <w:p w14:paraId="3461D779"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3CF2D8B6"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840" w:type="dxa"/>
            <w:tcBorders>
              <w:top w:val="nil"/>
              <w:left w:val="single" w:sz="4" w:space="0" w:color="auto"/>
              <w:bottom w:val="single" w:sz="4" w:space="0" w:color="auto"/>
              <w:right w:val="single" w:sz="4" w:space="0" w:color="auto"/>
            </w:tcBorders>
            <w:shd w:val="clear" w:color="auto" w:fill="C6EFCE"/>
            <w:noWrap/>
          </w:tcPr>
          <w:p w14:paraId="0FB78278" w14:textId="77777777" w:rsidR="007B1C1A" w:rsidRPr="009F1DC7" w:rsidRDefault="007B1C1A">
            <w:pPr>
              <w:spacing w:after="0" w:line="240" w:lineRule="auto"/>
              <w:jc w:val="both"/>
              <w:rPr>
                <w:rFonts w:ascii="Times New Roman" w:eastAsia="Times New Roman" w:hAnsi="Times New Roman" w:cs="Times New Roman"/>
                <w:noProof/>
                <w:sz w:val="24"/>
                <w:szCs w:val="24"/>
                <w:lang w:val="fr-FR" w:eastAsia="en-GB"/>
              </w:rPr>
            </w:pPr>
          </w:p>
        </w:tc>
        <w:tc>
          <w:tcPr>
            <w:tcW w:w="1316" w:type="dxa"/>
            <w:tcBorders>
              <w:top w:val="nil"/>
              <w:left w:val="single" w:sz="4" w:space="0" w:color="auto"/>
              <w:bottom w:val="single" w:sz="4" w:space="0" w:color="auto"/>
              <w:right w:val="single" w:sz="4" w:space="0" w:color="auto"/>
            </w:tcBorders>
            <w:shd w:val="clear" w:color="auto" w:fill="C6EFCE"/>
            <w:noWrap/>
          </w:tcPr>
          <w:p w14:paraId="4FC2FD8A"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T2 </w:t>
            </w:r>
          </w:p>
        </w:tc>
        <w:tc>
          <w:tcPr>
            <w:tcW w:w="742" w:type="dxa"/>
            <w:tcBorders>
              <w:top w:val="nil"/>
              <w:left w:val="single" w:sz="4" w:space="0" w:color="auto"/>
              <w:bottom w:val="single" w:sz="4" w:space="0" w:color="auto"/>
              <w:right w:val="single" w:sz="4" w:space="0" w:color="auto"/>
            </w:tcBorders>
            <w:shd w:val="clear" w:color="auto" w:fill="C6EFCE"/>
            <w:noWrap/>
          </w:tcPr>
          <w:p w14:paraId="1C623E3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835" w:type="dxa"/>
            <w:tcBorders>
              <w:top w:val="nil"/>
              <w:left w:val="single" w:sz="4" w:space="0" w:color="auto"/>
              <w:bottom w:val="single" w:sz="4" w:space="0" w:color="auto"/>
              <w:right w:val="single" w:sz="4" w:space="0" w:color="auto"/>
            </w:tcBorders>
            <w:shd w:val="clear" w:color="auto" w:fill="C6EFCE"/>
            <w:noWrap/>
          </w:tcPr>
          <w:p w14:paraId="6209DC9E" w14:textId="39C9B10E" w:rsidR="007B1C1A" w:rsidRPr="000A27B3" w:rsidRDefault="00836889">
            <w:pPr>
              <w:spacing w:after="0" w:line="240" w:lineRule="auto"/>
              <w:jc w:val="both"/>
              <w:rPr>
                <w:rFonts w:ascii="Times New Roman" w:hAnsi="Times New Roman" w:cs="Times New Roman"/>
                <w:noProof/>
                <w:sz w:val="24"/>
                <w:szCs w:val="24"/>
              </w:rPr>
            </w:pPr>
            <w:r>
              <w:rPr>
                <w:rFonts w:ascii="Times New Roman" w:hAnsi="Times New Roman"/>
                <w:noProof/>
                <w:sz w:val="24"/>
              </w:rPr>
              <w:t>Conceptele de proiect pentru reabilitarea a 13</w:t>
            </w:r>
            <w:r w:rsidR="008F1E27">
              <w:rPr>
                <w:rFonts w:ascii="Times New Roman" w:hAnsi="Times New Roman"/>
                <w:noProof/>
                <w:sz w:val="24"/>
              </w:rPr>
              <w:t> </w:t>
            </w:r>
            <w:r>
              <w:rPr>
                <w:rFonts w:ascii="Times New Roman" w:hAnsi="Times New Roman"/>
                <w:noProof/>
                <w:sz w:val="24"/>
              </w:rPr>
              <w:t>baraje existente, pentru care nu există alternative fezabile de reducere a riscului de inundații, vor fi adoptate prin hotărâre de guvern/ordin ministerial, după caz (în funcție de amploarea investiției). Studiile de fezabilitate includ, în special, o evaluare și o comparație a beneficiilor și a impacturilor alternativelor la renovarea barajelor, pentru a preveni riscurile de inundații, inclusiv eventuala eliminare a barajelor și înlocuirea lor cu soluții bazate pe natură. Această analiză a beneficiilor și a impactului va evalua atât beneficiile preconizate de pe urma diferitelor opțiuni pe termen lung, pentru a preveni riscurile de inundații și ținând seama, în special, de previziunile privind riscurile viitoare de inundații și de rezultatele de mediu.</w:t>
            </w:r>
          </w:p>
          <w:p w14:paraId="10CC6DA5"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Proiectul va avea obiectivul de a asigura exploatarea în condiții de siguranță a barajelor, reducerea riscului de inundații și protejarea corpurilor de apă și a biodiversității prin măsuri de asigurare a migrației peștilor, a debitului ecologic și de prevenire a eutrofizării corpurilor de apă. </w:t>
            </w:r>
          </w:p>
          <w:p w14:paraId="3BFEAF86"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Acesta va fi conform cu Strategia Națională pentru Managementul Riscului la Inundații și cu planurile de management al riscului la inundații aplicabile, în conformitate cu Directiva 2007/60/CE (Directiva privind inundațiile). </w:t>
            </w:r>
          </w:p>
          <w:p w14:paraId="51E2A099"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Orice măsură identificată în cadrul evaluării impactului asupra mediului, al evaluării în temeiul Directivei 2000/60/CE (Directiva-cadru privind apa) și al evaluării corespunzătoare în temeiul Directivei 92/43/CEE (Directiva privind habitatele) ca fiind necesară pentru a asigura conformitatea cu Orientările tehnice privind aplicarea principiului de „a nu aduce prejudicii semnificative” (2021/C58/01) va fi integrată în conceptul de proiect și va fi respectată cu strictețe în etapele de construcție, modernizare, exploatare și dezafectare a infrastructurii, inclusiv prin implementarea măsurilor de atenuare necesare. </w:t>
            </w:r>
          </w:p>
          <w:p w14:paraId="471A62EB"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va evita deteriorarea stării ecologice a corpurilor de apă afectate și măsura nu va împiedica îmbunătățirea stării ecologice sau a potențialului ecologic al corpurilor de apă afectate. </w:t>
            </w:r>
          </w:p>
          <w:p w14:paraId="4553EB0A"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În cazul în care se captează apă, autoritatea competentă va acorda o autorizație relevantă în care va specifica condițiile pentru evitarea deteriorării și pentru asigurarea prezervării stării ecologice bune a corpurilor de apă afectate, în conformitate cu cerințele prevăzute în Directiva-cadru privind apa și dovedite prin cele mai recente date justificative relevante.</w:t>
            </w:r>
          </w:p>
          <w:p w14:paraId="2348FC5D"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evită captarea apei în cazul în care corpurile de apă în cauză (de suprafață sau subterane) vor avea sau se preconizează că vor avea (în contextul intensificării schimbărilor climatice) o stare mai proastă decât starea bună sau potențial bună. </w:t>
            </w:r>
          </w:p>
        </w:tc>
      </w:tr>
      <w:tr w:rsidR="000A27B3" w:rsidRPr="000A27B3" w14:paraId="64CB8275"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111B77A1"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w:t>
            </w:r>
          </w:p>
        </w:tc>
        <w:tc>
          <w:tcPr>
            <w:tcW w:w="2117" w:type="dxa"/>
            <w:tcBorders>
              <w:top w:val="nil"/>
              <w:left w:val="single" w:sz="4" w:space="0" w:color="auto"/>
              <w:bottom w:val="single" w:sz="4" w:space="0" w:color="auto"/>
              <w:right w:val="single" w:sz="4" w:space="0" w:color="auto"/>
            </w:tcBorders>
            <w:shd w:val="clear" w:color="auto" w:fill="C6EFCE"/>
            <w:noWrap/>
          </w:tcPr>
          <w:p w14:paraId="31E142A3"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4.2. Reabilitarea acumulărilor existente care necesită intervenții de urgență pentru exploatarea în condiții de siguranță </w:t>
            </w:r>
          </w:p>
        </w:tc>
        <w:tc>
          <w:tcPr>
            <w:tcW w:w="1123" w:type="dxa"/>
            <w:tcBorders>
              <w:top w:val="nil"/>
              <w:left w:val="single" w:sz="4" w:space="0" w:color="auto"/>
              <w:bottom w:val="single" w:sz="4" w:space="0" w:color="auto"/>
              <w:right w:val="single" w:sz="4" w:space="0" w:color="auto"/>
            </w:tcBorders>
            <w:shd w:val="clear" w:color="auto" w:fill="C6EFCE"/>
            <w:noWrap/>
          </w:tcPr>
          <w:p w14:paraId="18A27E43"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156D0CF4"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Barajele existente reabilitate </w:t>
            </w:r>
          </w:p>
          <w:p w14:paraId="1FC39945" w14:textId="77777777" w:rsidR="007B1C1A" w:rsidRPr="000A27B3" w:rsidRDefault="007B1C1A">
            <w:pPr>
              <w:spacing w:after="0" w:line="240" w:lineRule="auto"/>
              <w:jc w:val="both"/>
              <w:rPr>
                <w:rFonts w:ascii="Times New Roman" w:hAnsi="Times New Roman" w:cs="Times New Roman"/>
                <w:noProof/>
                <w:sz w:val="24"/>
                <w:szCs w:val="24"/>
                <w:lang w:val="en-GB"/>
              </w:rPr>
            </w:pPr>
          </w:p>
          <w:p w14:paraId="0562CB0E" w14:textId="77777777" w:rsidR="007B1C1A" w:rsidRPr="000A27B3" w:rsidRDefault="007B1C1A">
            <w:pPr>
              <w:spacing w:after="0" w:line="240" w:lineRule="auto"/>
              <w:jc w:val="both"/>
              <w:rPr>
                <w:rFonts w:ascii="Times New Roman" w:eastAsia="Times New Roman" w:hAnsi="Times New Roman" w:cs="Times New Roman"/>
                <w:noProof/>
                <w:sz w:val="24"/>
                <w:szCs w:val="24"/>
                <w:lang w:val="en-GB" w:eastAsia="en-GB"/>
              </w:rPr>
            </w:pPr>
          </w:p>
        </w:tc>
        <w:tc>
          <w:tcPr>
            <w:tcW w:w="1680" w:type="dxa"/>
            <w:tcBorders>
              <w:top w:val="nil"/>
              <w:left w:val="single" w:sz="4" w:space="0" w:color="auto"/>
              <w:bottom w:val="single" w:sz="4" w:space="0" w:color="auto"/>
              <w:right w:val="single" w:sz="4" w:space="0" w:color="auto"/>
            </w:tcBorders>
            <w:shd w:val="clear" w:color="auto" w:fill="C6EFCE"/>
            <w:noWrap/>
          </w:tcPr>
          <w:p w14:paraId="0D8BF348"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03E16E06"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0213FF8E"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5007C906" w14:textId="0B2E9661" w:rsidR="007B1C1A" w:rsidRPr="000A27B3" w:rsidRDefault="3DFC3A3A" w:rsidP="3E5D43F5">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13</w:t>
            </w:r>
          </w:p>
        </w:tc>
        <w:tc>
          <w:tcPr>
            <w:tcW w:w="1316" w:type="dxa"/>
            <w:tcBorders>
              <w:top w:val="nil"/>
              <w:left w:val="single" w:sz="4" w:space="0" w:color="auto"/>
              <w:bottom w:val="single" w:sz="4" w:space="0" w:color="auto"/>
              <w:right w:val="single" w:sz="4" w:space="0" w:color="auto"/>
            </w:tcBorders>
            <w:shd w:val="clear" w:color="auto" w:fill="C6EFCE"/>
            <w:noWrap/>
          </w:tcPr>
          <w:p w14:paraId="013C9489"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42" w:type="dxa"/>
            <w:tcBorders>
              <w:top w:val="nil"/>
              <w:left w:val="single" w:sz="4" w:space="0" w:color="auto"/>
              <w:bottom w:val="single" w:sz="4" w:space="0" w:color="auto"/>
              <w:right w:val="single" w:sz="4" w:space="0" w:color="auto"/>
            </w:tcBorders>
            <w:shd w:val="clear" w:color="auto" w:fill="C6EFCE"/>
            <w:noWrap/>
          </w:tcPr>
          <w:p w14:paraId="75D37C4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4893472F" w14:textId="154BAEBA" w:rsidR="007B1C1A" w:rsidRPr="000A27B3" w:rsidRDefault="0073290F">
            <w:pPr>
              <w:spacing w:after="0" w:line="240" w:lineRule="auto"/>
              <w:jc w:val="both"/>
              <w:rPr>
                <w:rFonts w:ascii="Times New Roman" w:hAnsi="Times New Roman" w:cs="Times New Roman"/>
                <w:noProof/>
                <w:sz w:val="24"/>
                <w:szCs w:val="24"/>
              </w:rPr>
            </w:pPr>
            <w:r>
              <w:rPr>
                <w:rFonts w:ascii="Times New Roman" w:hAnsi="Times New Roman"/>
                <w:noProof/>
                <w:sz w:val="24"/>
              </w:rPr>
              <w:t>13 baraje existente, cu privire la care studiile de fezabilitate revizuite au concluzionat că nu există alternative fezabile pentru reducerea riscurilor de inundații, vor fi reabilitate în conformitate cu cerințele prevăzute referitor la jalonul 16 și respectând pe deplin rezultatele și condițiile stabilite în evaluarea cuprinzătoare și cumulativă a impactului asupra mediului care va fi finalizată în conformitate cu Directiva 2011/92/UE (Directiva privind evaluarea impactului asupra mediului), precum și evaluările relevante în contextul Directivei 2000/60/CE (Directiva-cadru privind apa) și evaluarea corespunzătoare în temeiul Directivei 92/43/CEE (Directiva privind habitatele), inclusiv implementarea măsurilor de atenuare necesare. Pentru barajele în cazul cărora eliminarea și înlocuirea cu soluții bazate pe natură au fost identificate ca fiind cea mai bună opțiune, pe baza rezultatelor studiilor de fezabilitate, se vor finaliza studii suplimentare pentru a evalua opțiunile de dezmembrare.</w:t>
            </w:r>
          </w:p>
          <w:p w14:paraId="0682133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 va atinge starea ecologică bună/potențialul ecologic bun al corpurilor de apă relevante în conformitate cu cerințele Directivei-cadru privind apa, se va demonstra atingerea acesteia/acestuia pe baza celor mai recente date justificative relevante și se va evita orice deteriorare. </w:t>
            </w:r>
          </w:p>
        </w:tc>
      </w:tr>
      <w:tr w:rsidR="000A27B3" w:rsidRPr="000A27B3" w14:paraId="17679938"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526D80A2"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w:t>
            </w:r>
          </w:p>
        </w:tc>
        <w:tc>
          <w:tcPr>
            <w:tcW w:w="2117" w:type="dxa"/>
            <w:tcBorders>
              <w:top w:val="nil"/>
              <w:left w:val="single" w:sz="4" w:space="0" w:color="auto"/>
              <w:bottom w:val="single" w:sz="4" w:space="0" w:color="auto"/>
              <w:right w:val="single" w:sz="4" w:space="0" w:color="auto"/>
            </w:tcBorders>
            <w:shd w:val="clear" w:color="auto" w:fill="C6EFCE"/>
            <w:noWrap/>
          </w:tcPr>
          <w:p w14:paraId="0101E2A9" w14:textId="6E0C6D61"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5. Dotarea adecvată a administrațiilor bazinale pentru monitorizarea infrastructurii, prevenirea și gestionarea situațiilor de urgență </w:t>
            </w:r>
          </w:p>
        </w:tc>
        <w:tc>
          <w:tcPr>
            <w:tcW w:w="1123" w:type="dxa"/>
            <w:tcBorders>
              <w:top w:val="nil"/>
              <w:left w:val="single" w:sz="4" w:space="0" w:color="auto"/>
              <w:bottom w:val="single" w:sz="4" w:space="0" w:color="auto"/>
              <w:right w:val="single" w:sz="4" w:space="0" w:color="auto"/>
            </w:tcBorders>
            <w:shd w:val="clear" w:color="auto" w:fill="C6EFCE"/>
            <w:noWrap/>
          </w:tcPr>
          <w:p w14:paraId="4E99B13E"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4692AF6C"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Administrațiile bazinale dotate cu utilaje pentru acces și intervenție în teren accidentat, șenilate amfibii pentru acces și transportul sacilor/digurilor mobile în zone greu accesibile, drone dotate cu senzori LIDAR/FLIR/fotogrametrie, tehnologii geoelectrorezistive/georadar pentru corpurile digurilor, precum și infrastructură hardware și software.</w:t>
            </w:r>
          </w:p>
        </w:tc>
        <w:tc>
          <w:tcPr>
            <w:tcW w:w="1680" w:type="dxa"/>
            <w:tcBorders>
              <w:top w:val="nil"/>
              <w:left w:val="single" w:sz="4" w:space="0" w:color="auto"/>
              <w:bottom w:val="single" w:sz="4" w:space="0" w:color="auto"/>
              <w:right w:val="single" w:sz="4" w:space="0" w:color="auto"/>
            </w:tcBorders>
            <w:shd w:val="clear" w:color="auto" w:fill="C6EFCE"/>
            <w:noWrap/>
          </w:tcPr>
          <w:p w14:paraId="5EDB29A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2C24BC91"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370D6AA5"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735DA4F4"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11</w:t>
            </w:r>
          </w:p>
        </w:tc>
        <w:tc>
          <w:tcPr>
            <w:tcW w:w="1316" w:type="dxa"/>
            <w:tcBorders>
              <w:top w:val="nil"/>
              <w:left w:val="single" w:sz="4" w:space="0" w:color="auto"/>
              <w:bottom w:val="single" w:sz="4" w:space="0" w:color="auto"/>
              <w:right w:val="single" w:sz="4" w:space="0" w:color="auto"/>
            </w:tcBorders>
            <w:shd w:val="clear" w:color="auto" w:fill="C6EFCE"/>
            <w:noWrap/>
          </w:tcPr>
          <w:p w14:paraId="34E9DC57" w14:textId="137AE4D9" w:rsidR="007B1C1A" w:rsidRPr="000A27B3" w:rsidRDefault="007B1C1A" w:rsidP="3E5D43F5">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T4</w:t>
            </w:r>
          </w:p>
        </w:tc>
        <w:tc>
          <w:tcPr>
            <w:tcW w:w="742" w:type="dxa"/>
            <w:tcBorders>
              <w:top w:val="nil"/>
              <w:left w:val="single" w:sz="4" w:space="0" w:color="auto"/>
              <w:bottom w:val="single" w:sz="4" w:space="0" w:color="auto"/>
              <w:right w:val="single" w:sz="4" w:space="0" w:color="auto"/>
            </w:tcBorders>
            <w:shd w:val="clear" w:color="auto" w:fill="C6EFCE"/>
            <w:noWrap/>
          </w:tcPr>
          <w:p w14:paraId="4A5E6086" w14:textId="6CAA130D"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835" w:type="dxa"/>
            <w:tcBorders>
              <w:top w:val="nil"/>
              <w:left w:val="single" w:sz="4" w:space="0" w:color="auto"/>
              <w:bottom w:val="single" w:sz="4" w:space="0" w:color="auto"/>
              <w:right w:val="single" w:sz="4" w:space="0" w:color="auto"/>
            </w:tcBorders>
            <w:shd w:val="clear" w:color="auto" w:fill="C6EFCE"/>
            <w:noWrap/>
          </w:tcPr>
          <w:p w14:paraId="72B0A3DF"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11 administrații bazinale vor fi dotate cu:</w:t>
            </w:r>
          </w:p>
          <w:p w14:paraId="18CD5755" w14:textId="53A9B8BB" w:rsidR="007B1C1A" w:rsidRPr="000A27B3" w:rsidRDefault="05E346A8">
            <w:pPr>
              <w:spacing w:after="0" w:line="240" w:lineRule="auto"/>
              <w:jc w:val="both"/>
              <w:rPr>
                <w:rFonts w:ascii="Times New Roman" w:hAnsi="Times New Roman" w:cs="Times New Roman"/>
                <w:noProof/>
                <w:sz w:val="24"/>
                <w:szCs w:val="24"/>
              </w:rPr>
            </w:pPr>
            <w:r>
              <w:rPr>
                <w:rFonts w:ascii="Times New Roman" w:hAnsi="Times New Roman"/>
                <w:noProof/>
                <w:sz w:val="24"/>
              </w:rPr>
              <w:t>- utilaje pentru acces și intervenție în teren accidentat, șenilate amfibii pentru acces și transportul sacilor/digurilor mobile în zone greu accesibile. Pentru a se asigura conformitatea cu Orientările tehnice DNSH (2021/C 58/01), eventualele vehicule care vor fi achiziționate vor trebui să aibă emisii specifice de CO2, astfel cum sunt definite la articolul 3 alineatul (1) litera (h) din Regulamentul (UE) 2019/631, mai mici de 50g CO2/km;</w:t>
            </w:r>
          </w:p>
          <w:p w14:paraId="041C07B0" w14:textId="099A42ED"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drone dotate cu senzori LIDAR/FLIR/</w:t>
            </w:r>
            <w:r w:rsidR="008F1E27">
              <w:rPr>
                <w:rFonts w:ascii="Times New Roman" w:hAnsi="Times New Roman"/>
                <w:noProof/>
                <w:sz w:val="24"/>
              </w:rPr>
              <w:br/>
            </w:r>
            <w:r>
              <w:rPr>
                <w:rFonts w:ascii="Times New Roman" w:hAnsi="Times New Roman"/>
                <w:noProof/>
                <w:sz w:val="24"/>
              </w:rPr>
              <w:t xml:space="preserve">fotogrametrie; </w:t>
            </w:r>
          </w:p>
          <w:p w14:paraId="53D087EA"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tehnologii geoelectrorezistive/georadar pentru corpurile digurilor;</w:t>
            </w:r>
          </w:p>
          <w:p w14:paraId="27C0AEB3" w14:textId="77777777" w:rsidR="007B1C1A" w:rsidRPr="000A27B3" w:rsidRDefault="007B1C1A">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infrastructură hardware și software pentru analiza datelor și stocarea datelor colectate de echipamentele menționate mai sus, pentru a sprijini și a îmbunătăți prevenirea inundațiilor și răspunsul situații de urgență. </w:t>
            </w:r>
          </w:p>
        </w:tc>
      </w:tr>
      <w:tr w:rsidR="000A27B3" w:rsidRPr="005209CD" w14:paraId="7C445B9D"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2847A633"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19</w:t>
            </w:r>
          </w:p>
        </w:tc>
        <w:tc>
          <w:tcPr>
            <w:tcW w:w="2117" w:type="dxa"/>
            <w:tcBorders>
              <w:top w:val="nil"/>
              <w:left w:val="single" w:sz="4" w:space="0" w:color="auto"/>
              <w:bottom w:val="single" w:sz="4" w:space="0" w:color="auto"/>
              <w:right w:val="single" w:sz="4" w:space="0" w:color="auto"/>
            </w:tcBorders>
            <w:shd w:val="clear" w:color="auto" w:fill="C6EFCE"/>
            <w:noWrap/>
          </w:tcPr>
          <w:p w14:paraId="75489D49"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6. Realizarea cadastrului apelor </w:t>
            </w:r>
          </w:p>
        </w:tc>
        <w:tc>
          <w:tcPr>
            <w:tcW w:w="1123" w:type="dxa"/>
            <w:tcBorders>
              <w:top w:val="nil"/>
              <w:left w:val="single" w:sz="4" w:space="0" w:color="auto"/>
              <w:bottom w:val="single" w:sz="4" w:space="0" w:color="auto"/>
              <w:right w:val="single" w:sz="4" w:space="0" w:color="auto"/>
            </w:tcBorders>
            <w:shd w:val="clear" w:color="auto" w:fill="C6EFCE"/>
            <w:noWrap/>
          </w:tcPr>
          <w:p w14:paraId="54DD7644" w14:textId="77777777" w:rsidR="007B1C1A" w:rsidRPr="000A27B3" w:rsidRDefault="007B1C1A">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60" w:type="dxa"/>
            <w:tcBorders>
              <w:top w:val="nil"/>
              <w:left w:val="single" w:sz="4" w:space="0" w:color="auto"/>
              <w:bottom w:val="single" w:sz="4" w:space="0" w:color="auto"/>
              <w:right w:val="single" w:sz="4" w:space="0" w:color="auto"/>
            </w:tcBorders>
            <w:shd w:val="clear" w:color="auto" w:fill="C6EFCE"/>
            <w:noWrap/>
          </w:tcPr>
          <w:p w14:paraId="2B933836"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S-a elaborat și este operațional cadastrul apelor</w:t>
            </w:r>
          </w:p>
        </w:tc>
        <w:tc>
          <w:tcPr>
            <w:tcW w:w="1680" w:type="dxa"/>
            <w:tcBorders>
              <w:top w:val="nil"/>
              <w:left w:val="single" w:sz="4" w:space="0" w:color="auto"/>
              <w:bottom w:val="single" w:sz="4" w:space="0" w:color="auto"/>
              <w:right w:val="single" w:sz="4" w:space="0" w:color="auto"/>
            </w:tcBorders>
            <w:shd w:val="clear" w:color="auto" w:fill="C6EFCE"/>
            <w:noWrap/>
          </w:tcPr>
          <w:p w14:paraId="146E6C8B"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Cadastrul apelor operațional</w:t>
            </w:r>
          </w:p>
        </w:tc>
        <w:tc>
          <w:tcPr>
            <w:tcW w:w="1320" w:type="dxa"/>
            <w:tcBorders>
              <w:top w:val="nil"/>
              <w:left w:val="single" w:sz="4" w:space="0" w:color="auto"/>
              <w:bottom w:val="single" w:sz="4" w:space="0" w:color="auto"/>
              <w:right w:val="single" w:sz="4" w:space="0" w:color="auto"/>
            </w:tcBorders>
            <w:shd w:val="clear" w:color="auto" w:fill="C6EFCE"/>
            <w:noWrap/>
          </w:tcPr>
          <w:p w14:paraId="34CE0A41" w14:textId="77777777" w:rsidR="007B1C1A" w:rsidRPr="000A27B3" w:rsidRDefault="007B1C1A">
            <w:pPr>
              <w:spacing w:after="0" w:line="240" w:lineRule="auto"/>
              <w:jc w:val="both"/>
              <w:rPr>
                <w:rFonts w:ascii="Times New Roman" w:hAnsi="Times New Roman" w:cs="Times New Roman"/>
                <w:noProof/>
                <w:sz w:val="24"/>
                <w:szCs w:val="24"/>
                <w:lang w:val="en-GB"/>
              </w:rPr>
            </w:pPr>
          </w:p>
        </w:tc>
        <w:tc>
          <w:tcPr>
            <w:tcW w:w="1200" w:type="dxa"/>
            <w:tcBorders>
              <w:top w:val="nil"/>
              <w:left w:val="single" w:sz="4" w:space="0" w:color="auto"/>
              <w:bottom w:val="single" w:sz="4" w:space="0" w:color="auto"/>
              <w:right w:val="single" w:sz="4" w:space="0" w:color="auto"/>
            </w:tcBorders>
            <w:shd w:val="clear" w:color="auto" w:fill="C6EFCE"/>
            <w:noWrap/>
          </w:tcPr>
          <w:p w14:paraId="62EBF3C5" w14:textId="77777777" w:rsidR="007B1C1A" w:rsidRPr="000A27B3" w:rsidRDefault="007B1C1A">
            <w:pPr>
              <w:spacing w:after="0" w:line="240" w:lineRule="auto"/>
              <w:jc w:val="both"/>
              <w:rPr>
                <w:rFonts w:ascii="Times New Roman" w:hAnsi="Times New Roman" w:cs="Times New Roman"/>
                <w:noProof/>
                <w:sz w:val="24"/>
                <w:szCs w:val="24"/>
                <w:lang w:val="en-GB"/>
              </w:rPr>
            </w:pPr>
          </w:p>
        </w:tc>
        <w:tc>
          <w:tcPr>
            <w:tcW w:w="840" w:type="dxa"/>
            <w:tcBorders>
              <w:top w:val="nil"/>
              <w:left w:val="single" w:sz="4" w:space="0" w:color="auto"/>
              <w:bottom w:val="single" w:sz="4" w:space="0" w:color="auto"/>
              <w:right w:val="single" w:sz="4" w:space="0" w:color="auto"/>
            </w:tcBorders>
            <w:shd w:val="clear" w:color="auto" w:fill="C6EFCE"/>
            <w:noWrap/>
          </w:tcPr>
          <w:p w14:paraId="6D98A12B" w14:textId="77777777" w:rsidR="007B1C1A" w:rsidRPr="000A27B3" w:rsidRDefault="007B1C1A">
            <w:pPr>
              <w:spacing w:after="0" w:line="240" w:lineRule="auto"/>
              <w:jc w:val="both"/>
              <w:rPr>
                <w:rFonts w:ascii="Times New Roman" w:hAnsi="Times New Roman" w:cs="Times New Roman"/>
                <w:noProof/>
                <w:sz w:val="24"/>
                <w:szCs w:val="24"/>
                <w:lang w:val="en-GB"/>
              </w:rPr>
            </w:pPr>
          </w:p>
        </w:tc>
        <w:tc>
          <w:tcPr>
            <w:tcW w:w="1316" w:type="dxa"/>
            <w:tcBorders>
              <w:top w:val="nil"/>
              <w:left w:val="single" w:sz="4" w:space="0" w:color="auto"/>
              <w:bottom w:val="single" w:sz="4" w:space="0" w:color="auto"/>
              <w:right w:val="single" w:sz="4" w:space="0" w:color="auto"/>
            </w:tcBorders>
            <w:shd w:val="clear" w:color="auto" w:fill="C6EFCE"/>
            <w:noWrap/>
          </w:tcPr>
          <w:p w14:paraId="097CEC05"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42" w:type="dxa"/>
            <w:tcBorders>
              <w:top w:val="nil"/>
              <w:left w:val="single" w:sz="4" w:space="0" w:color="auto"/>
              <w:bottom w:val="single" w:sz="4" w:space="0" w:color="auto"/>
              <w:right w:val="single" w:sz="4" w:space="0" w:color="auto"/>
            </w:tcBorders>
            <w:shd w:val="clear" w:color="auto" w:fill="C6EFCE"/>
            <w:noWrap/>
          </w:tcPr>
          <w:p w14:paraId="3C32F1D6"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2835" w:type="dxa"/>
            <w:tcBorders>
              <w:top w:val="nil"/>
              <w:left w:val="single" w:sz="4" w:space="0" w:color="auto"/>
              <w:bottom w:val="single" w:sz="4" w:space="0" w:color="auto"/>
              <w:right w:val="single" w:sz="4" w:space="0" w:color="auto"/>
            </w:tcBorders>
            <w:shd w:val="clear" w:color="auto" w:fill="C6EFCE"/>
            <w:noWrap/>
          </w:tcPr>
          <w:p w14:paraId="0F1633A5"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Cadastrul apelor va fi elaborat și operaționalizat prin:</w:t>
            </w:r>
          </w:p>
          <w:p w14:paraId="66F31AAB"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achiziționarea unui model digital de teren (DTM)/model digital de suprafață (DSM) la nivel național, bazat pe informații satelitare, care va fi pus la dispoziția tuturor autorităților de stat; </w:t>
            </w:r>
          </w:p>
          <w:p w14:paraId="5DA8861C"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dezvoltarea de software pentru determinarea modificării albiei râurilor (procesul de eroziune/sedimentare), monitorizarea extracției de pietriș și potențialul de alunecare a solului în zonele cu baraje și lacuri de acumulare;</w:t>
            </w:r>
          </w:p>
          <w:p w14:paraId="15C68E5D"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digitizarea și delimitarea semiautomată a albiile minore ale cursurilor de apă pe baza imaginilor ortofoto DTM/DSM și a imaginilor satelitare.</w:t>
            </w:r>
          </w:p>
        </w:tc>
      </w:tr>
      <w:tr w:rsidR="000A27B3" w:rsidRPr="000A27B3" w14:paraId="6203F55F"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72A4FFC0"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w:t>
            </w:r>
          </w:p>
        </w:tc>
        <w:tc>
          <w:tcPr>
            <w:tcW w:w="2117" w:type="dxa"/>
            <w:tcBorders>
              <w:top w:val="nil"/>
              <w:left w:val="single" w:sz="4" w:space="0" w:color="auto"/>
              <w:bottom w:val="single" w:sz="4" w:space="0" w:color="auto"/>
              <w:right w:val="single" w:sz="4" w:space="0" w:color="auto"/>
            </w:tcBorders>
            <w:shd w:val="clear" w:color="auto" w:fill="C6EFCE"/>
            <w:noWrap/>
          </w:tcPr>
          <w:p w14:paraId="6AC7E37B"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7. Extinderea rețelei naționale de observații din cadrul Sistemului Meteorologic Integrat Național (SIMIN) </w:t>
            </w:r>
          </w:p>
        </w:tc>
        <w:tc>
          <w:tcPr>
            <w:tcW w:w="1123" w:type="dxa"/>
            <w:tcBorders>
              <w:top w:val="nil"/>
              <w:left w:val="single" w:sz="4" w:space="0" w:color="auto"/>
              <w:bottom w:val="single" w:sz="4" w:space="0" w:color="auto"/>
              <w:right w:val="single" w:sz="4" w:space="0" w:color="auto"/>
            </w:tcBorders>
            <w:shd w:val="clear" w:color="auto" w:fill="C6EFCE"/>
            <w:noWrap/>
          </w:tcPr>
          <w:p w14:paraId="274B3D98" w14:textId="77777777" w:rsidR="007B1C1A" w:rsidRPr="000A27B3" w:rsidRDefault="007B1C1A">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60" w:type="dxa"/>
            <w:tcBorders>
              <w:top w:val="nil"/>
              <w:left w:val="single" w:sz="4" w:space="0" w:color="auto"/>
              <w:bottom w:val="single" w:sz="4" w:space="0" w:color="auto"/>
              <w:right w:val="single" w:sz="4" w:space="0" w:color="auto"/>
            </w:tcBorders>
            <w:shd w:val="clear" w:color="auto" w:fill="C6EFCE"/>
            <w:noWrap/>
          </w:tcPr>
          <w:p w14:paraId="084E2569"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Stații meteorologice achiziționate și operaționale </w:t>
            </w:r>
          </w:p>
        </w:tc>
        <w:tc>
          <w:tcPr>
            <w:tcW w:w="1680" w:type="dxa"/>
            <w:tcBorders>
              <w:top w:val="nil"/>
              <w:left w:val="single" w:sz="4" w:space="0" w:color="auto"/>
              <w:bottom w:val="single" w:sz="4" w:space="0" w:color="auto"/>
              <w:right w:val="single" w:sz="4" w:space="0" w:color="auto"/>
            </w:tcBorders>
            <w:shd w:val="clear" w:color="auto" w:fill="C6EFCE"/>
            <w:noWrap/>
          </w:tcPr>
          <w:p w14:paraId="4474F8A0"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2E2BBB66"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05F7728E"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840" w:type="dxa"/>
            <w:tcBorders>
              <w:top w:val="nil"/>
              <w:left w:val="single" w:sz="4" w:space="0" w:color="auto"/>
              <w:bottom w:val="single" w:sz="4" w:space="0" w:color="auto"/>
              <w:right w:val="single" w:sz="4" w:space="0" w:color="auto"/>
            </w:tcBorders>
            <w:shd w:val="clear" w:color="auto" w:fill="C6EFCE"/>
            <w:noWrap/>
          </w:tcPr>
          <w:p w14:paraId="3A8B2917"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400</w:t>
            </w:r>
          </w:p>
        </w:tc>
        <w:tc>
          <w:tcPr>
            <w:tcW w:w="1316" w:type="dxa"/>
            <w:tcBorders>
              <w:top w:val="nil"/>
              <w:left w:val="single" w:sz="4" w:space="0" w:color="auto"/>
              <w:bottom w:val="single" w:sz="4" w:space="0" w:color="auto"/>
              <w:right w:val="single" w:sz="4" w:space="0" w:color="auto"/>
            </w:tcBorders>
            <w:shd w:val="clear" w:color="auto" w:fill="C6EFCE"/>
            <w:noWrap/>
          </w:tcPr>
          <w:p w14:paraId="5E18D1BD"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42" w:type="dxa"/>
            <w:tcBorders>
              <w:top w:val="nil"/>
              <w:left w:val="single" w:sz="4" w:space="0" w:color="auto"/>
              <w:bottom w:val="single" w:sz="4" w:space="0" w:color="auto"/>
              <w:right w:val="single" w:sz="4" w:space="0" w:color="auto"/>
            </w:tcBorders>
            <w:shd w:val="clear" w:color="auto" w:fill="C6EFCE"/>
            <w:noWrap/>
          </w:tcPr>
          <w:p w14:paraId="49F96DD5"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2835" w:type="dxa"/>
            <w:tcBorders>
              <w:top w:val="nil"/>
              <w:left w:val="single" w:sz="4" w:space="0" w:color="auto"/>
              <w:bottom w:val="single" w:sz="4" w:space="0" w:color="auto"/>
              <w:right w:val="single" w:sz="4" w:space="0" w:color="auto"/>
            </w:tcBorders>
            <w:shd w:val="clear" w:color="auto" w:fill="C6EFCE"/>
            <w:noWrap/>
          </w:tcPr>
          <w:p w14:paraId="5CE6B707" w14:textId="4EF64295"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Rețeaua de stații meteorologice automate și autonome de suprafață va fi extinsă prin achiziționarea și operaționalizarea a 300</w:t>
            </w:r>
            <w:r w:rsidR="008F1E27">
              <w:rPr>
                <w:rFonts w:ascii="Times New Roman" w:hAnsi="Times New Roman"/>
                <w:noProof/>
                <w:sz w:val="24"/>
              </w:rPr>
              <w:t> </w:t>
            </w:r>
            <w:r>
              <w:rPr>
                <w:rFonts w:ascii="Times New Roman" w:hAnsi="Times New Roman"/>
                <w:noProof/>
                <w:sz w:val="24"/>
              </w:rPr>
              <w:t xml:space="preserve">de stații meteorologice automate și autonome de suprafață și a 100 de stații agrometeorologice. </w:t>
            </w:r>
          </w:p>
        </w:tc>
      </w:tr>
      <w:tr w:rsidR="000A27B3" w:rsidRPr="000A27B3" w14:paraId="22614DE3" w14:textId="77777777" w:rsidTr="008F1E27">
        <w:trPr>
          <w:trHeight w:val="309"/>
          <w:jc w:val="center"/>
        </w:trPr>
        <w:tc>
          <w:tcPr>
            <w:tcW w:w="955" w:type="dxa"/>
            <w:tcBorders>
              <w:top w:val="nil"/>
              <w:left w:val="single" w:sz="4" w:space="0" w:color="auto"/>
              <w:bottom w:val="single" w:sz="4" w:space="0" w:color="auto"/>
              <w:right w:val="single" w:sz="4" w:space="0" w:color="auto"/>
            </w:tcBorders>
            <w:shd w:val="clear" w:color="auto" w:fill="C6EFCE"/>
            <w:noWrap/>
          </w:tcPr>
          <w:p w14:paraId="7B568215" w14:textId="77777777" w:rsidR="007B1C1A" w:rsidRPr="000A27B3" w:rsidRDefault="007B1C1A">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21</w:t>
            </w:r>
          </w:p>
        </w:tc>
        <w:tc>
          <w:tcPr>
            <w:tcW w:w="2117" w:type="dxa"/>
            <w:tcBorders>
              <w:top w:val="nil"/>
              <w:left w:val="single" w:sz="4" w:space="0" w:color="auto"/>
              <w:bottom w:val="single" w:sz="4" w:space="0" w:color="auto"/>
              <w:right w:val="single" w:sz="4" w:space="0" w:color="auto"/>
            </w:tcBorders>
            <w:shd w:val="clear" w:color="auto" w:fill="C6EFCE"/>
            <w:noWrap/>
          </w:tcPr>
          <w:p w14:paraId="0F9E2D3C"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7. Extinderea rețelei naționale de observații din cadrul Sistemului Meteorologic Integrat Național (SIMIN) </w:t>
            </w:r>
          </w:p>
        </w:tc>
        <w:tc>
          <w:tcPr>
            <w:tcW w:w="1123" w:type="dxa"/>
            <w:tcBorders>
              <w:top w:val="nil"/>
              <w:left w:val="single" w:sz="4" w:space="0" w:color="auto"/>
              <w:bottom w:val="single" w:sz="4" w:space="0" w:color="auto"/>
              <w:right w:val="single" w:sz="4" w:space="0" w:color="auto"/>
            </w:tcBorders>
            <w:shd w:val="clear" w:color="auto" w:fill="C6EFCE"/>
            <w:noWrap/>
          </w:tcPr>
          <w:p w14:paraId="7A6FA74E" w14:textId="77777777" w:rsidR="007B1C1A" w:rsidRPr="000A27B3" w:rsidRDefault="007B1C1A">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60" w:type="dxa"/>
            <w:tcBorders>
              <w:top w:val="nil"/>
              <w:left w:val="single" w:sz="4" w:space="0" w:color="auto"/>
              <w:bottom w:val="single" w:sz="4" w:space="0" w:color="auto"/>
              <w:right w:val="single" w:sz="4" w:space="0" w:color="auto"/>
            </w:tcBorders>
            <w:shd w:val="clear" w:color="auto" w:fill="C6EFCE"/>
            <w:noWrap/>
          </w:tcPr>
          <w:p w14:paraId="79F34D87"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Este operațional sistemul de tehnologie a informației și comunicațiilor pentru integrarea stațiilor meteorologice și agrometeorologice suplimentare în cadrul Sistemul Meteorologic Integrat Național (SIMIN)</w:t>
            </w:r>
          </w:p>
        </w:tc>
        <w:tc>
          <w:tcPr>
            <w:tcW w:w="1680" w:type="dxa"/>
            <w:tcBorders>
              <w:top w:val="nil"/>
              <w:left w:val="single" w:sz="4" w:space="0" w:color="auto"/>
              <w:bottom w:val="single" w:sz="4" w:space="0" w:color="auto"/>
              <w:right w:val="single" w:sz="4" w:space="0" w:color="auto"/>
            </w:tcBorders>
            <w:shd w:val="clear" w:color="auto" w:fill="C6EFCE"/>
            <w:noWrap/>
          </w:tcPr>
          <w:p w14:paraId="11DD550C"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Sistemul Meteorologic Național (SIMIN) integrat cu stațiile suplimentare operaționale.</w:t>
            </w:r>
          </w:p>
        </w:tc>
        <w:tc>
          <w:tcPr>
            <w:tcW w:w="1320" w:type="dxa"/>
            <w:tcBorders>
              <w:top w:val="nil"/>
              <w:left w:val="single" w:sz="4" w:space="0" w:color="auto"/>
              <w:bottom w:val="single" w:sz="4" w:space="0" w:color="auto"/>
              <w:right w:val="single" w:sz="4" w:space="0" w:color="auto"/>
            </w:tcBorders>
            <w:shd w:val="clear" w:color="auto" w:fill="C6EFCE"/>
            <w:noWrap/>
          </w:tcPr>
          <w:p w14:paraId="2946DB82" w14:textId="77777777" w:rsidR="007B1C1A" w:rsidRPr="000A27B3" w:rsidRDefault="007B1C1A">
            <w:pPr>
              <w:spacing w:after="0" w:line="240" w:lineRule="auto"/>
              <w:jc w:val="both"/>
              <w:rPr>
                <w:rFonts w:ascii="Times New Roman" w:hAnsi="Times New Roman" w:cs="Times New Roman"/>
                <w:noProof/>
                <w:sz w:val="24"/>
                <w:szCs w:val="24"/>
                <w:lang w:val="en-GB"/>
              </w:rPr>
            </w:pPr>
          </w:p>
        </w:tc>
        <w:tc>
          <w:tcPr>
            <w:tcW w:w="1200" w:type="dxa"/>
            <w:tcBorders>
              <w:top w:val="nil"/>
              <w:left w:val="single" w:sz="4" w:space="0" w:color="auto"/>
              <w:bottom w:val="single" w:sz="4" w:space="0" w:color="auto"/>
              <w:right w:val="single" w:sz="4" w:space="0" w:color="auto"/>
            </w:tcBorders>
            <w:shd w:val="clear" w:color="auto" w:fill="C6EFCE"/>
            <w:noWrap/>
          </w:tcPr>
          <w:p w14:paraId="5997CC1D" w14:textId="77777777" w:rsidR="007B1C1A" w:rsidRPr="000A27B3" w:rsidRDefault="007B1C1A">
            <w:pPr>
              <w:spacing w:after="0" w:line="240" w:lineRule="auto"/>
              <w:jc w:val="both"/>
              <w:rPr>
                <w:rFonts w:ascii="Times New Roman" w:hAnsi="Times New Roman" w:cs="Times New Roman"/>
                <w:noProof/>
                <w:sz w:val="24"/>
                <w:szCs w:val="24"/>
                <w:lang w:val="en-GB"/>
              </w:rPr>
            </w:pPr>
          </w:p>
        </w:tc>
        <w:tc>
          <w:tcPr>
            <w:tcW w:w="840" w:type="dxa"/>
            <w:tcBorders>
              <w:top w:val="nil"/>
              <w:left w:val="single" w:sz="4" w:space="0" w:color="auto"/>
              <w:bottom w:val="single" w:sz="4" w:space="0" w:color="auto"/>
              <w:right w:val="single" w:sz="4" w:space="0" w:color="auto"/>
            </w:tcBorders>
            <w:shd w:val="clear" w:color="auto" w:fill="C6EFCE"/>
            <w:noWrap/>
          </w:tcPr>
          <w:p w14:paraId="110FFD37" w14:textId="77777777" w:rsidR="007B1C1A" w:rsidRPr="000A27B3" w:rsidRDefault="007B1C1A">
            <w:pPr>
              <w:spacing w:after="0" w:line="240" w:lineRule="auto"/>
              <w:jc w:val="both"/>
              <w:rPr>
                <w:rFonts w:ascii="Times New Roman" w:hAnsi="Times New Roman" w:cs="Times New Roman"/>
                <w:noProof/>
                <w:sz w:val="24"/>
                <w:szCs w:val="24"/>
                <w:lang w:val="en-GB"/>
              </w:rPr>
            </w:pPr>
          </w:p>
        </w:tc>
        <w:tc>
          <w:tcPr>
            <w:tcW w:w="1316" w:type="dxa"/>
            <w:tcBorders>
              <w:top w:val="nil"/>
              <w:left w:val="single" w:sz="4" w:space="0" w:color="auto"/>
              <w:bottom w:val="single" w:sz="4" w:space="0" w:color="auto"/>
              <w:right w:val="single" w:sz="4" w:space="0" w:color="auto"/>
            </w:tcBorders>
            <w:shd w:val="clear" w:color="auto" w:fill="C6EFCE"/>
            <w:noWrap/>
          </w:tcPr>
          <w:p w14:paraId="7694BBC2"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42" w:type="dxa"/>
            <w:tcBorders>
              <w:top w:val="nil"/>
              <w:left w:val="single" w:sz="4" w:space="0" w:color="auto"/>
              <w:bottom w:val="single" w:sz="4" w:space="0" w:color="auto"/>
              <w:right w:val="single" w:sz="4" w:space="0" w:color="auto"/>
            </w:tcBorders>
            <w:shd w:val="clear" w:color="auto" w:fill="C6EFCE"/>
            <w:noWrap/>
          </w:tcPr>
          <w:p w14:paraId="55CFB499"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835" w:type="dxa"/>
            <w:tcBorders>
              <w:top w:val="nil"/>
              <w:left w:val="single" w:sz="4" w:space="0" w:color="auto"/>
              <w:bottom w:val="single" w:sz="4" w:space="0" w:color="auto"/>
              <w:right w:val="single" w:sz="4" w:space="0" w:color="auto"/>
            </w:tcBorders>
            <w:shd w:val="clear" w:color="auto" w:fill="C6EFCE"/>
            <w:noWrap/>
          </w:tcPr>
          <w:p w14:paraId="2803FCD0" w14:textId="77777777" w:rsidR="007B1C1A" w:rsidRPr="000A27B3" w:rsidRDefault="007B1C1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Tehnologia informației și comunicațiilor pentru integrarea stațiilor meteorologice suplimentare în cadrul Sistemul Meteorologic Integrat Național (SIMIN) va fi operaționalizată. </w:t>
            </w:r>
          </w:p>
        </w:tc>
      </w:tr>
    </w:tbl>
    <w:p w14:paraId="6B699379" w14:textId="77777777" w:rsidR="007B1C1A" w:rsidRPr="009F1DC7" w:rsidRDefault="007B1C1A">
      <w:pPr>
        <w:spacing w:before="120" w:after="120" w:line="240" w:lineRule="auto"/>
        <w:ind w:left="709"/>
        <w:jc w:val="both"/>
        <w:rPr>
          <w:rFonts w:ascii="Times New Roman" w:hAnsi="Times New Roman" w:cs="Times New Roman"/>
          <w:noProof/>
          <w:sz w:val="24"/>
          <w:szCs w:val="24"/>
        </w:rPr>
        <w:sectPr w:rsidR="007B1C1A" w:rsidRPr="009F1DC7">
          <w:headerReference w:type="even" r:id="rId30"/>
          <w:headerReference w:type="default" r:id="rId31"/>
          <w:footerReference w:type="even" r:id="rId32"/>
          <w:footerReference w:type="default" r:id="rId33"/>
          <w:headerReference w:type="first" r:id="rId34"/>
          <w:footerReference w:type="first" r:id="rId35"/>
          <w:pgSz w:w="16839" w:h="11907" w:orient="landscape"/>
          <w:pgMar w:top="1417" w:right="1134" w:bottom="1417" w:left="1134" w:header="709" w:footer="709" w:gutter="0"/>
          <w:cols w:space="720"/>
          <w:docGrid w:linePitch="360"/>
        </w:sectPr>
      </w:pPr>
    </w:p>
    <w:p w14:paraId="2F85EB5F" w14:textId="77777777" w:rsidR="00647F09" w:rsidRPr="000A27B3" w:rsidRDefault="00647F09" w:rsidP="00647F09">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2: Păduri și protecția biodiversității</w:t>
      </w:r>
    </w:p>
    <w:p w14:paraId="3FA3749A"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componentei este de a armoniza practicilor de management forestier cu cele privind conservarea biodiversității și protejarea mediului și asigurarea tranziției către o Europă neutră din punct de vedere climatic prin crearea de noi suprafețe acoperite cu păduri și refacerea habitatelor degradate. </w:t>
      </w:r>
    </w:p>
    <w:p w14:paraId="7CBD10A8"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cuprinde două reforme și cinci investiții. </w:t>
      </w:r>
    </w:p>
    <w:p w14:paraId="7C34FFA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măsurile incluse în componentă vor aborda unele provocări evidențiate în recomandarea specifică țării de a concentra investițiile asupra tranziției verzi și a tranziției digitale, în special asupra infrastructurii de mediu, printre altele (Recomandarea specifică 4 din 2019 și Recomandarea specifică 3 din 2020).</w:t>
      </w:r>
    </w:p>
    <w:p w14:paraId="183FB468"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DNSH (2021/C58/01). </w:t>
      </w:r>
    </w:p>
    <w:p w14:paraId="5EF8C96E" w14:textId="77777777" w:rsidR="00647F09" w:rsidRPr="000A27B3" w:rsidRDefault="00647F0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B.1. Descrierea reformelor și a investițiilor pentru care se prevede acordarea sprijinului financiar nerambursabil</w:t>
      </w:r>
    </w:p>
    <w:p w14:paraId="09545E07" w14:textId="77777777" w:rsidR="00647F09" w:rsidRPr="000A27B3" w:rsidRDefault="00647F09">
      <w:pPr>
        <w:pStyle w:val="Standard"/>
        <w:jc w:val="both"/>
        <w:rPr>
          <w:rFonts w:ascii="Times New Roman" w:eastAsiaTheme="majorEastAsia" w:hAnsi="Times New Roman" w:cs="Times New Roman"/>
          <w:noProof/>
          <w:u w:val="single"/>
        </w:rPr>
      </w:pPr>
      <w:r>
        <w:rPr>
          <w:noProof/>
          <w:u w:val="single"/>
        </w:rPr>
        <w:t xml:space="preserve">Reforma 1. Reforma sistemului de management și a celui privind guvernanța în domeniul forestier prin dezvoltarea unei noi Strategii forestiere naționale și a legislației subsecvente </w:t>
      </w:r>
    </w:p>
    <w:p w14:paraId="04A7D696" w14:textId="4BB28431"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asigura un cadru strategic și de reglementare clar și solid pentru punerea în aplicare a unor politici forestiere durabile care să sprijine atenuarea schimbărilor climatice și adaptarea la acestea.</w:t>
      </w:r>
      <w:r w:rsidR="004C4C72">
        <w:rPr>
          <w:rFonts w:ascii="Times New Roman" w:hAnsi="Times New Roman"/>
          <w:noProof/>
          <w:sz w:val="24"/>
        </w:rPr>
        <w:t xml:space="preserve"> </w:t>
      </w:r>
    </w:p>
    <w:p w14:paraId="35DFFA2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cuprinde următoarele acțiuni: </w:t>
      </w:r>
    </w:p>
    <w:p w14:paraId="6C8BA252" w14:textId="77777777" w:rsidR="00647F09" w:rsidRPr="000A27B3" w:rsidRDefault="00647F09">
      <w:pPr>
        <w:spacing w:before="120" w:after="120" w:line="240" w:lineRule="auto"/>
        <w:ind w:left="142"/>
        <w:jc w:val="both"/>
        <w:rPr>
          <w:rFonts w:ascii="Times New Roman" w:hAnsi="Times New Roman" w:cs="Times New Roman"/>
          <w:noProof/>
          <w:sz w:val="24"/>
          <w:szCs w:val="24"/>
        </w:rPr>
      </w:pPr>
      <w:r>
        <w:rPr>
          <w:rFonts w:ascii="Times New Roman" w:hAnsi="Times New Roman"/>
          <w:noProof/>
          <w:sz w:val="24"/>
        </w:rPr>
        <w:t>(1) finalizarea unor studii independente privind deficiențele de guvernanță, instituționale, de reglementare și de punere în aplicare a prevederilor din legislația actuală în domeniul forestier (până la 30 iunie 2022);</w:t>
      </w:r>
    </w:p>
    <w:p w14:paraId="43DF17EE" w14:textId="77777777" w:rsidR="00647F09" w:rsidRPr="000A27B3" w:rsidRDefault="00647F09">
      <w:pPr>
        <w:spacing w:before="120" w:after="120" w:line="240" w:lineRule="auto"/>
        <w:ind w:left="142"/>
        <w:jc w:val="both"/>
        <w:rPr>
          <w:rFonts w:ascii="Times New Roman" w:hAnsi="Times New Roman" w:cs="Times New Roman"/>
          <w:noProof/>
          <w:sz w:val="24"/>
          <w:szCs w:val="24"/>
        </w:rPr>
      </w:pPr>
      <w:r>
        <w:rPr>
          <w:rFonts w:ascii="Times New Roman" w:hAnsi="Times New Roman"/>
          <w:noProof/>
          <w:sz w:val="24"/>
        </w:rPr>
        <w:t>(2) adoptarea Strategiei forestiere naționale 2020-2030 pe baza recomandărilor evaluării efectuate conform punctului (1) de mai sus (până la 30 septembrie 2022);</w:t>
      </w:r>
    </w:p>
    <w:p w14:paraId="60A5CDEA" w14:textId="77777777" w:rsidR="00647F09" w:rsidRPr="000A27B3" w:rsidRDefault="00647F09">
      <w:pPr>
        <w:spacing w:before="120" w:after="120" w:line="240" w:lineRule="auto"/>
        <w:ind w:left="142"/>
        <w:jc w:val="both"/>
        <w:rPr>
          <w:rFonts w:ascii="Times New Roman" w:hAnsi="Times New Roman" w:cs="Times New Roman"/>
          <w:noProof/>
          <w:sz w:val="24"/>
          <w:szCs w:val="24"/>
        </w:rPr>
      </w:pPr>
      <w:r>
        <w:rPr>
          <w:rFonts w:ascii="Times New Roman" w:hAnsi="Times New Roman"/>
          <w:noProof/>
          <w:sz w:val="24"/>
        </w:rPr>
        <w:t>(3) adoptarea și intrarea în vigoare a ordonanțelor ministeriale modificate de stabilire a normelor obligatorii privind împădurirea și reîmpădurirea prevăzute în Strategia forestieră națională 2020-2030 adoptată conform punctului (2) (până la 30 septembrie 2022);</w:t>
      </w:r>
    </w:p>
    <w:p w14:paraId="53D97CA6" w14:textId="77777777" w:rsidR="00647F09" w:rsidRPr="000A27B3" w:rsidRDefault="00647F09">
      <w:pPr>
        <w:spacing w:before="120" w:after="120" w:line="240" w:lineRule="auto"/>
        <w:ind w:left="142"/>
        <w:jc w:val="both"/>
        <w:rPr>
          <w:rFonts w:ascii="Times New Roman" w:hAnsi="Times New Roman" w:cs="Times New Roman"/>
          <w:noProof/>
          <w:sz w:val="24"/>
          <w:szCs w:val="24"/>
        </w:rPr>
      </w:pPr>
      <w:r>
        <w:rPr>
          <w:rFonts w:ascii="Times New Roman" w:hAnsi="Times New Roman"/>
          <w:noProof/>
          <w:sz w:val="24"/>
        </w:rPr>
        <w:t>(4) adoptarea și intrarea în vigoare a actelor normative de modificare și completare a legislației actuale în domeniul forestier, menite să raționalizeze cadrul juridic, să combată exploatarea forestieră ilegală și să îmbunătățească gestionarea pădurilor (până la 30 iunie 2023).</w:t>
      </w:r>
    </w:p>
    <w:p w14:paraId="598FC2B2" w14:textId="77777777" w:rsidR="00647F09" w:rsidRPr="000A27B3" w:rsidRDefault="00647F0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Reforma va fi sprijinită prin două investiții – investițiile 1 și 2. </w:t>
      </w:r>
    </w:p>
    <w:p w14:paraId="7B2D110F" w14:textId="77777777" w:rsidR="00647F09" w:rsidRPr="000A27B3" w:rsidRDefault="00647F09">
      <w:pPr>
        <w:spacing w:before="120" w:after="120" w:line="240" w:lineRule="auto"/>
        <w:jc w:val="both"/>
        <w:rPr>
          <w:rFonts w:ascii="Times New Roman" w:hAnsi="Times New Roman" w:cs="Times New Roman"/>
          <w:noProof/>
          <w:sz w:val="24"/>
          <w:u w:val="single"/>
        </w:rPr>
      </w:pPr>
      <w:r>
        <w:rPr>
          <w:rFonts w:ascii="Times New Roman" w:hAnsi="Times New Roman"/>
          <w:noProof/>
          <w:sz w:val="24"/>
        </w:rPr>
        <w:t>Implementarea reformei se va finaliza până la 30 septembrie 2023.</w:t>
      </w:r>
    </w:p>
    <w:p w14:paraId="0AF469F5" w14:textId="77777777" w:rsidR="00647F09" w:rsidRPr="000A27B3" w:rsidRDefault="00647F09">
      <w:pPr>
        <w:pStyle w:val="Standard"/>
        <w:jc w:val="both"/>
        <w:rPr>
          <w:rFonts w:ascii="Times New Roman" w:eastAsiaTheme="majorEastAsia" w:hAnsi="Times New Roman" w:cs="Times New Roman"/>
          <w:noProof/>
          <w:u w:val="single"/>
        </w:rPr>
      </w:pPr>
      <w:r>
        <w:rPr>
          <w:noProof/>
          <w:u w:val="single"/>
        </w:rPr>
        <w:t xml:space="preserve">Investiția 1. Campania națională de împădurire și reîmpădurire, inclusiv păduri urbane </w:t>
      </w:r>
    </w:p>
    <w:p w14:paraId="5D919912"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crea noi păduri și suprafețe cu vegetație forestieră în zonele vulnerabile la schimbările climatice prin identificarea și evaluarea terenurilor, finanțarea împăduririi și lucrărilor de îngrijire a plantațiilor și creșterea suprafeței cu vegetație forestieră în lungul căilor de comunicație și în interiorul aglomerărilor urbane (păduri urbane, inclusiv de tipul mini-pădurilor) în jurul localităților și între câmpurile cu culturi agricole, precum și alte categorii de perdele forestiere de protecție.</w:t>
      </w:r>
    </w:p>
    <w:p w14:paraId="35AA22CD" w14:textId="414F99DD"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Ca urmare a acestei investiții, un total de 26 760 ha de suprafețe noi vor fi împădurite sau reîmpădurite și un total de 3 150 000 m</w:t>
      </w:r>
      <w:r>
        <w:rPr>
          <w:rFonts w:ascii="Times New Roman" w:hAnsi="Times New Roman"/>
          <w:noProof/>
          <w:sz w:val="24"/>
          <w:vertAlign w:val="superscript"/>
        </w:rPr>
        <w:t>2</w:t>
      </w:r>
      <w:r>
        <w:rPr>
          <w:rFonts w:ascii="Times New Roman" w:hAnsi="Times New Roman"/>
          <w:noProof/>
          <w:sz w:val="24"/>
        </w:rPr>
        <w:t xml:space="preserve"> de noi zone de păduri urbane vor fi create, în conformitate cu cerințele legale prevăzute în Strategia forestieră națională, adoptată în cadrul reformei 1. </w:t>
      </w:r>
    </w:p>
    <w:p w14:paraId="5B05F574"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iunie 2026. </w:t>
      </w:r>
    </w:p>
    <w:p w14:paraId="0EA63AF6" w14:textId="77777777" w:rsidR="00647F09" w:rsidRPr="000A27B3" w:rsidRDefault="00647F09">
      <w:pPr>
        <w:pStyle w:val="Standard"/>
        <w:jc w:val="both"/>
        <w:rPr>
          <w:rFonts w:ascii="Times New Roman" w:eastAsiaTheme="majorEastAsia" w:hAnsi="Times New Roman" w:cs="Times New Roman"/>
          <w:noProof/>
          <w:u w:val="single"/>
        </w:rPr>
      </w:pPr>
      <w:r>
        <w:rPr>
          <w:noProof/>
          <w:u w:val="single"/>
        </w:rPr>
        <w:t xml:space="preserve">Investiția 2. Dezvoltarea de capacități moderne de producere a materialului forestier de reproducere </w:t>
      </w:r>
    </w:p>
    <w:p w14:paraId="1A309E5A"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investiției este de a dezvolta capacități suficiente de producere a materialului de reproducere (specii de arbori și ecotipuri) care să fie adecvate pentru viitoarele condiții climatice din România. </w:t>
      </w:r>
    </w:p>
    <w:p w14:paraId="563791E6"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Ca urmare a acestei investiții, cel puțin 90 de pepiniere noi și renovate vor fi operaționalizate, în conformitate cu cerințele legale prevăzute în Strategia forestieră națională adoptată în cadrul reformei 1. </w:t>
      </w:r>
    </w:p>
    <w:p w14:paraId="2CE50F07"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septembrie 2024. </w:t>
      </w:r>
    </w:p>
    <w:p w14:paraId="6A7E5DA7" w14:textId="77777777" w:rsidR="00647F09" w:rsidRPr="009F1DC7" w:rsidRDefault="00647F09">
      <w:pPr>
        <w:spacing w:before="120" w:after="120" w:line="240" w:lineRule="auto"/>
        <w:jc w:val="both"/>
        <w:rPr>
          <w:rFonts w:ascii="Times New Roman" w:hAnsi="Times New Roman" w:cs="Times New Roman"/>
          <w:noProof/>
          <w:sz w:val="24"/>
          <w:szCs w:val="24"/>
          <w:lang w:val="fr-FR"/>
        </w:rPr>
        <w:sectPr w:rsidR="00647F09" w:rsidRPr="009F1DC7" w:rsidSect="00ED6412">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p>
    <w:p w14:paraId="0CDBAEE8" w14:textId="77777777" w:rsidR="00647F09" w:rsidRPr="000A27B3" w:rsidRDefault="00647F0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B.2. </w:t>
      </w:r>
      <w:r>
        <w:rPr>
          <w:noProof/>
        </w:rPr>
        <w:tab/>
      </w:r>
      <w:r>
        <w:rPr>
          <w:rFonts w:ascii="Times New Roman" w:hAnsi="Times New Roman"/>
          <w:b/>
          <w:noProof/>
          <w:sz w:val="24"/>
        </w:rPr>
        <w:t>Jaloane, ținte, indicatori și calendarul de monitorizare și implementare aplicabile sprijinului financiar nerambursabil</w:t>
      </w:r>
    </w:p>
    <w:tbl>
      <w:tblPr>
        <w:tblW w:w="15615" w:type="dxa"/>
        <w:jc w:val="center"/>
        <w:tblLayout w:type="fixed"/>
        <w:tblLook w:val="04A0" w:firstRow="1" w:lastRow="0" w:firstColumn="1" w:lastColumn="0" w:noHBand="0" w:noVBand="1"/>
      </w:tblPr>
      <w:tblGrid>
        <w:gridCol w:w="786"/>
        <w:gridCol w:w="1491"/>
        <w:gridCol w:w="1078"/>
        <w:gridCol w:w="1680"/>
        <w:gridCol w:w="1680"/>
        <w:gridCol w:w="1080"/>
        <w:gridCol w:w="1200"/>
        <w:gridCol w:w="1200"/>
        <w:gridCol w:w="1320"/>
        <w:gridCol w:w="720"/>
        <w:gridCol w:w="3380"/>
      </w:tblGrid>
      <w:tr w:rsidR="000A27B3" w:rsidRPr="000A27B3" w14:paraId="18227894" w14:textId="77777777" w:rsidTr="008F1E27">
        <w:trPr>
          <w:trHeight w:val="632"/>
          <w:tblHeader/>
          <w:jc w:val="center"/>
        </w:trPr>
        <w:tc>
          <w:tcPr>
            <w:tcW w:w="78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D1A896"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03D6613"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81A9BC" w14:textId="58652B6A"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8F1E27">
              <w:rPr>
                <w:rFonts w:ascii="Times New Roman" w:hAnsi="Times New Roman"/>
                <w:b/>
                <w:noProof/>
                <w:sz w:val="24"/>
              </w:rPr>
              <w:br/>
            </w:r>
            <w:r>
              <w:rPr>
                <w:rFonts w:ascii="Times New Roman" w:hAnsi="Times New Roman"/>
                <w:b/>
                <w:noProof/>
                <w:sz w:val="24"/>
              </w:rPr>
              <w:t>țintă</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599265"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522BB2"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2D632102"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48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EF61F4B"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531B6AB8" w14:textId="2908431D"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40"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DD9F2F4"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w:t>
            </w:r>
          </w:p>
          <w:p w14:paraId="0D4A59E1" w14:textId="14136D69"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pentru atingerea jaloanelor/</w:t>
            </w:r>
            <w:r w:rsidR="008F1E27">
              <w:rPr>
                <w:rFonts w:ascii="Times New Roman" w:hAnsi="Times New Roman"/>
                <w:b/>
                <w:noProof/>
                <w:sz w:val="24"/>
              </w:rPr>
              <w:br/>
            </w:r>
            <w:r>
              <w:rPr>
                <w:rFonts w:ascii="Times New Roman" w:hAnsi="Times New Roman"/>
                <w:b/>
                <w:noProof/>
                <w:sz w:val="24"/>
              </w:rPr>
              <w:t>țintelor</w:t>
            </w:r>
          </w:p>
        </w:tc>
        <w:tc>
          <w:tcPr>
            <w:tcW w:w="3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6BB0A"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A506DAE" w14:textId="77777777" w:rsidTr="008F1E27">
        <w:trPr>
          <w:trHeight w:val="502"/>
          <w:tblHeader/>
          <w:jc w:val="center"/>
        </w:trPr>
        <w:tc>
          <w:tcPr>
            <w:tcW w:w="786" w:type="dxa"/>
            <w:vMerge/>
            <w:tcBorders>
              <w:top w:val="single" w:sz="4" w:space="0" w:color="auto"/>
              <w:left w:val="single" w:sz="4" w:space="0" w:color="auto"/>
              <w:bottom w:val="single" w:sz="4" w:space="0" w:color="auto"/>
              <w:right w:val="single" w:sz="4" w:space="0" w:color="auto"/>
            </w:tcBorders>
            <w:hideMark/>
          </w:tcPr>
          <w:p w14:paraId="7D7888AC" w14:textId="77777777" w:rsidR="00647F09" w:rsidRPr="009F1DC7" w:rsidRDefault="00647F09">
            <w:pPr>
              <w:spacing w:after="0" w:line="240" w:lineRule="auto"/>
              <w:jc w:val="center"/>
              <w:rPr>
                <w:rFonts w:ascii="Times New Roman" w:eastAsia="Times New Roman" w:hAnsi="Times New Roman" w:cs="Times New Roman"/>
                <w:b/>
                <w:bCs/>
                <w:noProof/>
                <w:sz w:val="24"/>
                <w:szCs w:val="24"/>
                <w:lang w:eastAsia="en-GB"/>
              </w:rPr>
            </w:pPr>
          </w:p>
        </w:tc>
        <w:tc>
          <w:tcPr>
            <w:tcW w:w="1491" w:type="dxa"/>
            <w:vMerge/>
            <w:tcBorders>
              <w:top w:val="single" w:sz="4" w:space="0" w:color="auto"/>
              <w:left w:val="single" w:sz="4" w:space="0" w:color="auto"/>
              <w:bottom w:val="single" w:sz="4" w:space="0" w:color="auto"/>
              <w:right w:val="single" w:sz="4" w:space="0" w:color="auto"/>
            </w:tcBorders>
            <w:hideMark/>
          </w:tcPr>
          <w:p w14:paraId="1420368F"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078" w:type="dxa"/>
            <w:vMerge/>
            <w:tcBorders>
              <w:top w:val="single" w:sz="4" w:space="0" w:color="auto"/>
              <w:left w:val="single" w:sz="4" w:space="0" w:color="auto"/>
              <w:bottom w:val="single" w:sz="4" w:space="0" w:color="auto"/>
              <w:right w:val="single" w:sz="4" w:space="0" w:color="auto"/>
            </w:tcBorders>
            <w:hideMark/>
          </w:tcPr>
          <w:p w14:paraId="32D9BA08" w14:textId="77777777" w:rsidR="00647F09" w:rsidRPr="009F1DC7" w:rsidRDefault="00647F09">
            <w:pPr>
              <w:spacing w:after="0" w:line="240" w:lineRule="auto"/>
              <w:jc w:val="center"/>
              <w:rPr>
                <w:rFonts w:ascii="Times New Roman" w:eastAsia="Times New Roman" w:hAnsi="Times New Roman" w:cs="Times New Roman"/>
                <w:b/>
                <w:bCs/>
                <w:noProof/>
                <w:sz w:val="24"/>
                <w:szCs w:val="24"/>
                <w:lang w:eastAsia="en-GB"/>
              </w:rPr>
            </w:pPr>
          </w:p>
        </w:tc>
        <w:tc>
          <w:tcPr>
            <w:tcW w:w="1680" w:type="dxa"/>
            <w:vMerge/>
            <w:tcBorders>
              <w:top w:val="single" w:sz="4" w:space="0" w:color="auto"/>
              <w:left w:val="single" w:sz="4" w:space="0" w:color="auto"/>
              <w:bottom w:val="single" w:sz="4" w:space="0" w:color="auto"/>
              <w:right w:val="single" w:sz="4" w:space="0" w:color="auto"/>
            </w:tcBorders>
            <w:hideMark/>
          </w:tcPr>
          <w:p w14:paraId="65C29394"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680" w:type="dxa"/>
            <w:vMerge/>
            <w:tcBorders>
              <w:top w:val="single" w:sz="4" w:space="0" w:color="auto"/>
              <w:left w:val="single" w:sz="4" w:space="0" w:color="auto"/>
              <w:bottom w:val="single" w:sz="4" w:space="0" w:color="auto"/>
              <w:right w:val="single" w:sz="4" w:space="0" w:color="auto"/>
            </w:tcBorders>
            <w:hideMark/>
          </w:tcPr>
          <w:p w14:paraId="74A48A53"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75B9221"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w:t>
            </w:r>
          </w:p>
          <w:p w14:paraId="3F01DF1E"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w:t>
            </w:r>
          </w:p>
          <w:p w14:paraId="45D967A7"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w:t>
            </w:r>
          </w:p>
        </w:tc>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F6E1E2" w14:textId="2AA54653" w:rsidR="00647F09" w:rsidRPr="000A27B3" w:rsidRDefault="00647F09" w:rsidP="00B1799B">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8447E89"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3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B702AB"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5EE3D19"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380" w:type="dxa"/>
            <w:vMerge/>
            <w:tcBorders>
              <w:top w:val="single" w:sz="4" w:space="0" w:color="auto"/>
              <w:bottom w:val="single" w:sz="4" w:space="0" w:color="auto"/>
              <w:right w:val="single" w:sz="4" w:space="0" w:color="auto"/>
            </w:tcBorders>
            <w:hideMark/>
          </w:tcPr>
          <w:p w14:paraId="4FAAE643" w14:textId="77777777" w:rsidR="00647F09" w:rsidRPr="000A27B3" w:rsidRDefault="00647F09">
            <w:pPr>
              <w:spacing w:after="0" w:line="240" w:lineRule="auto"/>
              <w:jc w:val="both"/>
              <w:rPr>
                <w:rFonts w:ascii="Times New Roman" w:eastAsia="Times New Roman" w:hAnsi="Times New Roman" w:cs="Times New Roman"/>
                <w:b/>
                <w:bCs/>
                <w:noProof/>
                <w:sz w:val="24"/>
                <w:szCs w:val="24"/>
                <w:lang w:val="en-GB" w:eastAsia="en-GB"/>
              </w:rPr>
            </w:pPr>
          </w:p>
        </w:tc>
      </w:tr>
      <w:tr w:rsidR="008F1E27" w:rsidRPr="000A27B3" w14:paraId="6108460B" w14:textId="77777777" w:rsidTr="008F1E27">
        <w:trPr>
          <w:trHeight w:val="309"/>
          <w:jc w:val="center"/>
        </w:trPr>
        <w:tc>
          <w:tcPr>
            <w:tcW w:w="786" w:type="dxa"/>
            <w:tcBorders>
              <w:top w:val="single" w:sz="4" w:space="0" w:color="auto"/>
              <w:left w:val="single" w:sz="4" w:space="0" w:color="auto"/>
              <w:bottom w:val="single" w:sz="4" w:space="0" w:color="auto"/>
              <w:right w:val="single" w:sz="4" w:space="0" w:color="auto"/>
            </w:tcBorders>
            <w:shd w:val="clear" w:color="auto" w:fill="C6EFCE"/>
            <w:noWrap/>
          </w:tcPr>
          <w:p w14:paraId="2A8CA825"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22</w:t>
            </w:r>
          </w:p>
        </w:tc>
        <w:tc>
          <w:tcPr>
            <w:tcW w:w="1491" w:type="dxa"/>
            <w:tcBorders>
              <w:top w:val="single" w:sz="4" w:space="0" w:color="auto"/>
              <w:left w:val="single" w:sz="4" w:space="0" w:color="auto"/>
              <w:bottom w:val="single" w:sz="4" w:space="0" w:color="auto"/>
              <w:right w:val="single" w:sz="4" w:space="0" w:color="auto"/>
            </w:tcBorders>
            <w:shd w:val="clear" w:color="auto" w:fill="C6EFCE"/>
            <w:noWrap/>
          </w:tcPr>
          <w:p w14:paraId="711B578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Reforma sistemului de management și a celui privind guvernanța în domeniul forestier prin dezvoltarea unei noi Strategii forestiere naționale și a legislației subsecvente </w:t>
            </w:r>
          </w:p>
        </w:tc>
        <w:tc>
          <w:tcPr>
            <w:tcW w:w="1078" w:type="dxa"/>
            <w:tcBorders>
              <w:top w:val="single" w:sz="4" w:space="0" w:color="auto"/>
              <w:left w:val="single" w:sz="4" w:space="0" w:color="auto"/>
              <w:bottom w:val="single" w:sz="4" w:space="0" w:color="auto"/>
              <w:right w:val="single" w:sz="4" w:space="0" w:color="auto"/>
            </w:tcBorders>
            <w:shd w:val="clear" w:color="auto" w:fill="C6EFCE"/>
            <w:noWrap/>
          </w:tcPr>
          <w:p w14:paraId="40FA9A55"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680" w:type="dxa"/>
            <w:tcBorders>
              <w:top w:val="single" w:sz="4" w:space="0" w:color="auto"/>
              <w:left w:val="single" w:sz="4" w:space="0" w:color="auto"/>
              <w:bottom w:val="single" w:sz="4" w:space="0" w:color="auto"/>
              <w:right w:val="single" w:sz="4" w:space="0" w:color="auto"/>
            </w:tcBorders>
            <w:shd w:val="clear" w:color="auto" w:fill="C6EFCE"/>
            <w:noWrap/>
          </w:tcPr>
          <w:p w14:paraId="68FF8E1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Adoptarea Strategiei forestiere naționale 2020-2030 </w:t>
            </w:r>
          </w:p>
          <w:p w14:paraId="2EFBC335"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p w14:paraId="0B7C8579"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C6EFCE"/>
            <w:noWrap/>
          </w:tcPr>
          <w:p w14:paraId="431935C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Adoptarea Strategiei forestiere naționale 2020-2030 </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931877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3C27789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514AED5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single" w:sz="4" w:space="0" w:color="auto"/>
              <w:left w:val="single" w:sz="4" w:space="0" w:color="auto"/>
              <w:bottom w:val="single" w:sz="4" w:space="0" w:color="auto"/>
              <w:right w:val="single" w:sz="4" w:space="0" w:color="auto"/>
            </w:tcBorders>
            <w:shd w:val="clear" w:color="auto" w:fill="C6EFCE"/>
            <w:noWrap/>
          </w:tcPr>
          <w:p w14:paraId="427FCEF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20" w:type="dxa"/>
            <w:tcBorders>
              <w:top w:val="single" w:sz="4" w:space="0" w:color="auto"/>
              <w:left w:val="single" w:sz="4" w:space="0" w:color="auto"/>
              <w:bottom w:val="single" w:sz="4" w:space="0" w:color="auto"/>
              <w:right w:val="single" w:sz="4" w:space="0" w:color="auto"/>
            </w:tcBorders>
            <w:shd w:val="clear" w:color="auto" w:fill="C6EFCE"/>
            <w:noWrap/>
          </w:tcPr>
          <w:p w14:paraId="3C33A19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380" w:type="dxa"/>
            <w:tcBorders>
              <w:top w:val="single" w:sz="4" w:space="0" w:color="auto"/>
              <w:left w:val="single" w:sz="4" w:space="0" w:color="auto"/>
              <w:bottom w:val="single" w:sz="4" w:space="0" w:color="auto"/>
              <w:right w:val="single" w:sz="4" w:space="0" w:color="auto"/>
            </w:tcBorders>
            <w:shd w:val="clear" w:color="auto" w:fill="C6EFCE"/>
            <w:noWrap/>
          </w:tcPr>
          <w:p w14:paraId="23CAD8C0"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adoptă Strategia forestieră națională 2020-2030. </w:t>
            </w:r>
          </w:p>
          <w:p w14:paraId="37EA0EC0"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Pe baza recomandărilor studiilor independente, strategia va stabili norme obligatorii pentru împădurire și reîmpădurire, după cum urmează:</w:t>
            </w:r>
          </w:p>
          <w:p w14:paraId="29449CC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a. cerințe ca speciile și ecotipurile să fie rezistente la schimbările climatice și să nu aibă un impact negativ asupra biodiversității. Strategia va răspunde necesității de a dispune de orientări actualizate privind plantarea de copaci în România și va crea garanții, în special pentru a exclude utilizarea sau eliberarea speciilor alogene invazive;</w:t>
            </w:r>
          </w:p>
          <w:p w14:paraId="483FBE5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 cerințe ca producția materialului de reproducere să se concentrează pe specii și ecotipuri de arbori care sunt adaptate la viitoarele condiții climatice preconizate din România în cantități suficiente, cu implicarea sectorului privat, precum și cerințe ca măsurile avute în vedere să descurajeze crearea de pepiniere comerciale pentru ciclul scurt de producție sau producția de monoculturi; </w:t>
            </w:r>
          </w:p>
          <w:p w14:paraId="5075B19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 cerințe ca împădurirea să contribuie în mod pozitiv la obiectivele de conservare a biodiversității, de management al apei și de protecție a solului, prin interzicerea împăduririi sau a reîmpăduririi pe terenuri agricole de mare valoare naturală, pajiști sau zone umede, cu excepția refacerii habitatului. </w:t>
            </w:r>
          </w:p>
          <w:p w14:paraId="4E2C0C6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 cerințe de includere în activitățile de gestionare a pădurilor a unor măsuri preventive care să consolideze capacitatea naturală de absorbție a solului și cerințe specifice de adaptare la schimbările climatice care să asigure că gestionarea pădurilor se bazează pe monitorizarea speciilor; </w:t>
            </w:r>
          </w:p>
          <w:p w14:paraId="0AE5D8D7"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e. cerințe ca împădurirea urbană să se realizeze printr-o abordare la nivel de peisaj care să contribuie la consolidarea conectivității cu zonele naturale sau seminaturale (cum ar fi pădurile sau zonele agricole), punând accentul pe conectarea habitatelor cu infrastructurile verzi și coridoarele ecologice;</w:t>
            </w:r>
          </w:p>
          <w:p w14:paraId="2EBC73C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f. cerințe ca proiectele de împădurire sau reîmpădurire să se desfășoare în zone expuse și vulnerabile la pericole climatice, în special la secete și inundații, și, după caz, cerințe ca împădurirea sau reîmpădurirea să reducă riscurile aferente acestor pericole;</w:t>
            </w:r>
          </w:p>
          <w:p w14:paraId="0EB200D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g. strategia va stabili criterii de durabilitate pentru biomasa forestieră destinată utilizării în scopuri energetice;</w:t>
            </w:r>
          </w:p>
          <w:p w14:paraId="5DD8163E"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h. strategia va include acțiuni specifice de combatere a exploatării forestiere ilegale, cum ar fi implementarea deplină a SUMAL, inclusiv monitorizarea exploatării forestiere prin teledetecție, consolidarea regimului de sancțiuni și alte măsuri, după caz; </w:t>
            </w:r>
          </w:p>
          <w:p w14:paraId="45DA414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 strategia va include, de asemenea, măsuri concrete pentru protejarea habitatelor și a speciilor forestiere și, în special, alinierea normelor forestiere la considerentele legate de biodiversitate.</w:t>
            </w:r>
          </w:p>
        </w:tc>
      </w:tr>
      <w:tr w:rsidR="008F1E27" w:rsidRPr="000A27B3" w14:paraId="6A48A994"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157405BD"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23</w:t>
            </w:r>
          </w:p>
        </w:tc>
        <w:tc>
          <w:tcPr>
            <w:tcW w:w="1491" w:type="dxa"/>
            <w:tcBorders>
              <w:top w:val="nil"/>
              <w:left w:val="single" w:sz="4" w:space="0" w:color="auto"/>
              <w:bottom w:val="single" w:sz="4" w:space="0" w:color="auto"/>
              <w:right w:val="single" w:sz="4" w:space="0" w:color="auto"/>
            </w:tcBorders>
            <w:shd w:val="clear" w:color="auto" w:fill="C6EFCE"/>
            <w:noWrap/>
          </w:tcPr>
          <w:p w14:paraId="1F0CF32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Reforma sistemului de management și a celui privind guvernanța în domeniul forestier prin dezvoltarea unei noi Strategii forestiere naționale și a legislației subsecvente </w:t>
            </w:r>
          </w:p>
        </w:tc>
        <w:tc>
          <w:tcPr>
            <w:tcW w:w="1078" w:type="dxa"/>
            <w:tcBorders>
              <w:top w:val="nil"/>
              <w:left w:val="single" w:sz="4" w:space="0" w:color="auto"/>
              <w:bottom w:val="single" w:sz="4" w:space="0" w:color="auto"/>
              <w:right w:val="single" w:sz="4" w:space="0" w:color="auto"/>
            </w:tcBorders>
            <w:shd w:val="clear" w:color="auto" w:fill="C6EFCE"/>
            <w:noWrap/>
          </w:tcPr>
          <w:p w14:paraId="4ED93B05"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680" w:type="dxa"/>
            <w:tcBorders>
              <w:top w:val="nil"/>
              <w:left w:val="single" w:sz="4" w:space="0" w:color="auto"/>
              <w:bottom w:val="single" w:sz="4" w:space="0" w:color="auto"/>
              <w:right w:val="single" w:sz="4" w:space="0" w:color="auto"/>
            </w:tcBorders>
            <w:shd w:val="clear" w:color="auto" w:fill="C6EFCE"/>
            <w:noWrap/>
          </w:tcPr>
          <w:p w14:paraId="7EBA017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ordonanțelor ministeriale modificate de stabilire a normelor obligatorii privind împădurirea și reîmpădurirea prevăzute în Strategia forestieră națională 2020-2030</w:t>
            </w:r>
          </w:p>
        </w:tc>
        <w:tc>
          <w:tcPr>
            <w:tcW w:w="1680" w:type="dxa"/>
            <w:tcBorders>
              <w:top w:val="nil"/>
              <w:left w:val="single" w:sz="4" w:space="0" w:color="auto"/>
              <w:bottom w:val="single" w:sz="4" w:space="0" w:color="auto"/>
              <w:right w:val="single" w:sz="4" w:space="0" w:color="auto"/>
            </w:tcBorders>
            <w:shd w:val="clear" w:color="auto" w:fill="C6EFCE"/>
            <w:noWrap/>
          </w:tcPr>
          <w:p w14:paraId="40D6F31E"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Dispoziție a ordonanțelor ministeriale care indică intrarea în vigoare a modificărilor</w:t>
            </w:r>
          </w:p>
          <w:p w14:paraId="1139AB6E" w14:textId="77777777" w:rsidR="00647F09" w:rsidRPr="000A27B3" w:rsidRDefault="00647F09">
            <w:pPr>
              <w:spacing w:after="0" w:line="240" w:lineRule="auto"/>
              <w:jc w:val="both"/>
              <w:rPr>
                <w:rFonts w:ascii="Times New Roman" w:hAnsi="Times New Roman" w:cs="Times New Roman"/>
                <w:noProof/>
                <w:sz w:val="24"/>
                <w:szCs w:val="24"/>
                <w:lang w:val="en-GB"/>
              </w:rPr>
            </w:pPr>
          </w:p>
          <w:p w14:paraId="6C725328"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8ED0835"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3860E200"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77CAE081"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320" w:type="dxa"/>
            <w:tcBorders>
              <w:top w:val="nil"/>
              <w:left w:val="single" w:sz="4" w:space="0" w:color="auto"/>
              <w:bottom w:val="single" w:sz="4" w:space="0" w:color="auto"/>
              <w:right w:val="single" w:sz="4" w:space="0" w:color="auto"/>
            </w:tcBorders>
            <w:shd w:val="clear" w:color="auto" w:fill="C6EFCE"/>
            <w:noWrap/>
          </w:tcPr>
          <w:p w14:paraId="3D13B22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20" w:type="dxa"/>
            <w:tcBorders>
              <w:top w:val="nil"/>
              <w:left w:val="single" w:sz="4" w:space="0" w:color="auto"/>
              <w:bottom w:val="single" w:sz="4" w:space="0" w:color="auto"/>
              <w:right w:val="single" w:sz="4" w:space="0" w:color="auto"/>
            </w:tcBorders>
            <w:shd w:val="clear" w:color="auto" w:fill="C6EFCE"/>
            <w:noWrap/>
          </w:tcPr>
          <w:p w14:paraId="37A603E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380" w:type="dxa"/>
            <w:tcBorders>
              <w:top w:val="nil"/>
              <w:left w:val="single" w:sz="4" w:space="0" w:color="auto"/>
              <w:bottom w:val="single" w:sz="4" w:space="0" w:color="auto"/>
              <w:right w:val="single" w:sz="4" w:space="0" w:color="auto"/>
            </w:tcBorders>
            <w:shd w:val="clear" w:color="auto" w:fill="C6EFCE"/>
            <w:noWrap/>
          </w:tcPr>
          <w:p w14:paraId="76F0227C" w14:textId="77777777" w:rsidR="00647F09" w:rsidRPr="000A27B3" w:rsidRDefault="00647F09">
            <w:pPr>
              <w:spacing w:after="0" w:line="240" w:lineRule="auto"/>
              <w:jc w:val="both"/>
              <w:rPr>
                <w:rFonts w:ascii="Times New Roman" w:hAnsi="Times New Roman" w:cs="Times New Roman"/>
                <w:noProof/>
                <w:sz w:val="24"/>
              </w:rPr>
            </w:pPr>
            <w:r>
              <w:rPr>
                <w:rFonts w:ascii="Times New Roman" w:hAnsi="Times New Roman"/>
                <w:noProof/>
                <w:sz w:val="24"/>
              </w:rPr>
              <w:t>Intrarea în vigoare a următoarelor ordonanțe ministeriale modificate în conformitate cu normele obligatorii privind împădurirea și reîmpădurirea prevăzute în Strategia forestieră națională 2020-2030:</w:t>
            </w:r>
          </w:p>
          <w:p w14:paraId="7567D505" w14:textId="77777777" w:rsidR="00647F09" w:rsidRPr="000A27B3" w:rsidRDefault="00647F09" w:rsidP="00647F09">
            <w:pPr>
              <w:numPr>
                <w:ilvl w:val="0"/>
                <w:numId w:val="5"/>
              </w:numPr>
              <w:spacing w:before="120" w:after="0" w:line="240" w:lineRule="auto"/>
              <w:ind w:left="317"/>
              <w:jc w:val="both"/>
              <w:rPr>
                <w:rFonts w:ascii="Times New Roman" w:hAnsi="Times New Roman" w:cs="Times New Roman"/>
                <w:noProof/>
                <w:sz w:val="24"/>
              </w:rPr>
            </w:pPr>
            <w:r>
              <w:rPr>
                <w:rFonts w:ascii="Times New Roman" w:hAnsi="Times New Roman"/>
                <w:noProof/>
                <w:sz w:val="24"/>
              </w:rPr>
              <w:t>Ordinul nr. 766/2018 pentru aprobarea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produselor accidentale I.</w:t>
            </w:r>
          </w:p>
          <w:p w14:paraId="2B642943" w14:textId="77777777" w:rsidR="00647F09" w:rsidRPr="000A27B3" w:rsidRDefault="00647F09" w:rsidP="00647F09">
            <w:pPr>
              <w:numPr>
                <w:ilvl w:val="0"/>
                <w:numId w:val="5"/>
              </w:numPr>
              <w:spacing w:before="120" w:after="0" w:line="240" w:lineRule="auto"/>
              <w:ind w:left="317"/>
              <w:jc w:val="both"/>
              <w:rPr>
                <w:rFonts w:ascii="Times New Roman" w:hAnsi="Times New Roman" w:cs="Times New Roman"/>
                <w:noProof/>
                <w:sz w:val="24"/>
              </w:rPr>
            </w:pPr>
            <w:r>
              <w:rPr>
                <w:rFonts w:ascii="Times New Roman" w:hAnsi="Times New Roman"/>
                <w:noProof/>
                <w:sz w:val="24"/>
              </w:rPr>
              <w:t>Ordinul nr. 1648/2000 privind aprobarea Norme tehnice privind compoziții, scheme și tehnologii de regenerare a pădurilor și de împădurire a terenurilor degradate</w:t>
            </w:r>
          </w:p>
          <w:p w14:paraId="3C8FC056" w14:textId="77777777" w:rsidR="00647F09" w:rsidRPr="000A27B3" w:rsidRDefault="00647F09" w:rsidP="00647F09">
            <w:pPr>
              <w:numPr>
                <w:ilvl w:val="0"/>
                <w:numId w:val="5"/>
              </w:numPr>
              <w:spacing w:before="120" w:after="0" w:line="240" w:lineRule="auto"/>
              <w:ind w:left="317"/>
              <w:jc w:val="both"/>
              <w:rPr>
                <w:rFonts w:ascii="Times New Roman" w:hAnsi="Times New Roman" w:cs="Times New Roman"/>
                <w:noProof/>
                <w:sz w:val="24"/>
              </w:rPr>
            </w:pPr>
            <w:r>
              <w:rPr>
                <w:rFonts w:ascii="Times New Roman" w:hAnsi="Times New Roman"/>
                <w:noProof/>
                <w:sz w:val="24"/>
              </w:rPr>
              <w:t>Ordinul nr. 1649/2000 aprobarea Normelor tehnice pentru îngrijirea și conducerea arboretelor</w:t>
            </w:r>
          </w:p>
          <w:p w14:paraId="71D28AA4" w14:textId="77777777" w:rsidR="00647F09" w:rsidRPr="000A27B3" w:rsidRDefault="00647F09" w:rsidP="00647F09">
            <w:pPr>
              <w:numPr>
                <w:ilvl w:val="0"/>
                <w:numId w:val="5"/>
              </w:numPr>
              <w:spacing w:before="120" w:after="0" w:line="240" w:lineRule="auto"/>
              <w:ind w:left="317"/>
              <w:jc w:val="both"/>
              <w:rPr>
                <w:rFonts w:ascii="Times New Roman" w:hAnsi="Times New Roman" w:cs="Times New Roman"/>
                <w:noProof/>
                <w:sz w:val="24"/>
              </w:rPr>
            </w:pPr>
            <w:r>
              <w:rPr>
                <w:rFonts w:ascii="Times New Roman" w:hAnsi="Times New Roman"/>
                <w:noProof/>
                <w:sz w:val="24"/>
              </w:rPr>
              <w:t>Ordinul nr. 1650/2000 privind aprobarea Normelor tehnice pentru alegerea și aplicarea tratamentelor</w:t>
            </w:r>
          </w:p>
          <w:p w14:paraId="351DA8E5" w14:textId="77777777" w:rsidR="00647F09" w:rsidRPr="000A27B3" w:rsidRDefault="00647F09" w:rsidP="00647F09">
            <w:pPr>
              <w:numPr>
                <w:ilvl w:val="0"/>
                <w:numId w:val="5"/>
              </w:numPr>
              <w:spacing w:before="120" w:after="0" w:line="240" w:lineRule="auto"/>
              <w:ind w:left="317"/>
              <w:jc w:val="both"/>
              <w:rPr>
                <w:rFonts w:ascii="Times New Roman" w:hAnsi="Times New Roman" w:cs="Times New Roman"/>
                <w:noProof/>
                <w:sz w:val="24"/>
              </w:rPr>
            </w:pPr>
            <w:r>
              <w:rPr>
                <w:rFonts w:ascii="Times New Roman" w:hAnsi="Times New Roman"/>
                <w:noProof/>
                <w:sz w:val="24"/>
              </w:rPr>
              <w:t>Ordinul nr. 1653/2000 privind aprobarea Normelor tehnice privind efectuarea controlului anual al regenerărilor</w:t>
            </w:r>
          </w:p>
          <w:p w14:paraId="4DE521A6" w14:textId="77777777" w:rsidR="00647F09" w:rsidRPr="000A27B3" w:rsidRDefault="00647F09" w:rsidP="00647F09">
            <w:pPr>
              <w:numPr>
                <w:ilvl w:val="0"/>
                <w:numId w:val="5"/>
              </w:numPr>
              <w:spacing w:before="120" w:after="0" w:line="240" w:lineRule="auto"/>
              <w:ind w:left="317"/>
              <w:jc w:val="both"/>
              <w:rPr>
                <w:rFonts w:ascii="Times New Roman" w:hAnsi="Times New Roman" w:cs="Times New Roman"/>
                <w:noProof/>
                <w:sz w:val="24"/>
              </w:rPr>
            </w:pPr>
            <w:r>
              <w:rPr>
                <w:rFonts w:ascii="Times New Roman" w:hAnsi="Times New Roman"/>
                <w:noProof/>
                <w:sz w:val="24"/>
              </w:rPr>
              <w:t>Ordinul nr. 1672/2000 privind aprobarea Normelor tehnice pentru amenajarea pădurilor</w:t>
            </w:r>
          </w:p>
        </w:tc>
      </w:tr>
      <w:tr w:rsidR="008F1E27" w:rsidRPr="000A27B3" w14:paraId="289CF91C"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009E8F87"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24</w:t>
            </w:r>
          </w:p>
        </w:tc>
        <w:tc>
          <w:tcPr>
            <w:tcW w:w="1491" w:type="dxa"/>
            <w:tcBorders>
              <w:top w:val="nil"/>
              <w:left w:val="single" w:sz="4" w:space="0" w:color="auto"/>
              <w:bottom w:val="single" w:sz="4" w:space="0" w:color="auto"/>
              <w:right w:val="single" w:sz="4" w:space="0" w:color="auto"/>
            </w:tcBorders>
            <w:shd w:val="clear" w:color="auto" w:fill="C6EFCE"/>
            <w:noWrap/>
          </w:tcPr>
          <w:p w14:paraId="5DF4CBB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Reforma sistemului de management și a celui privind guvernanța în domeniul forestier prin dezvoltarea unei noi Strategii forestiere naționale și a legislației subsecvente </w:t>
            </w:r>
          </w:p>
        </w:tc>
        <w:tc>
          <w:tcPr>
            <w:tcW w:w="1078" w:type="dxa"/>
            <w:tcBorders>
              <w:top w:val="nil"/>
              <w:left w:val="single" w:sz="4" w:space="0" w:color="auto"/>
              <w:bottom w:val="single" w:sz="4" w:space="0" w:color="auto"/>
              <w:right w:val="single" w:sz="4" w:space="0" w:color="auto"/>
            </w:tcBorders>
            <w:shd w:val="clear" w:color="auto" w:fill="C6EFCE"/>
            <w:noWrap/>
          </w:tcPr>
          <w:p w14:paraId="133802A0"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680" w:type="dxa"/>
            <w:tcBorders>
              <w:top w:val="nil"/>
              <w:left w:val="single" w:sz="4" w:space="0" w:color="auto"/>
              <w:bottom w:val="single" w:sz="4" w:space="0" w:color="auto"/>
              <w:right w:val="single" w:sz="4" w:space="0" w:color="auto"/>
            </w:tcBorders>
            <w:shd w:val="clear" w:color="auto" w:fill="C6EFCE"/>
            <w:noWrap/>
          </w:tcPr>
          <w:p w14:paraId="66C97C9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actelor normative de modificare și completare a legislației actuale în domeniul forestier.</w:t>
            </w:r>
          </w:p>
          <w:p w14:paraId="5ABD2C68"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680" w:type="dxa"/>
            <w:tcBorders>
              <w:top w:val="nil"/>
              <w:left w:val="single" w:sz="4" w:space="0" w:color="auto"/>
              <w:bottom w:val="single" w:sz="4" w:space="0" w:color="auto"/>
              <w:right w:val="single" w:sz="4" w:space="0" w:color="auto"/>
            </w:tcBorders>
            <w:shd w:val="clear" w:color="auto" w:fill="C6EFCE"/>
            <w:noWrap/>
          </w:tcPr>
          <w:p w14:paraId="265D682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Dispoziție legală care indică intrarea în vigoare a actelor normative </w:t>
            </w:r>
          </w:p>
        </w:tc>
        <w:tc>
          <w:tcPr>
            <w:tcW w:w="1080" w:type="dxa"/>
            <w:tcBorders>
              <w:top w:val="nil"/>
              <w:left w:val="single" w:sz="4" w:space="0" w:color="auto"/>
              <w:bottom w:val="single" w:sz="4" w:space="0" w:color="auto"/>
              <w:right w:val="single" w:sz="4" w:space="0" w:color="auto"/>
            </w:tcBorders>
            <w:shd w:val="clear" w:color="auto" w:fill="C6EFCE"/>
            <w:noWrap/>
          </w:tcPr>
          <w:p w14:paraId="68724A6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single" w:sz="4" w:space="0" w:color="auto"/>
              <w:bottom w:val="single" w:sz="4" w:space="0" w:color="auto"/>
              <w:right w:val="single" w:sz="4" w:space="0" w:color="auto"/>
            </w:tcBorders>
            <w:shd w:val="clear" w:color="auto" w:fill="C6EFCE"/>
            <w:noWrap/>
          </w:tcPr>
          <w:p w14:paraId="039C68B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single" w:sz="4" w:space="0" w:color="auto"/>
              <w:bottom w:val="single" w:sz="4" w:space="0" w:color="auto"/>
              <w:right w:val="single" w:sz="4" w:space="0" w:color="auto"/>
            </w:tcBorders>
            <w:shd w:val="clear" w:color="auto" w:fill="C6EFCE"/>
            <w:noWrap/>
          </w:tcPr>
          <w:p w14:paraId="226B246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320" w:type="dxa"/>
            <w:tcBorders>
              <w:top w:val="nil"/>
              <w:left w:val="single" w:sz="4" w:space="0" w:color="auto"/>
              <w:bottom w:val="single" w:sz="4" w:space="0" w:color="auto"/>
              <w:right w:val="single" w:sz="4" w:space="0" w:color="auto"/>
            </w:tcBorders>
            <w:shd w:val="clear" w:color="auto" w:fill="C6EFCE"/>
            <w:noWrap/>
          </w:tcPr>
          <w:p w14:paraId="035F718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single" w:sz="4" w:space="0" w:color="auto"/>
              <w:bottom w:val="single" w:sz="4" w:space="0" w:color="auto"/>
              <w:right w:val="single" w:sz="4" w:space="0" w:color="auto"/>
            </w:tcBorders>
            <w:shd w:val="clear" w:color="auto" w:fill="C6EFCE"/>
            <w:noWrap/>
          </w:tcPr>
          <w:p w14:paraId="7F93558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380" w:type="dxa"/>
            <w:tcBorders>
              <w:top w:val="nil"/>
              <w:left w:val="single" w:sz="4" w:space="0" w:color="auto"/>
              <w:bottom w:val="single" w:sz="4" w:space="0" w:color="auto"/>
              <w:right w:val="single" w:sz="4" w:space="0" w:color="auto"/>
            </w:tcBorders>
            <w:shd w:val="clear" w:color="auto" w:fill="C6EFCE"/>
            <w:noWrap/>
          </w:tcPr>
          <w:p w14:paraId="524433A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următoarelor acte normative, menite să raționalizeze cadrul juridic, să combată exploatarea forestieră ilegală și să îmbunătățească gestionarea pădurilor: </w:t>
            </w:r>
          </w:p>
          <w:p w14:paraId="1D7F0010"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 noul Cod Silvic, care stabilește modificările aduse sistemului de sancțiuni penale;</w:t>
            </w:r>
          </w:p>
          <w:p w14:paraId="2C32309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(ii) Ordonanța de urgență nr. 85/2006 privind stabilirea modalităților de evaluare a pagubelor produse vegetației forestiere din păduri și din afara acestora;</w:t>
            </w:r>
          </w:p>
          <w:p w14:paraId="1C7EF55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(iii) Legea nr. 171/2010 privind stabilirea și sancționarea contravențiilor silvice, care stabilește metodele de calcul al prejudiciului de mediu și financiar cauzat de exploatarea forestieră ilegală și de alte infracțiuni silvice; </w:t>
            </w:r>
          </w:p>
          <w:p w14:paraId="4D96ADF9" w14:textId="23FFBCF2"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(iv) alte hotărâri ale guvernului privind combaterea exploatării forestiere ilegale și îmbunătățirea gestionării pădurilor: modificările aduse Hotărârii Guvernului nr. 743/2015, Hotărârii Guvernului nr.</w:t>
            </w:r>
            <w:r w:rsidR="008F1E27">
              <w:rPr>
                <w:rFonts w:ascii="Times New Roman" w:hAnsi="Times New Roman"/>
                <w:noProof/>
                <w:sz w:val="24"/>
              </w:rPr>
              <w:t> </w:t>
            </w:r>
            <w:r>
              <w:rPr>
                <w:rFonts w:ascii="Times New Roman" w:hAnsi="Times New Roman"/>
                <w:noProof/>
                <w:sz w:val="24"/>
              </w:rPr>
              <w:t>1076/2009, Hotărârii Guvernului nr. 229/2009, Hotărârii Guvernului nr.</w:t>
            </w:r>
            <w:r w:rsidR="008F1E27">
              <w:rPr>
                <w:rFonts w:ascii="Times New Roman" w:hAnsi="Times New Roman"/>
                <w:noProof/>
                <w:sz w:val="24"/>
              </w:rPr>
              <w:t> </w:t>
            </w:r>
            <w:r>
              <w:rPr>
                <w:rFonts w:ascii="Times New Roman" w:hAnsi="Times New Roman"/>
                <w:noProof/>
                <w:sz w:val="24"/>
              </w:rPr>
              <w:t xml:space="preserve">497/2020; </w:t>
            </w:r>
          </w:p>
        </w:tc>
      </w:tr>
      <w:tr w:rsidR="008F1E27" w:rsidRPr="005209CD" w14:paraId="6368B123"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290D5DDF"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25</w:t>
            </w:r>
          </w:p>
        </w:tc>
        <w:tc>
          <w:tcPr>
            <w:tcW w:w="1491" w:type="dxa"/>
            <w:tcBorders>
              <w:top w:val="nil"/>
              <w:left w:val="single" w:sz="4" w:space="0" w:color="auto"/>
              <w:bottom w:val="single" w:sz="4" w:space="0" w:color="auto"/>
              <w:right w:val="single" w:sz="4" w:space="0" w:color="auto"/>
            </w:tcBorders>
            <w:shd w:val="clear" w:color="auto" w:fill="C6EFCE"/>
            <w:noWrap/>
          </w:tcPr>
          <w:p w14:paraId="00D6FE6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Campania națională de împădurire și reîmpădurire, inclusiv păduri urbane</w:t>
            </w:r>
          </w:p>
        </w:tc>
        <w:tc>
          <w:tcPr>
            <w:tcW w:w="1078" w:type="dxa"/>
            <w:tcBorders>
              <w:top w:val="nil"/>
              <w:left w:val="single" w:sz="4" w:space="0" w:color="auto"/>
              <w:bottom w:val="single" w:sz="4" w:space="0" w:color="auto"/>
              <w:right w:val="single" w:sz="4" w:space="0" w:color="auto"/>
            </w:tcBorders>
            <w:shd w:val="clear" w:color="auto" w:fill="C6EFCE"/>
            <w:noWrap/>
          </w:tcPr>
          <w:p w14:paraId="52EB1082"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680" w:type="dxa"/>
            <w:tcBorders>
              <w:top w:val="nil"/>
              <w:left w:val="single" w:sz="4" w:space="0" w:color="auto"/>
              <w:bottom w:val="single" w:sz="4" w:space="0" w:color="auto"/>
              <w:right w:val="single" w:sz="4" w:space="0" w:color="auto"/>
            </w:tcBorders>
            <w:shd w:val="clear" w:color="auto" w:fill="C6EFCE"/>
            <w:noWrap/>
          </w:tcPr>
          <w:p w14:paraId="1EE5299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Suprafețe noi de teren împădurite sau reîmpădurite</w:t>
            </w:r>
          </w:p>
          <w:p w14:paraId="5878528D" w14:textId="77777777" w:rsidR="00647F09" w:rsidRPr="009F1DC7" w:rsidRDefault="00647F09">
            <w:pPr>
              <w:spacing w:after="0" w:line="240" w:lineRule="auto"/>
              <w:jc w:val="both"/>
              <w:rPr>
                <w:rFonts w:ascii="Times New Roman" w:hAnsi="Times New Roman" w:cs="Times New Roman"/>
                <w:noProof/>
                <w:sz w:val="24"/>
                <w:szCs w:val="24"/>
                <w:lang w:val="fr-FR"/>
              </w:rPr>
            </w:pPr>
          </w:p>
          <w:p w14:paraId="1B03D1E1"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680" w:type="dxa"/>
            <w:tcBorders>
              <w:top w:val="nil"/>
              <w:left w:val="single" w:sz="4" w:space="0" w:color="auto"/>
              <w:bottom w:val="single" w:sz="4" w:space="0" w:color="auto"/>
              <w:right w:val="single" w:sz="4" w:space="0" w:color="auto"/>
            </w:tcBorders>
            <w:shd w:val="clear" w:color="auto" w:fill="C6EFCE"/>
            <w:noWrap/>
          </w:tcPr>
          <w:p w14:paraId="7C97525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543FD1B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ha</w:t>
            </w:r>
          </w:p>
        </w:tc>
        <w:tc>
          <w:tcPr>
            <w:tcW w:w="1200" w:type="dxa"/>
            <w:tcBorders>
              <w:top w:val="nil"/>
              <w:left w:val="single" w:sz="4" w:space="0" w:color="auto"/>
              <w:bottom w:val="single" w:sz="4" w:space="0" w:color="auto"/>
              <w:right w:val="single" w:sz="4" w:space="0" w:color="auto"/>
            </w:tcBorders>
            <w:shd w:val="clear" w:color="auto" w:fill="C6EFCE"/>
            <w:noWrap/>
          </w:tcPr>
          <w:p w14:paraId="2F5E279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nil"/>
              <w:left w:val="single" w:sz="4" w:space="0" w:color="auto"/>
              <w:bottom w:val="single" w:sz="4" w:space="0" w:color="auto"/>
              <w:right w:val="single" w:sz="4" w:space="0" w:color="auto"/>
            </w:tcBorders>
            <w:shd w:val="clear" w:color="auto" w:fill="C6EFCE"/>
            <w:noWrap/>
          </w:tcPr>
          <w:p w14:paraId="4A217CDC" w14:textId="3878E3B9"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6 000</w:t>
            </w:r>
          </w:p>
        </w:tc>
        <w:tc>
          <w:tcPr>
            <w:tcW w:w="1320" w:type="dxa"/>
            <w:tcBorders>
              <w:top w:val="nil"/>
              <w:left w:val="single" w:sz="4" w:space="0" w:color="auto"/>
              <w:bottom w:val="single" w:sz="4" w:space="0" w:color="auto"/>
              <w:right w:val="single" w:sz="4" w:space="0" w:color="auto"/>
            </w:tcBorders>
            <w:shd w:val="clear" w:color="auto" w:fill="C6EFCE"/>
            <w:noWrap/>
          </w:tcPr>
          <w:p w14:paraId="01BFD5D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single" w:sz="4" w:space="0" w:color="auto"/>
              <w:bottom w:val="single" w:sz="4" w:space="0" w:color="auto"/>
              <w:right w:val="single" w:sz="4" w:space="0" w:color="auto"/>
            </w:tcBorders>
            <w:shd w:val="clear" w:color="auto" w:fill="C6EFCE"/>
            <w:noWrap/>
          </w:tcPr>
          <w:p w14:paraId="377AA13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380" w:type="dxa"/>
            <w:tcBorders>
              <w:top w:val="nil"/>
              <w:left w:val="single" w:sz="4" w:space="0" w:color="auto"/>
              <w:bottom w:val="single" w:sz="4" w:space="0" w:color="auto"/>
              <w:right w:val="single" w:sz="4" w:space="0" w:color="auto"/>
            </w:tcBorders>
            <w:shd w:val="clear" w:color="auto" w:fill="C6EFCE"/>
            <w:noWrap/>
          </w:tcPr>
          <w:p w14:paraId="7687C991" w14:textId="10C4F9DD"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Suprafețe noi de teren împădurite sau reîmpădurite (cel puțin 6 000 ha)), în conformitate cu cerințele legale stabilite în Strategia forestieră națională:</w:t>
            </w:r>
          </w:p>
          <w:p w14:paraId="524CC9E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a.</w:t>
            </w:r>
            <w:r>
              <w:rPr>
                <w:noProof/>
              </w:rPr>
              <w:tab/>
            </w:r>
            <w:r>
              <w:rPr>
                <w:rFonts w:ascii="Times New Roman" w:hAnsi="Times New Roman"/>
                <w:noProof/>
                <w:sz w:val="24"/>
              </w:rPr>
              <w:t xml:space="preserve">Se vor utiliza numai speciile și ecotipurile care sunt reziliente la viitoarele impacturi preconizate ale schimbărilor climatice și acestea nu vor avea efecte adverse asupra biodiversității. Utilizarea speciilor alogene va fi permisă numai în cazul în care se demonstrează că utilizarea acestora duce la condiții ecosistemice favorabile și adecvate (cum ar fi clima, solul, zonele de vegetație, rezistența la foc) și că speciile indigene prezente nu mai sunt adaptate la viitoarele condiții climatice și pedohidrologice modelate. </w:t>
            </w:r>
          </w:p>
          <w:p w14:paraId="66EB1B2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b.</w:t>
            </w:r>
            <w:r>
              <w:rPr>
                <w:noProof/>
              </w:rPr>
              <w:tab/>
            </w:r>
            <w:r>
              <w:rPr>
                <w:rFonts w:ascii="Times New Roman" w:hAnsi="Times New Roman"/>
                <w:noProof/>
                <w:sz w:val="24"/>
              </w:rPr>
              <w:t>Se vor utiliza numai speciile și ecotipurile de arbori care sunt adecvate pentru viitoarele condiții climatice preconizate din România;</w:t>
            </w:r>
          </w:p>
          <w:p w14:paraId="647D9EC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w:t>
            </w:r>
            <w:r>
              <w:rPr>
                <w:noProof/>
              </w:rPr>
              <w:tab/>
            </w:r>
            <w:r>
              <w:rPr>
                <w:rFonts w:ascii="Times New Roman" w:hAnsi="Times New Roman"/>
                <w:noProof/>
                <w:sz w:val="24"/>
              </w:rPr>
              <w:t xml:space="preserve">Împădurirea va trebui să contribuie în mod pozitiv la obiectivele de conservare a biodiversității, de management al apei și de protecție a solului. Împădurirea nu va avea loc pe terenuri agricole de mare valoare naturală, pajiști sau zone umede, cu excepția cazului în care scopul intervenției este refacerea habitatelor. </w:t>
            </w:r>
          </w:p>
          <w:p w14:paraId="4240280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d.</w:t>
            </w:r>
            <w:r>
              <w:rPr>
                <w:noProof/>
              </w:rPr>
              <w:tab/>
            </w:r>
            <w:r>
              <w:rPr>
                <w:rFonts w:ascii="Times New Roman" w:hAnsi="Times New Roman"/>
                <w:noProof/>
                <w:sz w:val="24"/>
              </w:rPr>
              <w:t>Proiectele de împădurire sau reîmpădurire se vor desfășura în zone expuse și vulnerabile la pericole climatice, în special la secete și inundații.</w:t>
            </w:r>
          </w:p>
          <w:p w14:paraId="324D880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e. Proiectele de împădurire și reîmpădurire vor face obiectul unei proceduri de evaluare a impactului asupra mediului (EIM), dacă acest lucru este stabilit în cadrul procedurii de verificare a aplicabilității EIM, iar planurile de management forestier relevante pentru acțiunile de împădurire și reîmpădurire vor face obiectul unei proceduri complete de evaluare strategică de mediu (raport de mediu), în special dacă afectează habitatele și/sau speciile protejate.</w:t>
            </w:r>
          </w:p>
        </w:tc>
      </w:tr>
      <w:tr w:rsidR="008F1E27" w:rsidRPr="000A27B3" w14:paraId="56C4781B"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42606CD2"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26</w:t>
            </w:r>
          </w:p>
        </w:tc>
        <w:tc>
          <w:tcPr>
            <w:tcW w:w="1491" w:type="dxa"/>
            <w:tcBorders>
              <w:top w:val="nil"/>
              <w:left w:val="single" w:sz="4" w:space="0" w:color="auto"/>
              <w:bottom w:val="single" w:sz="4" w:space="0" w:color="auto"/>
              <w:right w:val="single" w:sz="4" w:space="0" w:color="auto"/>
            </w:tcBorders>
            <w:shd w:val="clear" w:color="auto" w:fill="C6EFCE"/>
            <w:noWrap/>
          </w:tcPr>
          <w:p w14:paraId="083B9DB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Campania națională de împădurire și reîmpădurire, inclusiv păduri urbane</w:t>
            </w:r>
          </w:p>
        </w:tc>
        <w:tc>
          <w:tcPr>
            <w:tcW w:w="1078" w:type="dxa"/>
            <w:tcBorders>
              <w:top w:val="nil"/>
              <w:left w:val="single" w:sz="4" w:space="0" w:color="auto"/>
              <w:bottom w:val="single" w:sz="4" w:space="0" w:color="auto"/>
              <w:right w:val="single" w:sz="4" w:space="0" w:color="auto"/>
            </w:tcBorders>
            <w:shd w:val="clear" w:color="auto" w:fill="C6EFCE"/>
            <w:noWrap/>
          </w:tcPr>
          <w:p w14:paraId="721E3EC2"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680" w:type="dxa"/>
            <w:tcBorders>
              <w:top w:val="nil"/>
              <w:left w:val="single" w:sz="4" w:space="0" w:color="auto"/>
              <w:bottom w:val="single" w:sz="4" w:space="0" w:color="auto"/>
              <w:right w:val="single" w:sz="4" w:space="0" w:color="auto"/>
            </w:tcBorders>
            <w:shd w:val="clear" w:color="auto" w:fill="C6EFCE"/>
            <w:noWrap/>
          </w:tcPr>
          <w:p w14:paraId="0D5A8B0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Suprafețe noi de teren împădurite sau reîmpădurite</w:t>
            </w:r>
          </w:p>
          <w:p w14:paraId="6594F47E" w14:textId="77777777" w:rsidR="00647F09" w:rsidRPr="009F1DC7" w:rsidRDefault="00647F09">
            <w:pPr>
              <w:spacing w:after="0" w:line="240" w:lineRule="auto"/>
              <w:jc w:val="both"/>
              <w:rPr>
                <w:rFonts w:ascii="Times New Roman" w:hAnsi="Times New Roman" w:cs="Times New Roman"/>
                <w:noProof/>
                <w:sz w:val="24"/>
                <w:szCs w:val="24"/>
                <w:lang w:val="fr-FR"/>
              </w:rPr>
            </w:pPr>
          </w:p>
          <w:p w14:paraId="1E747B43"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p w14:paraId="75A98BFC"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p w14:paraId="046C29CD"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680" w:type="dxa"/>
            <w:tcBorders>
              <w:top w:val="nil"/>
              <w:left w:val="single" w:sz="4" w:space="0" w:color="auto"/>
              <w:bottom w:val="single" w:sz="4" w:space="0" w:color="auto"/>
              <w:right w:val="single" w:sz="4" w:space="0" w:color="auto"/>
            </w:tcBorders>
            <w:shd w:val="clear" w:color="auto" w:fill="C6EFCE"/>
            <w:noWrap/>
          </w:tcPr>
          <w:p w14:paraId="448C5CA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57CAB7C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ha</w:t>
            </w:r>
          </w:p>
        </w:tc>
        <w:tc>
          <w:tcPr>
            <w:tcW w:w="1200" w:type="dxa"/>
            <w:tcBorders>
              <w:top w:val="nil"/>
              <w:left w:val="single" w:sz="4" w:space="0" w:color="auto"/>
              <w:bottom w:val="single" w:sz="4" w:space="0" w:color="auto"/>
              <w:right w:val="single" w:sz="4" w:space="0" w:color="auto"/>
            </w:tcBorders>
            <w:shd w:val="clear" w:color="auto" w:fill="C6EFCE"/>
            <w:noWrap/>
          </w:tcPr>
          <w:p w14:paraId="16F9099D" w14:textId="6FB25BF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6 000</w:t>
            </w:r>
          </w:p>
        </w:tc>
        <w:tc>
          <w:tcPr>
            <w:tcW w:w="1200" w:type="dxa"/>
            <w:tcBorders>
              <w:top w:val="nil"/>
              <w:left w:val="single" w:sz="4" w:space="0" w:color="auto"/>
              <w:bottom w:val="single" w:sz="4" w:space="0" w:color="auto"/>
              <w:right w:val="single" w:sz="4" w:space="0" w:color="auto"/>
            </w:tcBorders>
            <w:shd w:val="clear" w:color="auto" w:fill="C6EFCE"/>
            <w:noWrap/>
          </w:tcPr>
          <w:p w14:paraId="6AF287FA" w14:textId="287EF3EA"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26 760 </w:t>
            </w:r>
          </w:p>
        </w:tc>
        <w:tc>
          <w:tcPr>
            <w:tcW w:w="1320" w:type="dxa"/>
            <w:tcBorders>
              <w:top w:val="nil"/>
              <w:left w:val="single" w:sz="4" w:space="0" w:color="auto"/>
              <w:bottom w:val="single" w:sz="4" w:space="0" w:color="auto"/>
              <w:right w:val="single" w:sz="4" w:space="0" w:color="auto"/>
            </w:tcBorders>
            <w:shd w:val="clear" w:color="auto" w:fill="C6EFCE"/>
            <w:noWrap/>
          </w:tcPr>
          <w:p w14:paraId="755767A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single" w:sz="4" w:space="0" w:color="auto"/>
              <w:bottom w:val="single" w:sz="4" w:space="0" w:color="auto"/>
              <w:right w:val="single" w:sz="4" w:space="0" w:color="auto"/>
            </w:tcBorders>
            <w:shd w:val="clear" w:color="auto" w:fill="C6EFCE"/>
            <w:noWrap/>
          </w:tcPr>
          <w:p w14:paraId="35301F7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380" w:type="dxa"/>
            <w:tcBorders>
              <w:top w:val="nil"/>
              <w:left w:val="single" w:sz="4" w:space="0" w:color="auto"/>
              <w:bottom w:val="single" w:sz="4" w:space="0" w:color="auto"/>
              <w:right w:val="single" w:sz="4" w:space="0" w:color="auto"/>
            </w:tcBorders>
            <w:shd w:val="clear" w:color="auto" w:fill="C6EFCE"/>
            <w:noWrap/>
          </w:tcPr>
          <w:p w14:paraId="12335805" w14:textId="467E75D0"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Suprafețe noi de teren împădurite sau reîmpădurite (un total de 26 760</w:t>
            </w:r>
            <w:r w:rsidR="004C4C72">
              <w:rPr>
                <w:rFonts w:ascii="Times New Roman" w:hAnsi="Times New Roman"/>
                <w:noProof/>
                <w:sz w:val="24"/>
              </w:rPr>
              <w:t xml:space="preserve"> </w:t>
            </w:r>
            <w:r>
              <w:rPr>
                <w:rFonts w:ascii="Times New Roman" w:hAnsi="Times New Roman"/>
                <w:noProof/>
                <w:sz w:val="24"/>
              </w:rPr>
              <w:t>ha), în conformitate cu cerințele legale stabilite în Strategia forestieră națională și cu cerințele specificate la ținta 25.</w:t>
            </w:r>
          </w:p>
        </w:tc>
      </w:tr>
      <w:tr w:rsidR="008F1E27" w:rsidRPr="005209CD" w14:paraId="66518E92"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4A4077CE"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27</w:t>
            </w:r>
          </w:p>
        </w:tc>
        <w:tc>
          <w:tcPr>
            <w:tcW w:w="1491" w:type="dxa"/>
            <w:tcBorders>
              <w:top w:val="nil"/>
              <w:left w:val="single" w:sz="4" w:space="0" w:color="auto"/>
              <w:bottom w:val="single" w:sz="4" w:space="0" w:color="auto"/>
              <w:right w:val="single" w:sz="4" w:space="0" w:color="auto"/>
            </w:tcBorders>
            <w:shd w:val="clear" w:color="auto" w:fill="C6EFCE"/>
            <w:noWrap/>
          </w:tcPr>
          <w:p w14:paraId="2640E51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Campania națională de împădurire și reîmpădurire, inclusiv păduri urbane</w:t>
            </w:r>
          </w:p>
        </w:tc>
        <w:tc>
          <w:tcPr>
            <w:tcW w:w="1078" w:type="dxa"/>
            <w:tcBorders>
              <w:top w:val="nil"/>
              <w:left w:val="single" w:sz="4" w:space="0" w:color="auto"/>
              <w:bottom w:val="single" w:sz="4" w:space="0" w:color="auto"/>
              <w:right w:val="single" w:sz="4" w:space="0" w:color="auto"/>
            </w:tcBorders>
            <w:shd w:val="clear" w:color="auto" w:fill="C6EFCE"/>
            <w:noWrap/>
          </w:tcPr>
          <w:p w14:paraId="22A07EBD"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680" w:type="dxa"/>
            <w:tcBorders>
              <w:top w:val="nil"/>
              <w:left w:val="single" w:sz="4" w:space="0" w:color="auto"/>
              <w:bottom w:val="single" w:sz="4" w:space="0" w:color="auto"/>
              <w:right w:val="single" w:sz="4" w:space="0" w:color="auto"/>
            </w:tcBorders>
            <w:shd w:val="clear" w:color="auto" w:fill="C6EFCE"/>
            <w:noWrap/>
          </w:tcPr>
          <w:p w14:paraId="022AF00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Crearea de noi zone de păduri urbane.</w:t>
            </w:r>
          </w:p>
          <w:p w14:paraId="44470E71"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p w14:paraId="7501CCFB"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680" w:type="dxa"/>
            <w:tcBorders>
              <w:top w:val="nil"/>
              <w:left w:val="single" w:sz="4" w:space="0" w:color="auto"/>
              <w:bottom w:val="single" w:sz="4" w:space="0" w:color="auto"/>
              <w:right w:val="single" w:sz="4" w:space="0" w:color="auto"/>
            </w:tcBorders>
            <w:shd w:val="clear" w:color="auto" w:fill="C6EFCE"/>
            <w:noWrap/>
          </w:tcPr>
          <w:p w14:paraId="6121B86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65AC7E7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m</w:t>
            </w:r>
            <w:r>
              <w:rPr>
                <w:rFonts w:ascii="Times New Roman" w:hAnsi="Times New Roman"/>
                <w:noProof/>
                <w:sz w:val="24"/>
                <w:vertAlign w:val="superscript"/>
              </w:rPr>
              <w:t>2</w:t>
            </w:r>
          </w:p>
        </w:tc>
        <w:tc>
          <w:tcPr>
            <w:tcW w:w="1200" w:type="dxa"/>
            <w:tcBorders>
              <w:top w:val="nil"/>
              <w:left w:val="single" w:sz="4" w:space="0" w:color="auto"/>
              <w:bottom w:val="single" w:sz="4" w:space="0" w:color="auto"/>
              <w:right w:val="single" w:sz="4" w:space="0" w:color="auto"/>
            </w:tcBorders>
            <w:shd w:val="clear" w:color="auto" w:fill="C6EFCE"/>
            <w:noWrap/>
          </w:tcPr>
          <w:p w14:paraId="257C91C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nil"/>
              <w:left w:val="single" w:sz="4" w:space="0" w:color="auto"/>
              <w:bottom w:val="single" w:sz="4" w:space="0" w:color="auto"/>
              <w:right w:val="single" w:sz="4" w:space="0" w:color="auto"/>
            </w:tcBorders>
            <w:shd w:val="clear" w:color="auto" w:fill="C6EFCE"/>
            <w:noWrap/>
          </w:tcPr>
          <w:p w14:paraId="36F0F3A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500 000</w:t>
            </w:r>
          </w:p>
        </w:tc>
        <w:tc>
          <w:tcPr>
            <w:tcW w:w="1320" w:type="dxa"/>
            <w:tcBorders>
              <w:top w:val="nil"/>
              <w:left w:val="single" w:sz="4" w:space="0" w:color="auto"/>
              <w:bottom w:val="single" w:sz="4" w:space="0" w:color="auto"/>
              <w:right w:val="single" w:sz="4" w:space="0" w:color="auto"/>
            </w:tcBorders>
            <w:shd w:val="clear" w:color="auto" w:fill="C6EFCE"/>
            <w:noWrap/>
          </w:tcPr>
          <w:p w14:paraId="54C12E2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single" w:sz="4" w:space="0" w:color="auto"/>
              <w:bottom w:val="single" w:sz="4" w:space="0" w:color="auto"/>
              <w:right w:val="single" w:sz="4" w:space="0" w:color="auto"/>
            </w:tcBorders>
            <w:shd w:val="clear" w:color="auto" w:fill="C6EFCE"/>
            <w:noWrap/>
          </w:tcPr>
          <w:p w14:paraId="1213929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380" w:type="dxa"/>
            <w:tcBorders>
              <w:top w:val="nil"/>
              <w:left w:val="single" w:sz="4" w:space="0" w:color="auto"/>
              <w:bottom w:val="single" w:sz="4" w:space="0" w:color="auto"/>
              <w:right w:val="single" w:sz="4" w:space="0" w:color="auto"/>
            </w:tcBorders>
            <w:shd w:val="clear" w:color="auto" w:fill="C6EFCE"/>
            <w:noWrap/>
          </w:tcPr>
          <w:p w14:paraId="13EC56B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Noi zone de păduri urbane (cel puțin 500 000 m</w:t>
            </w:r>
            <w:r>
              <w:rPr>
                <w:rFonts w:ascii="Times New Roman" w:hAnsi="Times New Roman"/>
                <w:noProof/>
                <w:sz w:val="24"/>
                <w:vertAlign w:val="superscript"/>
              </w:rPr>
              <w:t>2</w:t>
            </w:r>
            <w:r>
              <w:rPr>
                <w:rFonts w:ascii="Times New Roman" w:hAnsi="Times New Roman"/>
                <w:noProof/>
                <w:sz w:val="24"/>
              </w:rPr>
              <w:t>), în conformitate cu cerințele legale stabilite în Strategia forestieră națională:</w:t>
            </w:r>
          </w:p>
          <w:p w14:paraId="6CC7A7D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a.</w:t>
            </w:r>
            <w:r>
              <w:rPr>
                <w:noProof/>
              </w:rPr>
              <w:tab/>
            </w:r>
            <w:r>
              <w:rPr>
                <w:rFonts w:ascii="Times New Roman" w:hAnsi="Times New Roman"/>
                <w:noProof/>
                <w:sz w:val="24"/>
              </w:rPr>
              <w:t xml:space="preserve">Se vor utiliza numai speciile și ecotipurile care sunt reziliente la viitoarele impacturi preconizate ale schimbărilor climatice și acestea nu vor avea efecte adverse asupra biodiversității. Utilizarea speciilor alogene va fi permisă numai în cazul în care se demonstrează că utilizarea acestora duce la condiții ecosistemice favorabile și adecvate (cum ar fi clima, solul, zonele de vegetație, rezistența la foc) și că speciile indigene prezente nu mai sunt adaptate la viitoarele condiții climatice și pedohidrologice modelate. </w:t>
            </w:r>
          </w:p>
          <w:p w14:paraId="427E922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b.</w:t>
            </w:r>
            <w:r>
              <w:rPr>
                <w:noProof/>
              </w:rPr>
              <w:tab/>
            </w:r>
            <w:r>
              <w:rPr>
                <w:rFonts w:ascii="Times New Roman" w:hAnsi="Times New Roman"/>
                <w:noProof/>
                <w:sz w:val="24"/>
              </w:rPr>
              <w:t>Se vor utiliza numai speciile și ecotipurile care sunt adecvate pentru viitoarele condiții climatice preconizate din România;</w:t>
            </w:r>
          </w:p>
          <w:p w14:paraId="0CBA0B6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w:t>
            </w:r>
            <w:r>
              <w:rPr>
                <w:noProof/>
              </w:rPr>
              <w:tab/>
            </w:r>
            <w:r>
              <w:rPr>
                <w:rFonts w:ascii="Times New Roman" w:hAnsi="Times New Roman"/>
                <w:noProof/>
                <w:sz w:val="24"/>
              </w:rPr>
              <w:t>Împădurirea urbană se va realiza printr-o abordare la nivel de peisaj care contribuie la consolidarea conexiunilor cu zonele naturale sau seminaturale (cum ar fi pădurile sau zonele agricole), punând accentul pe conectarea habitatelor prin infrastructuri verzi și coridoare ecologice. Selectarea speciilor și a ecotipurilor va ține seama de rolul acestora în curățarea aerului și în furnizarea altor servicii ecosistemice în zonele urbane.</w:t>
            </w:r>
          </w:p>
          <w:p w14:paraId="5855615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d.</w:t>
            </w:r>
            <w:r>
              <w:rPr>
                <w:noProof/>
              </w:rPr>
              <w:tab/>
            </w:r>
            <w:r>
              <w:rPr>
                <w:rFonts w:ascii="Times New Roman" w:hAnsi="Times New Roman"/>
                <w:noProof/>
                <w:sz w:val="24"/>
              </w:rPr>
              <w:t xml:space="preserve">Împădurirea va trebui să contribuie în mod pozitiv la obiectivele de conservare a biodiversității, de management al apei și de protecție a solului. Împădurirea nu va avea loc pe terenuri agricole de mare valoare naturală, pajiști sau zone umede, cu excepția cazului în care scopul intervenției este refacerea habitatelor. </w:t>
            </w:r>
          </w:p>
          <w:p w14:paraId="5E83188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e.</w:t>
            </w:r>
            <w:r>
              <w:rPr>
                <w:noProof/>
              </w:rPr>
              <w:tab/>
            </w:r>
            <w:r>
              <w:rPr>
                <w:rFonts w:ascii="Times New Roman" w:hAnsi="Times New Roman"/>
                <w:noProof/>
                <w:sz w:val="24"/>
              </w:rPr>
              <w:t>Proiectele de împădurire sau reîmpădurire se vor desfășura în zone expuse și vulnerabile la pericole climatice, în special la secete și inundații.</w:t>
            </w:r>
          </w:p>
        </w:tc>
      </w:tr>
      <w:tr w:rsidR="008F1E27" w:rsidRPr="000A27B3" w14:paraId="3CEF0B60"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61D75D77"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28</w:t>
            </w:r>
          </w:p>
        </w:tc>
        <w:tc>
          <w:tcPr>
            <w:tcW w:w="1491" w:type="dxa"/>
            <w:tcBorders>
              <w:top w:val="nil"/>
              <w:left w:val="single" w:sz="4" w:space="0" w:color="auto"/>
              <w:bottom w:val="single" w:sz="4" w:space="0" w:color="auto"/>
              <w:right w:val="single" w:sz="4" w:space="0" w:color="auto"/>
            </w:tcBorders>
            <w:shd w:val="clear" w:color="auto" w:fill="C6EFCE"/>
            <w:noWrap/>
          </w:tcPr>
          <w:p w14:paraId="1E2983B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Campania națională de împădurire și reîmpădurire, inclusiv păduri urbane</w:t>
            </w:r>
          </w:p>
        </w:tc>
        <w:tc>
          <w:tcPr>
            <w:tcW w:w="1078" w:type="dxa"/>
            <w:tcBorders>
              <w:top w:val="nil"/>
              <w:left w:val="single" w:sz="4" w:space="0" w:color="auto"/>
              <w:bottom w:val="single" w:sz="4" w:space="0" w:color="auto"/>
              <w:right w:val="single" w:sz="4" w:space="0" w:color="auto"/>
            </w:tcBorders>
            <w:shd w:val="clear" w:color="auto" w:fill="C6EFCE"/>
            <w:noWrap/>
          </w:tcPr>
          <w:p w14:paraId="39ADA82B"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680" w:type="dxa"/>
            <w:tcBorders>
              <w:top w:val="nil"/>
              <w:left w:val="single" w:sz="4" w:space="0" w:color="auto"/>
              <w:bottom w:val="single" w:sz="4" w:space="0" w:color="auto"/>
              <w:right w:val="single" w:sz="4" w:space="0" w:color="auto"/>
            </w:tcBorders>
            <w:shd w:val="clear" w:color="auto" w:fill="C6EFCE"/>
            <w:noWrap/>
          </w:tcPr>
          <w:p w14:paraId="56193A0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Crearea de noi zone de păduri urbane</w:t>
            </w:r>
          </w:p>
          <w:p w14:paraId="20D53362"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p w14:paraId="2E20F997"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680" w:type="dxa"/>
            <w:tcBorders>
              <w:top w:val="nil"/>
              <w:left w:val="single" w:sz="4" w:space="0" w:color="auto"/>
              <w:bottom w:val="single" w:sz="4" w:space="0" w:color="auto"/>
              <w:right w:val="single" w:sz="4" w:space="0" w:color="auto"/>
            </w:tcBorders>
            <w:shd w:val="clear" w:color="auto" w:fill="C6EFCE"/>
            <w:noWrap/>
          </w:tcPr>
          <w:p w14:paraId="4213D82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0E58B9F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m</w:t>
            </w:r>
            <w:r>
              <w:rPr>
                <w:rFonts w:ascii="Times New Roman" w:hAnsi="Times New Roman"/>
                <w:noProof/>
                <w:sz w:val="24"/>
                <w:vertAlign w:val="superscript"/>
              </w:rPr>
              <w:t>2</w:t>
            </w:r>
          </w:p>
        </w:tc>
        <w:tc>
          <w:tcPr>
            <w:tcW w:w="1200" w:type="dxa"/>
            <w:tcBorders>
              <w:top w:val="nil"/>
              <w:left w:val="single" w:sz="4" w:space="0" w:color="auto"/>
              <w:bottom w:val="single" w:sz="4" w:space="0" w:color="auto"/>
              <w:right w:val="single" w:sz="4" w:space="0" w:color="auto"/>
            </w:tcBorders>
            <w:shd w:val="clear" w:color="auto" w:fill="C6EFCE"/>
            <w:noWrap/>
          </w:tcPr>
          <w:p w14:paraId="7CE247F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500 000</w:t>
            </w:r>
          </w:p>
        </w:tc>
        <w:tc>
          <w:tcPr>
            <w:tcW w:w="1200" w:type="dxa"/>
            <w:tcBorders>
              <w:top w:val="nil"/>
              <w:left w:val="single" w:sz="4" w:space="0" w:color="auto"/>
              <w:bottom w:val="single" w:sz="4" w:space="0" w:color="auto"/>
              <w:right w:val="single" w:sz="4" w:space="0" w:color="auto"/>
            </w:tcBorders>
            <w:shd w:val="clear" w:color="auto" w:fill="C6EFCE"/>
            <w:noWrap/>
          </w:tcPr>
          <w:p w14:paraId="0FEF9A6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3 150 000</w:t>
            </w:r>
          </w:p>
        </w:tc>
        <w:tc>
          <w:tcPr>
            <w:tcW w:w="1320" w:type="dxa"/>
            <w:tcBorders>
              <w:top w:val="nil"/>
              <w:left w:val="single" w:sz="4" w:space="0" w:color="auto"/>
              <w:bottom w:val="single" w:sz="4" w:space="0" w:color="auto"/>
              <w:right w:val="single" w:sz="4" w:space="0" w:color="auto"/>
            </w:tcBorders>
            <w:shd w:val="clear" w:color="auto" w:fill="C6EFCE"/>
            <w:noWrap/>
          </w:tcPr>
          <w:p w14:paraId="7603734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single" w:sz="4" w:space="0" w:color="auto"/>
              <w:bottom w:val="single" w:sz="4" w:space="0" w:color="auto"/>
              <w:right w:val="single" w:sz="4" w:space="0" w:color="auto"/>
            </w:tcBorders>
            <w:shd w:val="clear" w:color="auto" w:fill="C6EFCE"/>
            <w:noWrap/>
          </w:tcPr>
          <w:p w14:paraId="7D6B43E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380" w:type="dxa"/>
            <w:tcBorders>
              <w:top w:val="nil"/>
              <w:left w:val="single" w:sz="4" w:space="0" w:color="auto"/>
              <w:bottom w:val="single" w:sz="4" w:space="0" w:color="auto"/>
              <w:right w:val="single" w:sz="4" w:space="0" w:color="auto"/>
            </w:tcBorders>
            <w:shd w:val="clear" w:color="auto" w:fill="C6EFCE"/>
            <w:noWrap/>
          </w:tcPr>
          <w:p w14:paraId="1719341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Noi zone de păduri urbane (un total de 3 150 000 m</w:t>
            </w:r>
            <w:r>
              <w:rPr>
                <w:rFonts w:ascii="Times New Roman" w:hAnsi="Times New Roman"/>
                <w:noProof/>
                <w:sz w:val="24"/>
                <w:vertAlign w:val="superscript"/>
              </w:rPr>
              <w:t>2</w:t>
            </w:r>
            <w:r>
              <w:rPr>
                <w:rFonts w:ascii="Times New Roman" w:hAnsi="Times New Roman"/>
                <w:noProof/>
                <w:sz w:val="24"/>
              </w:rPr>
              <w:t xml:space="preserve">), în conformitate cu cerințele legale stabilite în Strategia forestieră și cu cerințele specificate la ținta 25. </w:t>
            </w:r>
          </w:p>
        </w:tc>
      </w:tr>
      <w:tr w:rsidR="008F1E27" w:rsidRPr="000A27B3" w14:paraId="054BBE34" w14:textId="77777777" w:rsidTr="008F1E27">
        <w:trPr>
          <w:trHeight w:val="309"/>
          <w:jc w:val="center"/>
        </w:trPr>
        <w:tc>
          <w:tcPr>
            <w:tcW w:w="786" w:type="dxa"/>
            <w:tcBorders>
              <w:top w:val="nil"/>
              <w:left w:val="single" w:sz="4" w:space="0" w:color="auto"/>
              <w:bottom w:val="single" w:sz="4" w:space="0" w:color="auto"/>
              <w:right w:val="single" w:sz="4" w:space="0" w:color="auto"/>
            </w:tcBorders>
            <w:shd w:val="clear" w:color="auto" w:fill="C6EFCE"/>
            <w:noWrap/>
          </w:tcPr>
          <w:p w14:paraId="3994393E"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29</w:t>
            </w:r>
          </w:p>
        </w:tc>
        <w:tc>
          <w:tcPr>
            <w:tcW w:w="1491" w:type="dxa"/>
            <w:tcBorders>
              <w:top w:val="nil"/>
              <w:left w:val="single" w:sz="4" w:space="0" w:color="auto"/>
              <w:bottom w:val="single" w:sz="4" w:space="0" w:color="auto"/>
              <w:right w:val="single" w:sz="4" w:space="0" w:color="auto"/>
            </w:tcBorders>
            <w:shd w:val="clear" w:color="auto" w:fill="C6EFCE"/>
            <w:noWrap/>
          </w:tcPr>
          <w:p w14:paraId="0664D16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Dezvoltarea de capacități moderne de producere a materialului forestier de reproducere </w:t>
            </w:r>
          </w:p>
        </w:tc>
        <w:tc>
          <w:tcPr>
            <w:tcW w:w="1078" w:type="dxa"/>
            <w:tcBorders>
              <w:top w:val="nil"/>
              <w:left w:val="single" w:sz="4" w:space="0" w:color="auto"/>
              <w:bottom w:val="single" w:sz="4" w:space="0" w:color="auto"/>
              <w:right w:val="single" w:sz="4" w:space="0" w:color="auto"/>
            </w:tcBorders>
            <w:shd w:val="clear" w:color="auto" w:fill="C6EFCE"/>
            <w:noWrap/>
          </w:tcPr>
          <w:p w14:paraId="64C2E42A"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680" w:type="dxa"/>
            <w:tcBorders>
              <w:top w:val="nil"/>
              <w:left w:val="single" w:sz="4" w:space="0" w:color="auto"/>
              <w:bottom w:val="single" w:sz="4" w:space="0" w:color="auto"/>
              <w:right w:val="single" w:sz="4" w:space="0" w:color="auto"/>
            </w:tcBorders>
            <w:shd w:val="clear" w:color="auto" w:fill="C6EFCE"/>
            <w:noWrap/>
          </w:tcPr>
          <w:p w14:paraId="23B8077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Pepiniere noi și renovate operaționale (înființate sau modernizate)</w:t>
            </w:r>
          </w:p>
        </w:tc>
        <w:tc>
          <w:tcPr>
            <w:tcW w:w="1680" w:type="dxa"/>
            <w:tcBorders>
              <w:top w:val="nil"/>
              <w:left w:val="single" w:sz="4" w:space="0" w:color="auto"/>
              <w:bottom w:val="single" w:sz="4" w:space="0" w:color="auto"/>
              <w:right w:val="single" w:sz="4" w:space="0" w:color="auto"/>
            </w:tcBorders>
            <w:shd w:val="clear" w:color="auto" w:fill="C6EFCE"/>
            <w:noWrap/>
          </w:tcPr>
          <w:p w14:paraId="6603ECE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3FA5018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200" w:type="dxa"/>
            <w:tcBorders>
              <w:top w:val="nil"/>
              <w:left w:val="single" w:sz="4" w:space="0" w:color="auto"/>
              <w:bottom w:val="single" w:sz="4" w:space="0" w:color="auto"/>
              <w:right w:val="single" w:sz="4" w:space="0" w:color="auto"/>
            </w:tcBorders>
            <w:shd w:val="clear" w:color="auto" w:fill="C6EFCE"/>
            <w:noWrap/>
          </w:tcPr>
          <w:p w14:paraId="3837C805"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nil"/>
              <w:left w:val="single" w:sz="4" w:space="0" w:color="auto"/>
              <w:bottom w:val="single" w:sz="4" w:space="0" w:color="auto"/>
              <w:right w:val="single" w:sz="4" w:space="0" w:color="auto"/>
            </w:tcBorders>
            <w:shd w:val="clear" w:color="auto" w:fill="C6EFCE"/>
            <w:noWrap/>
          </w:tcPr>
          <w:p w14:paraId="4F0141F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90</w:t>
            </w:r>
          </w:p>
        </w:tc>
        <w:tc>
          <w:tcPr>
            <w:tcW w:w="1320" w:type="dxa"/>
            <w:tcBorders>
              <w:top w:val="nil"/>
              <w:left w:val="single" w:sz="4" w:space="0" w:color="auto"/>
              <w:bottom w:val="single" w:sz="4" w:space="0" w:color="auto"/>
              <w:right w:val="single" w:sz="4" w:space="0" w:color="auto"/>
            </w:tcBorders>
            <w:shd w:val="clear" w:color="auto" w:fill="C6EFCE"/>
            <w:noWrap/>
          </w:tcPr>
          <w:p w14:paraId="7E4C1B2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720" w:type="dxa"/>
            <w:tcBorders>
              <w:top w:val="nil"/>
              <w:left w:val="single" w:sz="4" w:space="0" w:color="auto"/>
              <w:bottom w:val="single" w:sz="4" w:space="0" w:color="auto"/>
              <w:right w:val="single" w:sz="4" w:space="0" w:color="auto"/>
            </w:tcBorders>
            <w:shd w:val="clear" w:color="auto" w:fill="C6EFCE"/>
            <w:noWrap/>
          </w:tcPr>
          <w:p w14:paraId="48BBC95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380" w:type="dxa"/>
            <w:tcBorders>
              <w:top w:val="nil"/>
              <w:left w:val="single" w:sz="4" w:space="0" w:color="auto"/>
              <w:bottom w:val="single" w:sz="4" w:space="0" w:color="auto"/>
              <w:right w:val="single" w:sz="4" w:space="0" w:color="auto"/>
            </w:tcBorders>
            <w:shd w:val="clear" w:color="auto" w:fill="C6EFCE"/>
            <w:noWrap/>
          </w:tcPr>
          <w:p w14:paraId="672804C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Pepiniere noi și renovate operaționale (cel puțin 90), în conformitate cu cerințele legale stabilite în Strategia forestieră națională. Producția de material de reproducere se va concentra pe speciile și ecotipurile de arbori care sunt adecvate pentru viitoarele condiții climatice preconizate din România.</w:t>
            </w:r>
          </w:p>
        </w:tc>
      </w:tr>
    </w:tbl>
    <w:p w14:paraId="45CC930D" w14:textId="77777777" w:rsidR="00647F09" w:rsidRPr="008F1E27" w:rsidRDefault="00647F09">
      <w:pPr>
        <w:spacing w:before="120" w:after="120" w:line="240" w:lineRule="auto"/>
        <w:ind w:left="709"/>
        <w:jc w:val="both"/>
        <w:rPr>
          <w:rFonts w:ascii="Times New Roman" w:hAnsi="Times New Roman" w:cs="Times New Roman"/>
          <w:noProof/>
          <w:sz w:val="24"/>
          <w:szCs w:val="24"/>
        </w:rPr>
      </w:pPr>
    </w:p>
    <w:p w14:paraId="54324279" w14:textId="77777777" w:rsidR="00647F09" w:rsidRPr="008F1E27" w:rsidRDefault="00647F09">
      <w:pPr>
        <w:spacing w:before="120" w:after="120" w:line="240" w:lineRule="auto"/>
        <w:ind w:left="709"/>
        <w:jc w:val="both"/>
        <w:rPr>
          <w:rFonts w:ascii="Times New Roman" w:hAnsi="Times New Roman" w:cs="Times New Roman"/>
          <w:noProof/>
          <w:sz w:val="24"/>
          <w:szCs w:val="24"/>
        </w:rPr>
        <w:sectPr w:rsidR="00647F09" w:rsidRPr="008F1E27">
          <w:headerReference w:type="even" r:id="rId42"/>
          <w:headerReference w:type="default" r:id="rId43"/>
          <w:footerReference w:type="even" r:id="rId44"/>
          <w:footerReference w:type="default" r:id="rId45"/>
          <w:headerReference w:type="first" r:id="rId46"/>
          <w:footerReference w:type="first" r:id="rId47"/>
          <w:pgSz w:w="16839" w:h="11907" w:orient="landscape"/>
          <w:pgMar w:top="720" w:right="720" w:bottom="720" w:left="720" w:header="709" w:footer="709" w:gutter="0"/>
          <w:cols w:space="720"/>
          <w:docGrid w:linePitch="360"/>
        </w:sectPr>
      </w:pPr>
    </w:p>
    <w:p w14:paraId="272CF340" w14:textId="77777777" w:rsidR="00647F09" w:rsidRPr="000A27B3" w:rsidRDefault="00647F09">
      <w:pPr>
        <w:pStyle w:val="Heading2"/>
        <w:numPr>
          <w:ilvl w:val="0"/>
          <w:numId w:val="0"/>
        </w:numPr>
        <w:ind w:left="850"/>
        <w:rPr>
          <w:b w:val="0"/>
          <w:bCs w:val="0"/>
          <w:noProof/>
          <w:szCs w:val="24"/>
          <w:u w:val="single"/>
        </w:rPr>
      </w:pPr>
      <w:r>
        <w:rPr>
          <w:noProof/>
        </w:rPr>
        <w:t xml:space="preserve">B.3. </w:t>
      </w:r>
      <w:r>
        <w:rPr>
          <w:noProof/>
        </w:rPr>
        <w:tab/>
        <w:t xml:space="preserve">Descrierea reformelor și a investițiilor pentru care se prevede acordarea împrumutului </w:t>
      </w:r>
    </w:p>
    <w:p w14:paraId="027CA92F" w14:textId="77777777" w:rsidR="00647F09" w:rsidRPr="000A27B3" w:rsidRDefault="00647F09">
      <w:pPr>
        <w:pStyle w:val="Standard"/>
        <w:spacing w:before="240"/>
        <w:jc w:val="both"/>
        <w:rPr>
          <w:rFonts w:ascii="Times New Roman" w:eastAsiaTheme="majorEastAsia" w:hAnsi="Times New Roman" w:cs="Times New Roman"/>
          <w:noProof/>
          <w:u w:val="single"/>
        </w:rPr>
      </w:pPr>
      <w:r>
        <w:rPr>
          <w:rFonts w:ascii="Times New Roman" w:hAnsi="Times New Roman"/>
          <w:noProof/>
          <w:u w:val="single"/>
        </w:rPr>
        <w:t>Reforma 2. Reforma sistemului de management al ariilor naturale protejate în vederea implementării coerente și eficace a Strategiei Europene privind biodiversitatea</w:t>
      </w:r>
    </w:p>
    <w:p w14:paraId="037315C4"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operaționaliza cadrul actual de desemnare a ariilor naturale protejate, în special prin instituirea unui mecanism de corelare a legislației specifice diferitelor sectoare de activitate cu impact asupra biodiversității, respectiv educație, agricultură, silvicultură, cinegetică, turism, organizarea teritoriului, transporturi și energie. </w:t>
      </w:r>
    </w:p>
    <w:p w14:paraId="7116C1B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Acest lucru se va realiza prin adoptarea și intrarea în vigoare a două acte normative: </w:t>
      </w:r>
    </w:p>
    <w:p w14:paraId="11118AB2"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(1) actul normativ pentru înființarea comisiei interinstituționale de analiză a cadrului legal aplicabil sectoarelor cu impact asupra biodiversității care va elabora și promova propuneri de modificare sau completare a cadrului legal în funcție de informațiile actualizate despre distribuția și dinamica stării de conservare a speciilor și habitatelor (până la 30 iunie 2022);</w:t>
      </w:r>
    </w:p>
    <w:p w14:paraId="69028C7A"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(2) actul normativ de modificare a cadrului legal aplicabil sectoarelor cu impact asupra biodiversității, cu scopul de a se asigura că actualul cadru juridic care reglementează diversele sectoare relevante nu afectează/restricționează punerea în aplicare a măsurilor de conservare din planurile de management pentru ariile naturale protejate (până la 30 iunie 2025). Actul normativ se bazează pe propunerile comisiei instituite în conformitate cu punctul 1.</w:t>
      </w:r>
    </w:p>
    <w:p w14:paraId="21D41EE8"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se va finaliza până la 30 iunie 2025.</w:t>
      </w:r>
    </w:p>
    <w:p w14:paraId="61B2640D" w14:textId="77777777" w:rsidR="00647F09" w:rsidRPr="009F1DC7" w:rsidRDefault="00647F09">
      <w:pPr>
        <w:spacing w:after="0" w:line="240" w:lineRule="auto"/>
        <w:jc w:val="both"/>
        <w:rPr>
          <w:rFonts w:ascii="Times New Roman" w:hAnsi="Times New Roman" w:cs="Times New Roman"/>
          <w:noProof/>
          <w:sz w:val="24"/>
          <w:szCs w:val="24"/>
          <w:lang w:val="fr-FR"/>
        </w:rPr>
      </w:pPr>
    </w:p>
    <w:p w14:paraId="13B5224A" w14:textId="77777777" w:rsidR="00647F09" w:rsidRPr="000A27B3" w:rsidRDefault="00647F09">
      <w:pPr>
        <w:pStyle w:val="Standard"/>
        <w:jc w:val="both"/>
        <w:rPr>
          <w:rFonts w:ascii="Times New Roman" w:eastAsiaTheme="majorEastAsia" w:hAnsi="Times New Roman" w:cs="Times New Roman"/>
          <w:noProof/>
          <w:u w:val="single"/>
        </w:rPr>
      </w:pPr>
      <w:r>
        <w:rPr>
          <w:noProof/>
          <w:u w:val="single"/>
        </w:rPr>
        <w:t>Investiția 3. Actualizarea planurilor de management aprobate și identificarea zonelor potențiale de protecție strictă în habitate naturale terestre și marine în vederea punerii în aplicare a Strategiei UE privind biodiversitatea pentru 2030</w:t>
      </w:r>
    </w:p>
    <w:p w14:paraId="26F12303" w14:textId="77777777" w:rsidR="00647F09" w:rsidRPr="000A27B3" w:rsidRDefault="00647F09">
      <w:pPr>
        <w:spacing w:before="120" w:after="120" w:line="240" w:lineRule="auto"/>
        <w:jc w:val="both"/>
        <w:rPr>
          <w:rFonts w:ascii="Times New Roman" w:hAnsi="Times New Roman" w:cs="Times New Roman"/>
          <w:noProof/>
          <w:sz w:val="24"/>
        </w:rPr>
      </w:pPr>
      <w:r>
        <w:rPr>
          <w:rFonts w:ascii="Times New Roman" w:hAnsi="Times New Roman"/>
          <w:noProof/>
          <w:sz w:val="24"/>
        </w:rPr>
        <w:t>Investiția constă în două subinvestiții.</w:t>
      </w:r>
    </w:p>
    <w:p w14:paraId="0BD8F16D" w14:textId="67A3EE05"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primei subinvestiții (Investiția 3.1) este de a actualiza planurile de management aprobate. Obiectivul celei de a doua subinvestiții (Investiția 3.2) este de a identifica zonele potențiale de protecție strictă în conformitate cu Strategia UE privind biodiversitatea pentru 2030. </w:t>
      </w:r>
    </w:p>
    <w:p w14:paraId="1CB29314" w14:textId="77777777" w:rsidR="00647F09" w:rsidRPr="000A27B3" w:rsidRDefault="00647F0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În ceea ce privește actualizarea planurilor de management existente, ca urmare a investiției, cel puțin 250 de planuri de management pentru ariile naturale protejate vor fi revizuite și actualizate în conformitate cu legislația UE până la 30 iunie 2026. </w:t>
      </w:r>
    </w:p>
    <w:p w14:paraId="09C12DC0"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subinvestiții se va finaliza până la 30 iunie 2026. </w:t>
      </w:r>
    </w:p>
    <w:p w14:paraId="5304DD2A" w14:textId="03C7EBFD"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ceea ce privește zonele de protecție strictă, două acte normative vor fi adoptate și vor intra în vigoare: (1) actul normativ pentru desemnarea zonelor de protecție strictă identificate în zonele protejate Natura 2000 cu planuri de management existente sau care includ păduri primare și seculare (până la 31 decembrie 2023) și (2) actul normativ pentru desemnarea zonelor de protecție strictă identificate în zonele protejate Natura 2000 fără planuri de management existente și în alte zone (până la 31 decembrie 2025).</w:t>
      </w:r>
      <w:r w:rsidR="004C4C72">
        <w:rPr>
          <w:rFonts w:ascii="Times New Roman" w:hAnsi="Times New Roman"/>
          <w:noProof/>
          <w:sz w:val="24"/>
        </w:rPr>
        <w:t xml:space="preserve"> </w:t>
      </w:r>
    </w:p>
    <w:p w14:paraId="7CA579DB"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subinvestiții se va finaliza până la 31 decembrie 2025. </w:t>
      </w:r>
    </w:p>
    <w:p w14:paraId="7340D272" w14:textId="77777777" w:rsidR="00647F09" w:rsidRPr="000A27B3" w:rsidRDefault="00647F09">
      <w:pPr>
        <w:pStyle w:val="Standard"/>
        <w:spacing w:before="240"/>
        <w:jc w:val="both"/>
        <w:rPr>
          <w:rFonts w:ascii="Times New Roman" w:eastAsiaTheme="majorEastAsia" w:hAnsi="Times New Roman" w:cs="Times New Roman"/>
          <w:noProof/>
          <w:u w:val="single"/>
        </w:rPr>
      </w:pPr>
      <w:r>
        <w:rPr>
          <w:noProof/>
          <w:u w:val="single"/>
        </w:rPr>
        <w:t xml:space="preserve">Investiția 4. Investiții integrate de reconstrucție ecologică a habitatelor și conservarea speciilor aferente pajiștilor, zonelor acvatice și dependente de apă </w:t>
      </w:r>
    </w:p>
    <w:p w14:paraId="18D6646A"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investiție constă în cinci subinvestiții. </w:t>
      </w:r>
    </w:p>
    <w:p w14:paraId="73D6F9DE"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primei subinvestiții (Investiția 4.1) este de a restabili conectivitatea cursurilor de apă prin eliminarea obstacolelor din cursurile de apă, contribuind astfel la refacerea conectivității laterale a habitatelor și speciilor acvatice și dependente de apă, în conformitate cu planurile de management aplicabile ariilor naturale protejate. Ca urmare a acestei subinvestiții, conectivitatea a 1 700 ha de habitate ripariene va fi refăcută. </w:t>
      </w:r>
    </w:p>
    <w:p w14:paraId="193C9ECE"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subinvestiții se va finaliza până la 30 iunie 2026. </w:t>
      </w:r>
    </w:p>
    <w:p w14:paraId="45A500B4"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 doua subinvestiție (Investiția 4.2) vizează reconstrucția habitatelor de pajiști în ariile naturale protejate. Ca urmare a acestei subinvestiții, cel puțin 2 800 ha de habitate de pajiști vor fi refăcute din punct de vedere ecologic. </w:t>
      </w:r>
    </w:p>
    <w:p w14:paraId="6618D83F"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subinvestiții se va finaliza până la 30 iunie 2026. </w:t>
      </w:r>
    </w:p>
    <w:p w14:paraId="622CE770"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A treia subinvestiție (Investiția 4.3) vizează reducerea eutrofizării și menținerea diversității biologice în lacurile din Delta Dunării. Printre acțiunile care urmează să fie acoperite în cadrul acestei subinvestiții se numără: regularizarea nivelului apei în două lacuri, proiectarea și realizarea profilului optim al limitelor lacurilor, decolmatare, consolidarea malurilor, lucrări de întreținere, tăieri pentru regenerare a vegetației și arborilor din perimetru, îndepărtarea masei lemnoase și a plaurilor ce obturează circulația apei și induc sedimentare, monitorizarea speciilor și a habitatelor din areal și lucrări de decolmatare de mică amploare a canalelor adiacente pentru restabilirea circulației optime a apei. Ca urmare a acestei subinvestiții, cel puțin 100 ha de suprafețe de lacuri vor fi beneficiat de lucrări de îndepărtare a plantelor acvatice, pe baza studiului de fezabilitate actualizat (iunie 2021).</w:t>
      </w:r>
    </w:p>
    <w:p w14:paraId="6FB7ABDF"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investiții se va finaliza până la 30 iunie 2026. </w:t>
      </w:r>
    </w:p>
    <w:p w14:paraId="74497156" w14:textId="5940F242"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celei de a patra subinvestiții (Investiția 4.4) este de a dezvolta un sistem de monitorizare a sturionilor sălbatici de-a lungul Dunării de Jos (1 500 km), coroborat cu IA, în vederea combaterii braconajului. Ca urmare a acestei subinvestiții, o rețea de monitorizare, comunicare și transmitere de date privind sturionii sălbatici va fi operaționalizată. Se preconizează că această subinvestiție nu prejudiciază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vehiculele care urmează să fie achiziționate trebuie să aibă emisii specifice de CO2, astfel cum sunt definite la articolul 3 alineatul (1) litera (h) din Regulamentul (UE) 2019/631, mai mici de 50gCO2/km. Navele de măsurare care urmează să fie achiziționate trebuie să corespundă celor mai bune tehnologii disponibile din punctul de vedere al respectării mediului. </w:t>
      </w:r>
    </w:p>
    <w:p w14:paraId="408DDCAA" w14:textId="2B9AA45F"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subinvestiții se va finaliza până la 30 septembrie 2025. </w:t>
      </w:r>
    </w:p>
    <w:p w14:paraId="1D57394E" w14:textId="77777777" w:rsidR="00647F09" w:rsidRPr="000A27B3" w:rsidRDefault="00647F0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În sfârșit, obiectivul celei de a cincea subinvestiții (Investiția 4.5) este de a moderniza infrastructura publică de acces și vizitare a Deltei Dunării pentru reducerea presiunii turismului asupra habitatelor și speciilor. Ca urmare a acestei subinvestiții, vor fi construite 10 centre de vizitare, cu scopul de a reduce presiunea turismului asupra habitatelor prin difuzarea și monitorizarea fluxurilor de turiști către o rețea formată din 10 centre de vizitare cărora le sunt asociate 40 de puncte de observație corespunzător amenajate și dotate pentru necesitățile tuturor categoriilor de vizitatori. La construcția centrelor de vizitare vor fi utilizate tehnologii și materiale care respectă mediul, abordări bazate pe ecosisteme și materiale în stil tradițional arhitecturii specifice comunităților din Delta Dunării. </w:t>
      </w:r>
    </w:p>
    <w:p w14:paraId="363E2D1E"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acestei subinvestiții se va finaliza până la 30 iunie 2026. </w:t>
      </w:r>
    </w:p>
    <w:p w14:paraId="0A55B231" w14:textId="77777777" w:rsidR="00647F09" w:rsidRPr="000A27B3" w:rsidRDefault="00647F09">
      <w:pPr>
        <w:pStyle w:val="Standard"/>
        <w:spacing w:before="240"/>
        <w:jc w:val="both"/>
        <w:rPr>
          <w:rFonts w:ascii="Times New Roman" w:eastAsiaTheme="majorEastAsia" w:hAnsi="Times New Roman" w:cs="Times New Roman"/>
          <w:noProof/>
          <w:u w:val="single"/>
        </w:rPr>
      </w:pPr>
      <w:r>
        <w:rPr>
          <w:noProof/>
          <w:u w:val="single"/>
        </w:rPr>
        <w:t xml:space="preserve">Investiția 5. Sisteme integrate de reducere a riscurilor generate de viituri torențiale în bazinete forestiere expuse unor astfel de fenomene </w:t>
      </w:r>
    </w:p>
    <w:p w14:paraId="14A1B08F"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reduce riscul de inundații pentru a proteja populația, infrastructura și obiectivele socioeconomice din zonele de risc, precum și de a proteja mediul și biodiversitatea prin măsuri de mediu relevante, în special cele legate de asigurarea migrației peștilor și de asigurarea debitului ecologic.</w:t>
      </w:r>
    </w:p>
    <w:p w14:paraId="19FF1E9D"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se va realiza în două etape:</w:t>
      </w:r>
    </w:p>
    <w:p w14:paraId="6B463D81" w14:textId="77777777" w:rsidR="00647F09" w:rsidRPr="000A27B3" w:rsidRDefault="00647F09">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(1) adoptarea conceptului de proiect pentru lucrările de modernizare a protecției împotriva inundațiilor, care va include: (i) refacerea a cel puțin 6 structuri deteriorate de reținere a aluviunilor pentru a instala măsuri longitudinale (scări de pești, după caz, și debit ecologic); (ii) construirea a cel puțin 30 de construcții aluvionare noi, inclusiv scări de pești și debit ecologic, cu o înălțime maximă de 5 m; (iii) refacerea a cel puțin 4 ha de teren prin reîmpădurire, plivire sau construire de garduri de vegetație și (iv) restaurarea a cel puțin 30 km de albii torențiale. Implementarea acestei etape se va finaliza până la 31 martie 2023.</w:t>
      </w:r>
    </w:p>
    <w:p w14:paraId="00B28137" w14:textId="77777777" w:rsidR="00647F09" w:rsidRPr="000A27B3" w:rsidRDefault="00647F09">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 xml:space="preserve">(2) finalizarea modernizării lucrărilor de protecție împotriva inundațiilor pe baza conceptului de proiect adoptat conform punctului 1 de mai sus. Implementarea acestei etape se va finaliza până la 30 iunie 2026. </w:t>
      </w:r>
    </w:p>
    <w:p w14:paraId="5B13DE7D"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Orice măsură identificată în cadrul evaluării în temeiul Directivei 2000/60/CE (Directiva-cadru privind apa) ca fiind necesară pentru a asigura conformitatea cu Orientările tehnice privind aplicarea principiului de „a nu prejudicia în mod semnificativ” (2021/C58/01) va fi integrată în conceptul de proiect și va fi respectată cu strictețe în toate etapele de construcție, modernizare, exploatare și dezafectare. Se va evita deteriorarea stării ecologice a corpurilor de apă afectate și măsura nu va împiedica îmbunătățirea stării ecologice sau a potențialului ecologic al corpurilor de apă afectate.</w:t>
      </w:r>
    </w:p>
    <w:p w14:paraId="244B548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iunie 2026. </w:t>
      </w:r>
    </w:p>
    <w:p w14:paraId="78F597CD" w14:textId="77777777" w:rsidR="00647F09" w:rsidRPr="009F1DC7" w:rsidRDefault="00647F09">
      <w:pPr>
        <w:spacing w:before="120" w:after="120" w:line="240" w:lineRule="auto"/>
        <w:jc w:val="both"/>
        <w:rPr>
          <w:rFonts w:ascii="Times New Roman" w:hAnsi="Times New Roman" w:cs="Times New Roman"/>
          <w:noProof/>
          <w:sz w:val="24"/>
          <w:szCs w:val="24"/>
          <w:lang w:val="fr-FR"/>
        </w:rPr>
        <w:sectPr w:rsidR="00647F09" w:rsidRPr="009F1DC7">
          <w:headerReference w:type="even" r:id="rId48"/>
          <w:headerReference w:type="default" r:id="rId49"/>
          <w:footerReference w:type="even" r:id="rId50"/>
          <w:footerReference w:type="default" r:id="rId51"/>
          <w:headerReference w:type="first" r:id="rId52"/>
          <w:footerReference w:type="first" r:id="rId53"/>
          <w:pgSz w:w="11907" w:h="16839"/>
          <w:pgMar w:top="1134" w:right="1417" w:bottom="1134" w:left="1417" w:header="709" w:footer="709" w:gutter="0"/>
          <w:cols w:space="720"/>
          <w:docGrid w:linePitch="360"/>
        </w:sectPr>
      </w:pPr>
    </w:p>
    <w:p w14:paraId="00CD837F" w14:textId="77777777" w:rsidR="00647F09" w:rsidRPr="000A27B3" w:rsidRDefault="00647F0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B.4. </w:t>
      </w:r>
      <w:r>
        <w:rPr>
          <w:noProof/>
        </w:rPr>
        <w:tab/>
      </w:r>
      <w:r>
        <w:rPr>
          <w:rFonts w:ascii="Times New Roman" w:hAnsi="Times New Roman"/>
          <w:b/>
          <w:noProof/>
          <w:sz w:val="24"/>
        </w:rPr>
        <w:t>Jaloane, ținte, indicatori și calendarul de monitorizare și implementare aplicabile împrumutului</w:t>
      </w:r>
    </w:p>
    <w:tbl>
      <w:tblPr>
        <w:tblW w:w="15502" w:type="dxa"/>
        <w:jc w:val="center"/>
        <w:tblLayout w:type="fixed"/>
        <w:tblLook w:val="04A0" w:firstRow="1" w:lastRow="0" w:firstColumn="1" w:lastColumn="0" w:noHBand="0" w:noVBand="1"/>
      </w:tblPr>
      <w:tblGrid>
        <w:gridCol w:w="809"/>
        <w:gridCol w:w="2066"/>
        <w:gridCol w:w="1050"/>
        <w:gridCol w:w="1632"/>
        <w:gridCol w:w="1757"/>
        <w:gridCol w:w="1087"/>
        <w:gridCol w:w="1194"/>
        <w:gridCol w:w="1200"/>
        <w:gridCol w:w="960"/>
        <w:gridCol w:w="726"/>
        <w:gridCol w:w="3021"/>
      </w:tblGrid>
      <w:tr w:rsidR="000A27B3" w:rsidRPr="000A27B3" w14:paraId="3199868A" w14:textId="77777777" w:rsidTr="008F1E27">
        <w:trPr>
          <w:trHeight w:val="939"/>
          <w:tblHeader/>
          <w:jc w:val="center"/>
        </w:trPr>
        <w:tc>
          <w:tcPr>
            <w:tcW w:w="8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73A4187"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2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F0C032"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0A0F89" w14:textId="250051C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8F1E27">
              <w:rPr>
                <w:rFonts w:ascii="Times New Roman" w:hAnsi="Times New Roman"/>
                <w:b/>
                <w:noProof/>
                <w:sz w:val="24"/>
              </w:rPr>
              <w:br/>
            </w:r>
            <w:r>
              <w:rPr>
                <w:rFonts w:ascii="Times New Roman" w:hAnsi="Times New Roman"/>
                <w:b/>
                <w:noProof/>
                <w:sz w:val="24"/>
              </w:rPr>
              <w:t>țintă</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02DEA5"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246517" w14:textId="704BE2C1"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48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446F4A7" w14:textId="67A49838"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686"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1248794" w14:textId="104BA738"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8F1E27">
              <w:rPr>
                <w:rFonts w:ascii="Times New Roman" w:hAnsi="Times New Roman"/>
                <w:b/>
                <w:noProof/>
                <w:sz w:val="24"/>
              </w:rPr>
              <w:br/>
            </w:r>
            <w:r>
              <w:rPr>
                <w:rFonts w:ascii="Times New Roman" w:hAnsi="Times New Roman"/>
                <w:b/>
                <w:noProof/>
                <w:sz w:val="24"/>
              </w:rPr>
              <w:t xml:space="preserve">țintelor </w:t>
            </w:r>
          </w:p>
        </w:tc>
        <w:tc>
          <w:tcPr>
            <w:tcW w:w="302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721B99"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0D3F1545" w14:textId="77777777" w:rsidTr="008F1E27">
        <w:trPr>
          <w:trHeight w:val="1027"/>
          <w:tblHeader/>
          <w:jc w:val="center"/>
        </w:trPr>
        <w:tc>
          <w:tcPr>
            <w:tcW w:w="809" w:type="dxa"/>
            <w:vMerge/>
            <w:tcBorders>
              <w:top w:val="single" w:sz="4" w:space="0" w:color="auto"/>
              <w:left w:val="single" w:sz="4" w:space="0" w:color="auto"/>
              <w:bottom w:val="single" w:sz="4" w:space="0" w:color="auto"/>
              <w:right w:val="single" w:sz="4" w:space="0" w:color="auto"/>
            </w:tcBorders>
            <w:hideMark/>
          </w:tcPr>
          <w:p w14:paraId="69CB1A52" w14:textId="77777777" w:rsidR="00647F09" w:rsidRPr="009F1DC7" w:rsidRDefault="00647F09">
            <w:pPr>
              <w:spacing w:after="0" w:line="240" w:lineRule="auto"/>
              <w:jc w:val="center"/>
              <w:rPr>
                <w:rFonts w:ascii="Times New Roman" w:eastAsia="Times New Roman" w:hAnsi="Times New Roman" w:cs="Times New Roman"/>
                <w:b/>
                <w:bCs/>
                <w:noProof/>
                <w:sz w:val="24"/>
                <w:szCs w:val="24"/>
                <w:lang w:eastAsia="en-GB"/>
              </w:rPr>
            </w:pPr>
          </w:p>
        </w:tc>
        <w:tc>
          <w:tcPr>
            <w:tcW w:w="2066" w:type="dxa"/>
            <w:vMerge/>
            <w:tcBorders>
              <w:top w:val="single" w:sz="4" w:space="0" w:color="auto"/>
              <w:left w:val="single" w:sz="4" w:space="0" w:color="auto"/>
              <w:bottom w:val="single" w:sz="4" w:space="0" w:color="auto"/>
              <w:right w:val="single" w:sz="4" w:space="0" w:color="auto"/>
            </w:tcBorders>
            <w:hideMark/>
          </w:tcPr>
          <w:p w14:paraId="2FBDB2DA"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050" w:type="dxa"/>
            <w:vMerge/>
            <w:tcBorders>
              <w:top w:val="single" w:sz="4" w:space="0" w:color="auto"/>
              <w:left w:val="single" w:sz="4" w:space="0" w:color="auto"/>
              <w:bottom w:val="single" w:sz="4" w:space="0" w:color="auto"/>
              <w:right w:val="single" w:sz="4" w:space="0" w:color="auto"/>
            </w:tcBorders>
            <w:hideMark/>
          </w:tcPr>
          <w:p w14:paraId="1B8320BA" w14:textId="77777777" w:rsidR="00647F09" w:rsidRPr="009F1DC7" w:rsidRDefault="00647F09">
            <w:pPr>
              <w:spacing w:after="0" w:line="240" w:lineRule="auto"/>
              <w:jc w:val="center"/>
              <w:rPr>
                <w:rFonts w:ascii="Times New Roman" w:eastAsia="Times New Roman" w:hAnsi="Times New Roman" w:cs="Times New Roman"/>
                <w:b/>
                <w:bCs/>
                <w:noProof/>
                <w:sz w:val="24"/>
                <w:szCs w:val="24"/>
                <w:lang w:eastAsia="en-GB"/>
              </w:rPr>
            </w:pPr>
          </w:p>
        </w:tc>
        <w:tc>
          <w:tcPr>
            <w:tcW w:w="1632" w:type="dxa"/>
            <w:vMerge/>
            <w:tcBorders>
              <w:top w:val="single" w:sz="4" w:space="0" w:color="auto"/>
              <w:left w:val="single" w:sz="4" w:space="0" w:color="auto"/>
              <w:bottom w:val="single" w:sz="4" w:space="0" w:color="auto"/>
              <w:right w:val="single" w:sz="4" w:space="0" w:color="auto"/>
            </w:tcBorders>
            <w:hideMark/>
          </w:tcPr>
          <w:p w14:paraId="108B36A5"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757" w:type="dxa"/>
            <w:vMerge/>
            <w:tcBorders>
              <w:top w:val="single" w:sz="4" w:space="0" w:color="auto"/>
              <w:left w:val="single" w:sz="4" w:space="0" w:color="auto"/>
              <w:bottom w:val="single" w:sz="4" w:space="0" w:color="auto"/>
              <w:right w:val="single" w:sz="4" w:space="0" w:color="auto"/>
            </w:tcBorders>
            <w:hideMark/>
          </w:tcPr>
          <w:p w14:paraId="47BC1ED3"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08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F7580D"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19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9F9A492"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Valoare de referință </w:t>
            </w:r>
          </w:p>
        </w:tc>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92B3134"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90B92A0"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C04CBD6"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021" w:type="dxa"/>
            <w:vMerge/>
            <w:tcBorders>
              <w:top w:val="single" w:sz="4" w:space="0" w:color="auto"/>
              <w:bottom w:val="single" w:sz="4" w:space="0" w:color="auto"/>
              <w:right w:val="single" w:sz="4" w:space="0" w:color="auto"/>
            </w:tcBorders>
            <w:hideMark/>
          </w:tcPr>
          <w:p w14:paraId="2F0C7DB3" w14:textId="77777777" w:rsidR="00647F09" w:rsidRPr="000A27B3" w:rsidRDefault="00647F09">
            <w:pPr>
              <w:spacing w:after="0" w:line="240" w:lineRule="auto"/>
              <w:jc w:val="center"/>
              <w:rPr>
                <w:rFonts w:ascii="Times New Roman" w:eastAsia="Times New Roman" w:hAnsi="Times New Roman" w:cs="Times New Roman"/>
                <w:b/>
                <w:bCs/>
                <w:noProof/>
                <w:sz w:val="24"/>
                <w:szCs w:val="24"/>
                <w:lang w:val="en-GB" w:eastAsia="en-GB"/>
              </w:rPr>
            </w:pPr>
          </w:p>
        </w:tc>
      </w:tr>
      <w:tr w:rsidR="000A27B3" w:rsidRPr="000A27B3" w14:paraId="47A191A9" w14:textId="77777777" w:rsidTr="008F1E27">
        <w:trPr>
          <w:trHeight w:val="313"/>
          <w:jc w:val="center"/>
        </w:trPr>
        <w:tc>
          <w:tcPr>
            <w:tcW w:w="809" w:type="dxa"/>
            <w:tcBorders>
              <w:top w:val="single" w:sz="4" w:space="0" w:color="auto"/>
              <w:left w:val="single" w:sz="4" w:space="0" w:color="auto"/>
              <w:bottom w:val="single" w:sz="4" w:space="0" w:color="auto"/>
              <w:right w:val="single" w:sz="4" w:space="0" w:color="auto"/>
            </w:tcBorders>
            <w:shd w:val="clear" w:color="auto" w:fill="C6EFCE"/>
            <w:noWrap/>
          </w:tcPr>
          <w:p w14:paraId="481FB85B"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30</w:t>
            </w:r>
          </w:p>
        </w:tc>
        <w:tc>
          <w:tcPr>
            <w:tcW w:w="2066" w:type="dxa"/>
            <w:tcBorders>
              <w:top w:val="single" w:sz="4" w:space="0" w:color="auto"/>
              <w:left w:val="nil"/>
              <w:bottom w:val="single" w:sz="4" w:space="0" w:color="auto"/>
              <w:right w:val="single" w:sz="4" w:space="0" w:color="auto"/>
            </w:tcBorders>
            <w:shd w:val="clear" w:color="auto" w:fill="C6EFCE"/>
            <w:noWrap/>
          </w:tcPr>
          <w:p w14:paraId="03F04F0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2. Reforma sistemului de management al ariilor naturale protejate în vederea implementării coerente și eficace a Strategiei Europene privind biodiversitate</w:t>
            </w:r>
          </w:p>
        </w:tc>
        <w:tc>
          <w:tcPr>
            <w:tcW w:w="1050" w:type="dxa"/>
            <w:tcBorders>
              <w:top w:val="single" w:sz="4" w:space="0" w:color="auto"/>
              <w:left w:val="nil"/>
              <w:bottom w:val="single" w:sz="4" w:space="0" w:color="auto"/>
              <w:right w:val="single" w:sz="4" w:space="0" w:color="auto"/>
            </w:tcBorders>
            <w:shd w:val="clear" w:color="auto" w:fill="C6EFCE"/>
            <w:noWrap/>
          </w:tcPr>
          <w:p w14:paraId="35159751"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632" w:type="dxa"/>
            <w:tcBorders>
              <w:top w:val="single" w:sz="4" w:space="0" w:color="auto"/>
              <w:left w:val="nil"/>
              <w:bottom w:val="single" w:sz="4" w:space="0" w:color="auto"/>
              <w:right w:val="single" w:sz="4" w:space="0" w:color="auto"/>
            </w:tcBorders>
            <w:shd w:val="clear" w:color="auto" w:fill="C6EFCE"/>
            <w:noWrap/>
          </w:tcPr>
          <w:p w14:paraId="185ABFF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actului normativ pentru înființarea comisiei interinstituționale de analiză a cadrului legal aplicabil sectoarelor cu impact asupra biodiversității </w:t>
            </w:r>
          </w:p>
        </w:tc>
        <w:tc>
          <w:tcPr>
            <w:tcW w:w="1757" w:type="dxa"/>
            <w:tcBorders>
              <w:top w:val="single" w:sz="4" w:space="0" w:color="auto"/>
              <w:left w:val="nil"/>
              <w:bottom w:val="single" w:sz="4" w:space="0" w:color="auto"/>
              <w:right w:val="single" w:sz="4" w:space="0" w:color="auto"/>
            </w:tcBorders>
            <w:shd w:val="clear" w:color="auto" w:fill="C6EFCE"/>
            <w:noWrap/>
          </w:tcPr>
          <w:p w14:paraId="6C84244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normativ</w:t>
            </w:r>
          </w:p>
        </w:tc>
        <w:tc>
          <w:tcPr>
            <w:tcW w:w="1087" w:type="dxa"/>
            <w:tcBorders>
              <w:top w:val="single" w:sz="4" w:space="0" w:color="auto"/>
              <w:left w:val="nil"/>
              <w:bottom w:val="single" w:sz="4" w:space="0" w:color="auto"/>
              <w:right w:val="single" w:sz="4" w:space="0" w:color="auto"/>
            </w:tcBorders>
            <w:shd w:val="clear" w:color="auto" w:fill="C6EFCE"/>
            <w:noWrap/>
          </w:tcPr>
          <w:p w14:paraId="247089B1"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194" w:type="dxa"/>
            <w:tcBorders>
              <w:top w:val="single" w:sz="4" w:space="0" w:color="auto"/>
              <w:left w:val="nil"/>
              <w:bottom w:val="single" w:sz="4" w:space="0" w:color="auto"/>
              <w:right w:val="single" w:sz="4" w:space="0" w:color="auto"/>
            </w:tcBorders>
            <w:shd w:val="clear" w:color="auto" w:fill="C6EFCE"/>
            <w:noWrap/>
          </w:tcPr>
          <w:p w14:paraId="0C5F134F"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36748688"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2F59D82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6" w:type="dxa"/>
            <w:tcBorders>
              <w:top w:val="single" w:sz="4" w:space="0" w:color="auto"/>
              <w:left w:val="nil"/>
              <w:bottom w:val="single" w:sz="4" w:space="0" w:color="auto"/>
              <w:right w:val="single" w:sz="4" w:space="0" w:color="auto"/>
            </w:tcBorders>
            <w:shd w:val="clear" w:color="auto" w:fill="C6EFCE"/>
            <w:noWrap/>
          </w:tcPr>
          <w:p w14:paraId="24C6850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2022 </w:t>
            </w:r>
          </w:p>
        </w:tc>
        <w:tc>
          <w:tcPr>
            <w:tcW w:w="3021" w:type="dxa"/>
            <w:tcBorders>
              <w:top w:val="single" w:sz="4" w:space="0" w:color="auto"/>
              <w:left w:val="nil"/>
              <w:bottom w:val="single" w:sz="4" w:space="0" w:color="auto"/>
              <w:right w:val="single" w:sz="4" w:space="0" w:color="auto"/>
            </w:tcBorders>
            <w:shd w:val="clear" w:color="auto" w:fill="C6EFCE"/>
            <w:noWrap/>
          </w:tcPr>
          <w:p w14:paraId="6EEAE34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actului normativ pentru înființarea comisiei interinstituționale de analiză a cadrului legal aplicabil sectoarelor cu impact asupra biodiversității, respectiv educație, agricultură, silvicultură, cinegetică, turism, organizarea teritoriului, transporturi și energie. </w:t>
            </w:r>
          </w:p>
          <w:p w14:paraId="441D939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Comisia va fi condusă de Ministerul Mediului, Apelor și Pădurilor și va include ministerele de resort și autoritățile subordonate responsabile pentru sectoarele relevante: educație, agricultură, silvicultură, cinegetică, turism, organizarea teritoriului, transporturi și energie.</w:t>
            </w:r>
          </w:p>
          <w:p w14:paraId="3DB4440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Comisia va pregăti propuneri de revizuire a cadrului juridic în lumina informațiilor actualizate privind distribuția și dinamica stadiului de conservare a speciilor și habitatelor. </w:t>
            </w:r>
          </w:p>
        </w:tc>
      </w:tr>
      <w:tr w:rsidR="000A27B3" w:rsidRPr="000A27B3" w14:paraId="5D1006F6"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hideMark/>
          </w:tcPr>
          <w:p w14:paraId="1C5DDC2F"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31</w:t>
            </w:r>
          </w:p>
        </w:tc>
        <w:tc>
          <w:tcPr>
            <w:tcW w:w="2066" w:type="dxa"/>
            <w:tcBorders>
              <w:top w:val="nil"/>
              <w:left w:val="nil"/>
              <w:bottom w:val="single" w:sz="4" w:space="0" w:color="auto"/>
              <w:right w:val="single" w:sz="4" w:space="0" w:color="auto"/>
            </w:tcBorders>
            <w:shd w:val="clear" w:color="auto" w:fill="C6EFCE"/>
            <w:noWrap/>
            <w:hideMark/>
          </w:tcPr>
          <w:p w14:paraId="57D4BE1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2. Reforma sistemului de management al ariilor naturale protejate în vederea implementării coerente și eficace a Strategiei Europene privind biodiversitate</w:t>
            </w:r>
          </w:p>
        </w:tc>
        <w:tc>
          <w:tcPr>
            <w:tcW w:w="1050" w:type="dxa"/>
            <w:tcBorders>
              <w:top w:val="nil"/>
              <w:left w:val="nil"/>
              <w:bottom w:val="single" w:sz="4" w:space="0" w:color="auto"/>
              <w:right w:val="single" w:sz="4" w:space="0" w:color="auto"/>
            </w:tcBorders>
            <w:shd w:val="clear" w:color="auto" w:fill="C6EFCE"/>
            <w:noWrap/>
            <w:hideMark/>
          </w:tcPr>
          <w:p w14:paraId="178DF325"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632" w:type="dxa"/>
            <w:tcBorders>
              <w:top w:val="nil"/>
              <w:left w:val="nil"/>
              <w:bottom w:val="single" w:sz="4" w:space="0" w:color="auto"/>
              <w:right w:val="single" w:sz="4" w:space="0" w:color="auto"/>
            </w:tcBorders>
            <w:shd w:val="clear" w:color="auto" w:fill="C6EFCE"/>
            <w:noWrap/>
            <w:hideMark/>
          </w:tcPr>
          <w:p w14:paraId="3BB5840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actului normativ de modificare a cadrului legal aplicabil sectoarelor cu impact asupra biodiversității</w:t>
            </w:r>
          </w:p>
        </w:tc>
        <w:tc>
          <w:tcPr>
            <w:tcW w:w="1757" w:type="dxa"/>
            <w:tcBorders>
              <w:top w:val="nil"/>
              <w:left w:val="nil"/>
              <w:bottom w:val="single" w:sz="4" w:space="0" w:color="auto"/>
              <w:right w:val="single" w:sz="4" w:space="0" w:color="auto"/>
            </w:tcBorders>
            <w:shd w:val="clear" w:color="auto" w:fill="C6EFCE"/>
            <w:noWrap/>
            <w:hideMark/>
          </w:tcPr>
          <w:p w14:paraId="3D977D4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normativ</w:t>
            </w:r>
          </w:p>
        </w:tc>
        <w:tc>
          <w:tcPr>
            <w:tcW w:w="1087" w:type="dxa"/>
            <w:tcBorders>
              <w:top w:val="nil"/>
              <w:left w:val="nil"/>
              <w:bottom w:val="single" w:sz="4" w:space="0" w:color="auto"/>
              <w:right w:val="single" w:sz="4" w:space="0" w:color="auto"/>
            </w:tcBorders>
            <w:shd w:val="clear" w:color="auto" w:fill="C6EFCE"/>
            <w:noWrap/>
            <w:hideMark/>
          </w:tcPr>
          <w:p w14:paraId="77ADDA1E"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194" w:type="dxa"/>
            <w:tcBorders>
              <w:top w:val="nil"/>
              <w:left w:val="nil"/>
              <w:bottom w:val="single" w:sz="4" w:space="0" w:color="auto"/>
              <w:right w:val="single" w:sz="4" w:space="0" w:color="auto"/>
            </w:tcBorders>
            <w:shd w:val="clear" w:color="auto" w:fill="C6EFCE"/>
            <w:noWrap/>
            <w:hideMark/>
          </w:tcPr>
          <w:p w14:paraId="63959C1E"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7D932866"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nil"/>
              <w:left w:val="nil"/>
              <w:bottom w:val="single" w:sz="4" w:space="0" w:color="auto"/>
              <w:right w:val="single" w:sz="4" w:space="0" w:color="auto"/>
            </w:tcBorders>
            <w:shd w:val="clear" w:color="auto" w:fill="C6EFCE"/>
            <w:noWrap/>
            <w:hideMark/>
          </w:tcPr>
          <w:p w14:paraId="1181DAC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hideMark/>
          </w:tcPr>
          <w:p w14:paraId="3DB2B26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nil"/>
              <w:left w:val="nil"/>
              <w:bottom w:val="single" w:sz="4" w:space="0" w:color="auto"/>
              <w:right w:val="single" w:sz="4" w:space="0" w:color="auto"/>
            </w:tcBorders>
            <w:shd w:val="clear" w:color="auto" w:fill="C6EFCE"/>
            <w:noWrap/>
            <w:hideMark/>
          </w:tcPr>
          <w:p w14:paraId="0B71DB8E"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actului normativ de modificare a cadrului legal aplicabil sectoarelor cu impact asupra biodiversității. </w:t>
            </w:r>
          </w:p>
          <w:p w14:paraId="2A007F6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Obiectivul acestor modificări legislative va fi de a asigura că actualul cadru juridic care reglementează diversele sectoare relevante nu afectează/restricționează punerea în aplicare a măsurilor de conservare din planurile de management pentru ariile naturale protejate.</w:t>
            </w:r>
          </w:p>
          <w:p w14:paraId="70252BD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Actul normativ se bazează pe propunerile comisiei în lumina informațiilor actualizate privind distribuția și dinamica stadiului de conservare a speciilor și habitatelor. </w:t>
            </w:r>
          </w:p>
        </w:tc>
      </w:tr>
      <w:tr w:rsidR="000A27B3" w:rsidRPr="000A27B3" w14:paraId="352CFEBE"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hideMark/>
          </w:tcPr>
          <w:p w14:paraId="4AE7F132"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32</w:t>
            </w:r>
          </w:p>
        </w:tc>
        <w:tc>
          <w:tcPr>
            <w:tcW w:w="2066" w:type="dxa"/>
            <w:tcBorders>
              <w:top w:val="nil"/>
              <w:left w:val="nil"/>
              <w:bottom w:val="single" w:sz="4" w:space="0" w:color="auto"/>
              <w:right w:val="single" w:sz="4" w:space="0" w:color="auto"/>
            </w:tcBorders>
            <w:shd w:val="clear" w:color="auto" w:fill="C6EFCE"/>
            <w:noWrap/>
            <w:hideMark/>
          </w:tcPr>
          <w:p w14:paraId="3F1CDF3C" w14:textId="1D5DB294"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3.1 Actualizarea planurilor de management aprobate</w:t>
            </w:r>
          </w:p>
        </w:tc>
        <w:tc>
          <w:tcPr>
            <w:tcW w:w="1050" w:type="dxa"/>
            <w:tcBorders>
              <w:top w:val="nil"/>
              <w:left w:val="nil"/>
              <w:bottom w:val="single" w:sz="4" w:space="0" w:color="auto"/>
              <w:right w:val="single" w:sz="4" w:space="0" w:color="auto"/>
            </w:tcBorders>
            <w:shd w:val="clear" w:color="auto" w:fill="C6EFCE"/>
            <w:noWrap/>
            <w:hideMark/>
          </w:tcPr>
          <w:p w14:paraId="51ACD2FE"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632" w:type="dxa"/>
            <w:tcBorders>
              <w:top w:val="nil"/>
              <w:left w:val="nil"/>
              <w:bottom w:val="single" w:sz="4" w:space="0" w:color="auto"/>
              <w:right w:val="single" w:sz="4" w:space="0" w:color="auto"/>
            </w:tcBorders>
            <w:shd w:val="clear" w:color="auto" w:fill="C6EFCE"/>
            <w:noWrap/>
            <w:hideMark/>
          </w:tcPr>
          <w:p w14:paraId="6E273E1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Zone naturale protejate cu planuri de management actualizate intrate în vigoare </w:t>
            </w:r>
          </w:p>
        </w:tc>
        <w:tc>
          <w:tcPr>
            <w:tcW w:w="1757" w:type="dxa"/>
            <w:tcBorders>
              <w:top w:val="nil"/>
              <w:left w:val="nil"/>
              <w:bottom w:val="single" w:sz="4" w:space="0" w:color="auto"/>
              <w:right w:val="single" w:sz="4" w:space="0" w:color="auto"/>
            </w:tcBorders>
            <w:shd w:val="clear" w:color="auto" w:fill="C6EFCE"/>
            <w:noWrap/>
            <w:hideMark/>
          </w:tcPr>
          <w:p w14:paraId="72855D0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7" w:type="dxa"/>
            <w:tcBorders>
              <w:top w:val="nil"/>
              <w:left w:val="nil"/>
              <w:bottom w:val="single" w:sz="4" w:space="0" w:color="auto"/>
              <w:right w:val="single" w:sz="4" w:space="0" w:color="auto"/>
            </w:tcBorders>
            <w:shd w:val="clear" w:color="auto" w:fill="C6EFCE"/>
            <w:noWrap/>
            <w:hideMark/>
          </w:tcPr>
          <w:p w14:paraId="014DE42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94" w:type="dxa"/>
            <w:tcBorders>
              <w:top w:val="nil"/>
              <w:left w:val="nil"/>
              <w:bottom w:val="single" w:sz="4" w:space="0" w:color="auto"/>
              <w:right w:val="single" w:sz="4" w:space="0" w:color="auto"/>
            </w:tcBorders>
            <w:shd w:val="clear" w:color="auto" w:fill="C6EFCE"/>
            <w:noWrap/>
            <w:hideMark/>
          </w:tcPr>
          <w:p w14:paraId="2437731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hideMark/>
          </w:tcPr>
          <w:p w14:paraId="7E46B33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100</w:t>
            </w:r>
          </w:p>
        </w:tc>
        <w:tc>
          <w:tcPr>
            <w:tcW w:w="960" w:type="dxa"/>
            <w:tcBorders>
              <w:top w:val="nil"/>
              <w:left w:val="nil"/>
              <w:bottom w:val="single" w:sz="4" w:space="0" w:color="auto"/>
              <w:right w:val="single" w:sz="4" w:space="0" w:color="auto"/>
            </w:tcBorders>
            <w:shd w:val="clear" w:color="auto" w:fill="C6EFCE"/>
            <w:noWrap/>
            <w:hideMark/>
          </w:tcPr>
          <w:p w14:paraId="7956080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26" w:type="dxa"/>
            <w:tcBorders>
              <w:top w:val="nil"/>
              <w:left w:val="nil"/>
              <w:bottom w:val="single" w:sz="4" w:space="0" w:color="auto"/>
              <w:right w:val="single" w:sz="4" w:space="0" w:color="auto"/>
            </w:tcBorders>
            <w:shd w:val="clear" w:color="auto" w:fill="C6EFCE"/>
            <w:noWrap/>
            <w:hideMark/>
          </w:tcPr>
          <w:p w14:paraId="747DE77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nil"/>
              <w:left w:val="nil"/>
              <w:bottom w:val="single" w:sz="4" w:space="0" w:color="auto"/>
              <w:right w:val="single" w:sz="4" w:space="0" w:color="auto"/>
            </w:tcBorders>
            <w:shd w:val="clear" w:color="auto" w:fill="C6EFCE"/>
            <w:noWrap/>
            <w:hideMark/>
          </w:tcPr>
          <w:p w14:paraId="1D2525EF" w14:textId="66AEEC85"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Zone naturale protejate (cel puțin 100) cu planuri de management actualizate vor intra în vigoare. Se va acorda prioritate zonelor care ar putea fi afectate de proiectele de infrastructură pentru care România s-a angajat, în temeiul legislației relevante a UE, să colecteze în continuare date de monitorizare în vederea definirii obiectivelor specifice de conservare specifice pentru habitate și specii, inclusiv specii de păsări migratoare.</w:t>
            </w:r>
            <w:r w:rsidR="004C4C72">
              <w:rPr>
                <w:rFonts w:ascii="Times New Roman" w:hAnsi="Times New Roman"/>
                <w:noProof/>
                <w:sz w:val="24"/>
              </w:rPr>
              <w:t xml:space="preserve"> </w:t>
            </w:r>
          </w:p>
        </w:tc>
      </w:tr>
      <w:tr w:rsidR="000A27B3" w:rsidRPr="000A27B3" w14:paraId="2D24B64F"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1A358C5A"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33</w:t>
            </w:r>
          </w:p>
        </w:tc>
        <w:tc>
          <w:tcPr>
            <w:tcW w:w="2066" w:type="dxa"/>
            <w:tcBorders>
              <w:top w:val="nil"/>
              <w:left w:val="nil"/>
              <w:bottom w:val="single" w:sz="4" w:space="0" w:color="auto"/>
              <w:right w:val="single" w:sz="4" w:space="0" w:color="auto"/>
            </w:tcBorders>
            <w:shd w:val="clear" w:color="auto" w:fill="C6EFCE"/>
            <w:noWrap/>
          </w:tcPr>
          <w:p w14:paraId="13561D8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3.1 Actualizarea planurilor de management aprobate</w:t>
            </w:r>
          </w:p>
        </w:tc>
        <w:tc>
          <w:tcPr>
            <w:tcW w:w="1050" w:type="dxa"/>
            <w:tcBorders>
              <w:top w:val="nil"/>
              <w:left w:val="nil"/>
              <w:bottom w:val="single" w:sz="4" w:space="0" w:color="auto"/>
              <w:right w:val="single" w:sz="4" w:space="0" w:color="auto"/>
            </w:tcBorders>
            <w:shd w:val="clear" w:color="auto" w:fill="C6EFCE"/>
            <w:noWrap/>
          </w:tcPr>
          <w:p w14:paraId="69B8A7A7"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632" w:type="dxa"/>
            <w:tcBorders>
              <w:top w:val="nil"/>
              <w:left w:val="nil"/>
              <w:bottom w:val="single" w:sz="4" w:space="0" w:color="auto"/>
              <w:right w:val="single" w:sz="4" w:space="0" w:color="auto"/>
            </w:tcBorders>
            <w:shd w:val="clear" w:color="auto" w:fill="C6EFCE"/>
            <w:noWrap/>
          </w:tcPr>
          <w:p w14:paraId="6C048E0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Zone naturale protejate cu planuri de management actualizate intrate în vigoare </w:t>
            </w:r>
          </w:p>
        </w:tc>
        <w:tc>
          <w:tcPr>
            <w:tcW w:w="1757" w:type="dxa"/>
            <w:tcBorders>
              <w:top w:val="nil"/>
              <w:left w:val="nil"/>
              <w:bottom w:val="single" w:sz="4" w:space="0" w:color="auto"/>
              <w:right w:val="single" w:sz="4" w:space="0" w:color="auto"/>
            </w:tcBorders>
            <w:shd w:val="clear" w:color="auto" w:fill="C6EFCE"/>
            <w:noWrap/>
          </w:tcPr>
          <w:p w14:paraId="05CA878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7" w:type="dxa"/>
            <w:tcBorders>
              <w:top w:val="nil"/>
              <w:left w:val="nil"/>
              <w:bottom w:val="single" w:sz="4" w:space="0" w:color="auto"/>
              <w:right w:val="single" w:sz="4" w:space="0" w:color="auto"/>
            </w:tcBorders>
            <w:shd w:val="clear" w:color="auto" w:fill="C6EFCE"/>
            <w:noWrap/>
          </w:tcPr>
          <w:p w14:paraId="45BD203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94" w:type="dxa"/>
            <w:tcBorders>
              <w:top w:val="nil"/>
              <w:left w:val="nil"/>
              <w:bottom w:val="single" w:sz="4" w:space="0" w:color="auto"/>
              <w:right w:val="single" w:sz="4" w:space="0" w:color="auto"/>
            </w:tcBorders>
            <w:shd w:val="clear" w:color="auto" w:fill="C6EFCE"/>
            <w:noWrap/>
          </w:tcPr>
          <w:p w14:paraId="038A2C0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100</w:t>
            </w:r>
          </w:p>
        </w:tc>
        <w:tc>
          <w:tcPr>
            <w:tcW w:w="1200" w:type="dxa"/>
            <w:tcBorders>
              <w:top w:val="nil"/>
              <w:left w:val="nil"/>
              <w:bottom w:val="single" w:sz="4" w:space="0" w:color="auto"/>
              <w:right w:val="single" w:sz="4" w:space="0" w:color="auto"/>
            </w:tcBorders>
            <w:shd w:val="clear" w:color="auto" w:fill="C6EFCE"/>
            <w:noWrap/>
          </w:tcPr>
          <w:p w14:paraId="66C81C60"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250</w:t>
            </w:r>
          </w:p>
        </w:tc>
        <w:tc>
          <w:tcPr>
            <w:tcW w:w="960" w:type="dxa"/>
            <w:tcBorders>
              <w:top w:val="nil"/>
              <w:left w:val="nil"/>
              <w:bottom w:val="single" w:sz="4" w:space="0" w:color="auto"/>
              <w:right w:val="single" w:sz="4" w:space="0" w:color="auto"/>
            </w:tcBorders>
            <w:shd w:val="clear" w:color="auto" w:fill="C6EFCE"/>
            <w:noWrap/>
          </w:tcPr>
          <w:p w14:paraId="25F5772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tcPr>
          <w:p w14:paraId="54E9CD3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21" w:type="dxa"/>
            <w:tcBorders>
              <w:top w:val="nil"/>
              <w:left w:val="nil"/>
              <w:bottom w:val="single" w:sz="4" w:space="0" w:color="auto"/>
              <w:right w:val="single" w:sz="4" w:space="0" w:color="auto"/>
            </w:tcBorders>
            <w:shd w:val="clear" w:color="auto" w:fill="C6EFCE"/>
            <w:noWrap/>
          </w:tcPr>
          <w:p w14:paraId="2871B475"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250 de zone naturale protejate cu planuri de management actualizate intrate în vigoare. Se va acorda prioritate zonelor care ar putea fi afectate de proiectele de infrastructură pentru care România s-a angajat, în temeiul legislației relevante a UE, să colecteze în continuare date de monitorizare în vederea definirii obiectivelor specifice de conservare specifice pentru habitate și specii, inclusiv specii de păsări migratoare. </w:t>
            </w:r>
          </w:p>
        </w:tc>
      </w:tr>
      <w:tr w:rsidR="000A27B3" w:rsidRPr="000A27B3" w14:paraId="60E96570"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7472CB50"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34</w:t>
            </w:r>
          </w:p>
        </w:tc>
        <w:tc>
          <w:tcPr>
            <w:tcW w:w="2066" w:type="dxa"/>
            <w:tcBorders>
              <w:top w:val="nil"/>
              <w:left w:val="nil"/>
              <w:bottom w:val="single" w:sz="4" w:space="0" w:color="auto"/>
              <w:right w:val="single" w:sz="4" w:space="0" w:color="auto"/>
            </w:tcBorders>
            <w:shd w:val="clear" w:color="auto" w:fill="C6EFCE"/>
            <w:noWrap/>
          </w:tcPr>
          <w:p w14:paraId="72EEBB5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3.2 Identificarea zonelor potențiale de protecție strictă în habitate naturale terestre și marine în vederea punerii în aplicare a Strategiei UE privind biodiversitatea pentru 2030</w:t>
            </w:r>
          </w:p>
        </w:tc>
        <w:tc>
          <w:tcPr>
            <w:tcW w:w="1050" w:type="dxa"/>
            <w:tcBorders>
              <w:top w:val="nil"/>
              <w:left w:val="nil"/>
              <w:bottom w:val="single" w:sz="4" w:space="0" w:color="auto"/>
              <w:right w:val="single" w:sz="4" w:space="0" w:color="auto"/>
            </w:tcBorders>
            <w:shd w:val="clear" w:color="auto" w:fill="C6EFCE"/>
            <w:noWrap/>
          </w:tcPr>
          <w:p w14:paraId="4B96D000"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632" w:type="dxa"/>
            <w:tcBorders>
              <w:top w:val="nil"/>
              <w:left w:val="nil"/>
              <w:bottom w:val="single" w:sz="4" w:space="0" w:color="auto"/>
              <w:right w:val="single" w:sz="4" w:space="0" w:color="auto"/>
            </w:tcBorders>
            <w:shd w:val="clear" w:color="auto" w:fill="C6EFCE"/>
            <w:noWrap/>
          </w:tcPr>
          <w:p w14:paraId="73B67B85"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actului normativ pentru desemnarea zonelor de protecție strictă (identificate în zonele protejate Natura 2000 cu planuri de management existente sau care includ păduri primare și seculare)</w:t>
            </w:r>
          </w:p>
        </w:tc>
        <w:tc>
          <w:tcPr>
            <w:tcW w:w="1757" w:type="dxa"/>
            <w:tcBorders>
              <w:top w:val="nil"/>
              <w:left w:val="nil"/>
              <w:bottom w:val="single" w:sz="4" w:space="0" w:color="auto"/>
              <w:right w:val="single" w:sz="4" w:space="0" w:color="auto"/>
            </w:tcBorders>
            <w:shd w:val="clear" w:color="auto" w:fill="C6EFCE"/>
            <w:noWrap/>
          </w:tcPr>
          <w:p w14:paraId="3AAD9042"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actului normativ</w:t>
            </w:r>
          </w:p>
        </w:tc>
        <w:tc>
          <w:tcPr>
            <w:tcW w:w="1087" w:type="dxa"/>
            <w:tcBorders>
              <w:top w:val="nil"/>
              <w:left w:val="nil"/>
              <w:bottom w:val="single" w:sz="4" w:space="0" w:color="auto"/>
              <w:right w:val="single" w:sz="4" w:space="0" w:color="auto"/>
            </w:tcBorders>
            <w:shd w:val="clear" w:color="auto" w:fill="C6EFCE"/>
            <w:noWrap/>
          </w:tcPr>
          <w:p w14:paraId="2F840008"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194" w:type="dxa"/>
            <w:tcBorders>
              <w:top w:val="nil"/>
              <w:left w:val="nil"/>
              <w:bottom w:val="single" w:sz="4" w:space="0" w:color="auto"/>
              <w:right w:val="single" w:sz="4" w:space="0" w:color="auto"/>
            </w:tcBorders>
            <w:shd w:val="clear" w:color="auto" w:fill="C6EFCE"/>
            <w:noWrap/>
          </w:tcPr>
          <w:p w14:paraId="7601F464"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44099717"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960" w:type="dxa"/>
            <w:tcBorders>
              <w:top w:val="nil"/>
              <w:left w:val="nil"/>
              <w:bottom w:val="single" w:sz="4" w:space="0" w:color="auto"/>
              <w:right w:val="single" w:sz="4" w:space="0" w:color="auto"/>
            </w:tcBorders>
            <w:shd w:val="clear" w:color="auto" w:fill="C6EFCE"/>
            <w:noWrap/>
          </w:tcPr>
          <w:p w14:paraId="3EF6237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26" w:type="dxa"/>
            <w:tcBorders>
              <w:top w:val="nil"/>
              <w:left w:val="nil"/>
              <w:bottom w:val="single" w:sz="4" w:space="0" w:color="auto"/>
              <w:right w:val="single" w:sz="4" w:space="0" w:color="auto"/>
            </w:tcBorders>
            <w:shd w:val="clear" w:color="auto" w:fill="C6EFCE"/>
            <w:noWrap/>
          </w:tcPr>
          <w:p w14:paraId="03BAC14E"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021" w:type="dxa"/>
            <w:tcBorders>
              <w:top w:val="nil"/>
              <w:left w:val="nil"/>
              <w:bottom w:val="single" w:sz="4" w:space="0" w:color="auto"/>
              <w:right w:val="single" w:sz="4" w:space="0" w:color="auto"/>
            </w:tcBorders>
            <w:shd w:val="clear" w:color="auto" w:fill="C6EFCE"/>
            <w:noWrap/>
          </w:tcPr>
          <w:p w14:paraId="2E968E9A" w14:textId="51BD064A"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actului normativ pentru desemnarea zonelor de protecție strictă Actul se bazează pe analizele/studiile și cartografierea delimitării zonelor propuse pentru non</w:t>
            </w:r>
            <w:r w:rsidR="008F1E27">
              <w:rPr>
                <w:rFonts w:ascii="Times New Roman" w:hAnsi="Times New Roman"/>
                <w:noProof/>
                <w:sz w:val="24"/>
              </w:rPr>
              <w:t>­</w:t>
            </w:r>
            <w:r>
              <w:rPr>
                <w:rFonts w:ascii="Times New Roman" w:hAnsi="Times New Roman"/>
                <w:noProof/>
                <w:sz w:val="24"/>
              </w:rPr>
              <w:t xml:space="preserve">intervenție (protecție strictă), necesare fundamentării unei propuneri de act normativ, pe baza Strategiei UE privind biodiversitatea pentru 2030. Actul normativ va desemna zonele de protecție strictă identificate în zonele protejate Natura 2000 cu planuri de management existente sau care includ păduri primare și seculare. </w:t>
            </w:r>
          </w:p>
        </w:tc>
      </w:tr>
      <w:tr w:rsidR="000A27B3" w:rsidRPr="000A27B3" w14:paraId="5E574B08"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74E55C11"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35</w:t>
            </w:r>
          </w:p>
        </w:tc>
        <w:tc>
          <w:tcPr>
            <w:tcW w:w="2066" w:type="dxa"/>
            <w:tcBorders>
              <w:top w:val="nil"/>
              <w:left w:val="nil"/>
              <w:bottom w:val="single" w:sz="4" w:space="0" w:color="auto"/>
              <w:right w:val="single" w:sz="4" w:space="0" w:color="auto"/>
            </w:tcBorders>
            <w:shd w:val="clear" w:color="auto" w:fill="C6EFCE"/>
            <w:noWrap/>
          </w:tcPr>
          <w:p w14:paraId="1E09E4F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3.2. Identificarea zonelor potențiale de protecție strictă în habitate naturale terestre și marine în vederea punerii în aplicare a Strategiei UE privind biodiversitatea pentru 2030</w:t>
            </w:r>
          </w:p>
        </w:tc>
        <w:tc>
          <w:tcPr>
            <w:tcW w:w="1050" w:type="dxa"/>
            <w:tcBorders>
              <w:top w:val="nil"/>
              <w:left w:val="nil"/>
              <w:bottom w:val="single" w:sz="4" w:space="0" w:color="auto"/>
              <w:right w:val="single" w:sz="4" w:space="0" w:color="auto"/>
            </w:tcBorders>
            <w:shd w:val="clear" w:color="auto" w:fill="C6EFCE"/>
            <w:noWrap/>
          </w:tcPr>
          <w:p w14:paraId="7CA1F467"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632" w:type="dxa"/>
            <w:tcBorders>
              <w:top w:val="nil"/>
              <w:left w:val="nil"/>
              <w:bottom w:val="single" w:sz="4" w:space="0" w:color="auto"/>
              <w:right w:val="single" w:sz="4" w:space="0" w:color="auto"/>
            </w:tcBorders>
            <w:shd w:val="clear" w:color="auto" w:fill="C6EFCE"/>
            <w:noWrap/>
          </w:tcPr>
          <w:p w14:paraId="6C2A0C5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actului normativ pentru desemnarea zonelor de protecție strictă (identificate în zonele protejate Natura 2000 fără planuri de management existente și în alte zone)</w:t>
            </w:r>
          </w:p>
        </w:tc>
        <w:tc>
          <w:tcPr>
            <w:tcW w:w="1757" w:type="dxa"/>
            <w:tcBorders>
              <w:top w:val="nil"/>
              <w:left w:val="nil"/>
              <w:bottom w:val="single" w:sz="4" w:space="0" w:color="auto"/>
              <w:right w:val="single" w:sz="4" w:space="0" w:color="auto"/>
            </w:tcBorders>
            <w:shd w:val="clear" w:color="auto" w:fill="C6EFCE"/>
            <w:noWrap/>
          </w:tcPr>
          <w:p w14:paraId="2428B92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actului normativ</w:t>
            </w:r>
          </w:p>
        </w:tc>
        <w:tc>
          <w:tcPr>
            <w:tcW w:w="1087" w:type="dxa"/>
            <w:tcBorders>
              <w:top w:val="nil"/>
              <w:left w:val="nil"/>
              <w:bottom w:val="single" w:sz="4" w:space="0" w:color="auto"/>
              <w:right w:val="single" w:sz="4" w:space="0" w:color="auto"/>
            </w:tcBorders>
            <w:shd w:val="clear" w:color="auto" w:fill="C6EFCE"/>
            <w:noWrap/>
          </w:tcPr>
          <w:p w14:paraId="4952F823"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194" w:type="dxa"/>
            <w:tcBorders>
              <w:top w:val="nil"/>
              <w:left w:val="nil"/>
              <w:bottom w:val="single" w:sz="4" w:space="0" w:color="auto"/>
              <w:right w:val="single" w:sz="4" w:space="0" w:color="auto"/>
            </w:tcBorders>
            <w:shd w:val="clear" w:color="auto" w:fill="C6EFCE"/>
            <w:noWrap/>
          </w:tcPr>
          <w:p w14:paraId="0F0625B1"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79E0BC02"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960" w:type="dxa"/>
            <w:tcBorders>
              <w:top w:val="nil"/>
              <w:left w:val="nil"/>
              <w:bottom w:val="single" w:sz="4" w:space="0" w:color="auto"/>
              <w:right w:val="single" w:sz="4" w:space="0" w:color="auto"/>
            </w:tcBorders>
            <w:shd w:val="clear" w:color="auto" w:fill="C6EFCE"/>
            <w:noWrap/>
          </w:tcPr>
          <w:p w14:paraId="3D99883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26" w:type="dxa"/>
            <w:tcBorders>
              <w:top w:val="nil"/>
              <w:left w:val="nil"/>
              <w:bottom w:val="single" w:sz="4" w:space="0" w:color="auto"/>
              <w:right w:val="single" w:sz="4" w:space="0" w:color="auto"/>
            </w:tcBorders>
            <w:shd w:val="clear" w:color="auto" w:fill="C6EFCE"/>
            <w:noWrap/>
          </w:tcPr>
          <w:p w14:paraId="460BB0F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21" w:type="dxa"/>
            <w:tcBorders>
              <w:top w:val="nil"/>
              <w:left w:val="nil"/>
              <w:bottom w:val="single" w:sz="4" w:space="0" w:color="auto"/>
              <w:right w:val="single" w:sz="4" w:space="0" w:color="auto"/>
            </w:tcBorders>
            <w:shd w:val="clear" w:color="auto" w:fill="C6EFCE"/>
            <w:noWrap/>
          </w:tcPr>
          <w:p w14:paraId="4991181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actului normativ pentru desemnarea zonelor de protecție strictă Actul se bazează pe analizele/studiile și cartografierea delimitării zonelor propuse pentru non-intervenție (protecție strictă), necesare fundamentării unei propuneri de act normativ, pe baza Strategiei UE privind biodiversitatea pentru 2030. Actul normativ va desemna zonele de protecție strictă identificate în zonele protejate Natura 2000 fără planuri de management existente și în alte zone.</w:t>
            </w:r>
          </w:p>
        </w:tc>
      </w:tr>
      <w:tr w:rsidR="000A27B3" w:rsidRPr="000A27B3" w14:paraId="5532D039"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55E64FB7"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36</w:t>
            </w:r>
          </w:p>
        </w:tc>
        <w:tc>
          <w:tcPr>
            <w:tcW w:w="2066" w:type="dxa"/>
            <w:tcBorders>
              <w:top w:val="nil"/>
              <w:left w:val="nil"/>
              <w:bottom w:val="single" w:sz="4" w:space="0" w:color="auto"/>
              <w:right w:val="single" w:sz="4" w:space="0" w:color="auto"/>
            </w:tcBorders>
            <w:shd w:val="clear" w:color="auto" w:fill="C6EFCE"/>
            <w:noWrap/>
          </w:tcPr>
          <w:p w14:paraId="7F8D093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4.1. Eliminarea obstacolelor din cursurile de apă în scopul facilitării refacerii conectivității habitatelor și speciilor dependente</w:t>
            </w:r>
          </w:p>
        </w:tc>
        <w:tc>
          <w:tcPr>
            <w:tcW w:w="1050" w:type="dxa"/>
            <w:tcBorders>
              <w:top w:val="nil"/>
              <w:left w:val="nil"/>
              <w:bottom w:val="single" w:sz="4" w:space="0" w:color="auto"/>
              <w:right w:val="single" w:sz="4" w:space="0" w:color="auto"/>
            </w:tcBorders>
            <w:shd w:val="clear" w:color="auto" w:fill="C6EFCE"/>
            <w:noWrap/>
          </w:tcPr>
          <w:p w14:paraId="60A6F50B"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632" w:type="dxa"/>
            <w:tcBorders>
              <w:top w:val="nil"/>
              <w:left w:val="nil"/>
              <w:bottom w:val="single" w:sz="4" w:space="0" w:color="auto"/>
              <w:right w:val="single" w:sz="4" w:space="0" w:color="auto"/>
            </w:tcBorders>
            <w:shd w:val="clear" w:color="auto" w:fill="C6EFCE"/>
            <w:noWrap/>
          </w:tcPr>
          <w:p w14:paraId="0013893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Habitate ripariene cu o conectivitate refăcută</w:t>
            </w:r>
          </w:p>
        </w:tc>
        <w:tc>
          <w:tcPr>
            <w:tcW w:w="1757" w:type="dxa"/>
            <w:tcBorders>
              <w:top w:val="nil"/>
              <w:left w:val="nil"/>
              <w:bottom w:val="single" w:sz="4" w:space="0" w:color="auto"/>
              <w:right w:val="single" w:sz="4" w:space="0" w:color="auto"/>
            </w:tcBorders>
            <w:shd w:val="clear" w:color="auto" w:fill="C6EFCE"/>
            <w:noWrap/>
          </w:tcPr>
          <w:p w14:paraId="088454E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7" w:type="dxa"/>
            <w:tcBorders>
              <w:top w:val="nil"/>
              <w:left w:val="nil"/>
              <w:bottom w:val="single" w:sz="4" w:space="0" w:color="auto"/>
              <w:right w:val="single" w:sz="4" w:space="0" w:color="auto"/>
            </w:tcBorders>
            <w:shd w:val="clear" w:color="auto" w:fill="C6EFCE"/>
            <w:noWrap/>
          </w:tcPr>
          <w:p w14:paraId="57BB06A7"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w:t>
            </w:r>
          </w:p>
        </w:tc>
        <w:tc>
          <w:tcPr>
            <w:tcW w:w="1194" w:type="dxa"/>
            <w:tcBorders>
              <w:top w:val="nil"/>
              <w:left w:val="nil"/>
              <w:bottom w:val="single" w:sz="4" w:space="0" w:color="auto"/>
              <w:right w:val="single" w:sz="4" w:space="0" w:color="auto"/>
            </w:tcBorders>
            <w:shd w:val="clear" w:color="auto" w:fill="C6EFCE"/>
            <w:noWrap/>
          </w:tcPr>
          <w:p w14:paraId="3CFB1425"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0740B127"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1 700</w:t>
            </w:r>
          </w:p>
        </w:tc>
        <w:tc>
          <w:tcPr>
            <w:tcW w:w="960" w:type="dxa"/>
            <w:tcBorders>
              <w:top w:val="nil"/>
              <w:left w:val="nil"/>
              <w:bottom w:val="single" w:sz="4" w:space="0" w:color="auto"/>
              <w:right w:val="single" w:sz="4" w:space="0" w:color="auto"/>
            </w:tcBorders>
            <w:shd w:val="clear" w:color="auto" w:fill="C6EFCE"/>
            <w:noWrap/>
          </w:tcPr>
          <w:p w14:paraId="57D8D33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tcPr>
          <w:p w14:paraId="342D0CE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21" w:type="dxa"/>
            <w:tcBorders>
              <w:top w:val="nil"/>
              <w:left w:val="nil"/>
              <w:bottom w:val="single" w:sz="4" w:space="0" w:color="auto"/>
              <w:right w:val="single" w:sz="4" w:space="0" w:color="auto"/>
            </w:tcBorders>
            <w:shd w:val="clear" w:color="auto" w:fill="C6EFCE"/>
            <w:noWrap/>
          </w:tcPr>
          <w:p w14:paraId="3F55AF4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Habitate ripariene cu o conectivitate refăcută (cel puțin 1 700 ha)</w:t>
            </w:r>
          </w:p>
        </w:tc>
      </w:tr>
      <w:tr w:rsidR="000A27B3" w:rsidRPr="000A27B3" w14:paraId="27C17CB1"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196AFDD7"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37</w:t>
            </w:r>
          </w:p>
        </w:tc>
        <w:tc>
          <w:tcPr>
            <w:tcW w:w="2066" w:type="dxa"/>
            <w:tcBorders>
              <w:top w:val="nil"/>
              <w:left w:val="nil"/>
              <w:bottom w:val="single" w:sz="4" w:space="0" w:color="auto"/>
              <w:right w:val="single" w:sz="4" w:space="0" w:color="auto"/>
            </w:tcBorders>
            <w:shd w:val="clear" w:color="auto" w:fill="C6EFCE"/>
            <w:noWrap/>
          </w:tcPr>
          <w:p w14:paraId="3898E07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4.2 Reconstrucția habitatelor de pajiști în ariile naturale protejate</w:t>
            </w:r>
          </w:p>
        </w:tc>
        <w:tc>
          <w:tcPr>
            <w:tcW w:w="1050" w:type="dxa"/>
            <w:tcBorders>
              <w:top w:val="nil"/>
              <w:left w:val="nil"/>
              <w:bottom w:val="single" w:sz="4" w:space="0" w:color="auto"/>
              <w:right w:val="single" w:sz="4" w:space="0" w:color="auto"/>
            </w:tcBorders>
            <w:shd w:val="clear" w:color="auto" w:fill="C6EFCE"/>
            <w:noWrap/>
          </w:tcPr>
          <w:p w14:paraId="5BE9353D"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632" w:type="dxa"/>
            <w:tcBorders>
              <w:top w:val="nil"/>
              <w:left w:val="nil"/>
              <w:bottom w:val="single" w:sz="4" w:space="0" w:color="auto"/>
              <w:right w:val="single" w:sz="4" w:space="0" w:color="auto"/>
            </w:tcBorders>
            <w:shd w:val="clear" w:color="auto" w:fill="C6EFCE"/>
            <w:noWrap/>
          </w:tcPr>
          <w:p w14:paraId="1CAC3B7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Habitate de pajiști refăcute din punct de vedere ecologic</w:t>
            </w:r>
          </w:p>
        </w:tc>
        <w:tc>
          <w:tcPr>
            <w:tcW w:w="1757" w:type="dxa"/>
            <w:tcBorders>
              <w:top w:val="nil"/>
              <w:left w:val="nil"/>
              <w:bottom w:val="single" w:sz="4" w:space="0" w:color="auto"/>
              <w:right w:val="single" w:sz="4" w:space="0" w:color="auto"/>
            </w:tcBorders>
            <w:shd w:val="clear" w:color="auto" w:fill="C6EFCE"/>
            <w:noWrap/>
          </w:tcPr>
          <w:p w14:paraId="16729AC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7" w:type="dxa"/>
            <w:tcBorders>
              <w:top w:val="nil"/>
              <w:left w:val="nil"/>
              <w:bottom w:val="single" w:sz="4" w:space="0" w:color="auto"/>
              <w:right w:val="single" w:sz="4" w:space="0" w:color="auto"/>
            </w:tcBorders>
            <w:shd w:val="clear" w:color="auto" w:fill="C6EFCE"/>
            <w:noWrap/>
          </w:tcPr>
          <w:p w14:paraId="45A7930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w:t>
            </w:r>
          </w:p>
        </w:tc>
        <w:tc>
          <w:tcPr>
            <w:tcW w:w="1194" w:type="dxa"/>
            <w:tcBorders>
              <w:top w:val="nil"/>
              <w:left w:val="nil"/>
              <w:bottom w:val="single" w:sz="4" w:space="0" w:color="auto"/>
              <w:right w:val="single" w:sz="4" w:space="0" w:color="auto"/>
            </w:tcBorders>
            <w:shd w:val="clear" w:color="auto" w:fill="C6EFCE"/>
            <w:noWrap/>
          </w:tcPr>
          <w:p w14:paraId="48BFBD12"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7EC5335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2 800</w:t>
            </w:r>
          </w:p>
        </w:tc>
        <w:tc>
          <w:tcPr>
            <w:tcW w:w="960" w:type="dxa"/>
            <w:tcBorders>
              <w:top w:val="nil"/>
              <w:left w:val="nil"/>
              <w:bottom w:val="single" w:sz="4" w:space="0" w:color="auto"/>
              <w:right w:val="single" w:sz="4" w:space="0" w:color="auto"/>
            </w:tcBorders>
            <w:shd w:val="clear" w:color="auto" w:fill="C6EFCE"/>
            <w:noWrap/>
          </w:tcPr>
          <w:p w14:paraId="6E4FFF6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tcPr>
          <w:p w14:paraId="0E05E810"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21" w:type="dxa"/>
            <w:tcBorders>
              <w:top w:val="nil"/>
              <w:left w:val="nil"/>
              <w:bottom w:val="single" w:sz="4" w:space="0" w:color="auto"/>
              <w:right w:val="single" w:sz="4" w:space="0" w:color="auto"/>
            </w:tcBorders>
            <w:shd w:val="clear" w:color="auto" w:fill="C6EFCE"/>
            <w:noWrap/>
          </w:tcPr>
          <w:p w14:paraId="13A478F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Habitate de pajiști (cel puțin 2 800 ha) refăcute din punct de vedere ecologic.</w:t>
            </w:r>
          </w:p>
        </w:tc>
      </w:tr>
      <w:tr w:rsidR="000A27B3" w:rsidRPr="000A27B3" w14:paraId="481BC697"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44D9476D"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38</w:t>
            </w:r>
          </w:p>
        </w:tc>
        <w:tc>
          <w:tcPr>
            <w:tcW w:w="2066" w:type="dxa"/>
            <w:tcBorders>
              <w:top w:val="nil"/>
              <w:left w:val="nil"/>
              <w:bottom w:val="single" w:sz="4" w:space="0" w:color="auto"/>
              <w:right w:val="single" w:sz="4" w:space="0" w:color="auto"/>
            </w:tcBorders>
            <w:shd w:val="clear" w:color="auto" w:fill="C6EFCE"/>
            <w:noWrap/>
          </w:tcPr>
          <w:p w14:paraId="5E95F21E"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4.3 Decolmatarea lacurilor din Delta Dunării pentru reducerea eutrofizării și menținerea diversității biologice </w:t>
            </w:r>
          </w:p>
        </w:tc>
        <w:tc>
          <w:tcPr>
            <w:tcW w:w="1050" w:type="dxa"/>
            <w:tcBorders>
              <w:top w:val="nil"/>
              <w:left w:val="nil"/>
              <w:bottom w:val="single" w:sz="4" w:space="0" w:color="auto"/>
              <w:right w:val="single" w:sz="4" w:space="0" w:color="auto"/>
            </w:tcBorders>
            <w:shd w:val="clear" w:color="auto" w:fill="C6EFCE"/>
            <w:noWrap/>
          </w:tcPr>
          <w:p w14:paraId="39765AB7"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632" w:type="dxa"/>
            <w:tcBorders>
              <w:top w:val="nil"/>
              <w:left w:val="nil"/>
              <w:bottom w:val="single" w:sz="4" w:space="0" w:color="auto"/>
              <w:right w:val="single" w:sz="4" w:space="0" w:color="auto"/>
            </w:tcBorders>
            <w:shd w:val="clear" w:color="auto" w:fill="C6EFCE"/>
            <w:noWrap/>
          </w:tcPr>
          <w:p w14:paraId="0C82F4F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Suprafețe de lacuri care au beneficiat de lucrări de îndepărtare a plantelor acvatice </w:t>
            </w:r>
          </w:p>
        </w:tc>
        <w:tc>
          <w:tcPr>
            <w:tcW w:w="1757" w:type="dxa"/>
            <w:tcBorders>
              <w:top w:val="nil"/>
              <w:left w:val="nil"/>
              <w:bottom w:val="single" w:sz="4" w:space="0" w:color="auto"/>
              <w:right w:val="single" w:sz="4" w:space="0" w:color="auto"/>
            </w:tcBorders>
            <w:shd w:val="clear" w:color="auto" w:fill="C6EFCE"/>
            <w:noWrap/>
          </w:tcPr>
          <w:p w14:paraId="16FBD94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7" w:type="dxa"/>
            <w:tcBorders>
              <w:top w:val="nil"/>
              <w:left w:val="nil"/>
              <w:bottom w:val="single" w:sz="4" w:space="0" w:color="auto"/>
              <w:right w:val="single" w:sz="4" w:space="0" w:color="auto"/>
            </w:tcBorders>
            <w:shd w:val="clear" w:color="auto" w:fill="C6EFCE"/>
            <w:noWrap/>
          </w:tcPr>
          <w:p w14:paraId="56CB722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ha</w:t>
            </w:r>
          </w:p>
        </w:tc>
        <w:tc>
          <w:tcPr>
            <w:tcW w:w="1194" w:type="dxa"/>
            <w:tcBorders>
              <w:top w:val="nil"/>
              <w:left w:val="nil"/>
              <w:bottom w:val="single" w:sz="4" w:space="0" w:color="auto"/>
              <w:right w:val="single" w:sz="4" w:space="0" w:color="auto"/>
            </w:tcBorders>
            <w:shd w:val="clear" w:color="auto" w:fill="C6EFCE"/>
            <w:noWrap/>
          </w:tcPr>
          <w:p w14:paraId="55E80C1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42242C0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100</w:t>
            </w:r>
          </w:p>
        </w:tc>
        <w:tc>
          <w:tcPr>
            <w:tcW w:w="960" w:type="dxa"/>
            <w:tcBorders>
              <w:top w:val="nil"/>
              <w:left w:val="nil"/>
              <w:bottom w:val="single" w:sz="4" w:space="0" w:color="auto"/>
              <w:right w:val="single" w:sz="4" w:space="0" w:color="auto"/>
            </w:tcBorders>
            <w:shd w:val="clear" w:color="auto" w:fill="C6EFCE"/>
            <w:noWrap/>
          </w:tcPr>
          <w:p w14:paraId="00BA4E22"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tcPr>
          <w:p w14:paraId="0654214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21" w:type="dxa"/>
            <w:tcBorders>
              <w:top w:val="nil"/>
              <w:left w:val="nil"/>
              <w:bottom w:val="single" w:sz="4" w:space="0" w:color="auto"/>
              <w:right w:val="single" w:sz="4" w:space="0" w:color="auto"/>
            </w:tcBorders>
            <w:shd w:val="clear" w:color="auto" w:fill="C6EFCE"/>
            <w:noWrap/>
          </w:tcPr>
          <w:p w14:paraId="648E749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Suprafețe de lacuri (cel puțin 100 ha) care vor fi beneficiat de lucrări de îndepărtare a plantelor acvatice, pe baza studiului de fezabilitate actualizat (iunie 2021).</w:t>
            </w:r>
          </w:p>
        </w:tc>
      </w:tr>
      <w:tr w:rsidR="000A27B3" w:rsidRPr="000A27B3" w14:paraId="1D2CD0DF"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6C9E6180"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39</w:t>
            </w:r>
          </w:p>
        </w:tc>
        <w:tc>
          <w:tcPr>
            <w:tcW w:w="2066" w:type="dxa"/>
            <w:tcBorders>
              <w:top w:val="nil"/>
              <w:left w:val="nil"/>
              <w:bottom w:val="single" w:sz="4" w:space="0" w:color="auto"/>
              <w:right w:val="single" w:sz="4" w:space="0" w:color="auto"/>
            </w:tcBorders>
            <w:shd w:val="clear" w:color="auto" w:fill="C6EFCE"/>
            <w:noWrap/>
          </w:tcPr>
          <w:p w14:paraId="130F52C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4.4 Implementarea unui sistem de monitorizare a sturionilor sălbatici de-a lungul Dunării de Jos</w:t>
            </w:r>
          </w:p>
        </w:tc>
        <w:tc>
          <w:tcPr>
            <w:tcW w:w="1050" w:type="dxa"/>
            <w:tcBorders>
              <w:top w:val="nil"/>
              <w:left w:val="nil"/>
              <w:bottom w:val="single" w:sz="4" w:space="0" w:color="auto"/>
              <w:right w:val="single" w:sz="4" w:space="0" w:color="auto"/>
            </w:tcBorders>
            <w:shd w:val="clear" w:color="auto" w:fill="C6EFCE"/>
            <w:noWrap/>
          </w:tcPr>
          <w:p w14:paraId="4DE67547"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632" w:type="dxa"/>
            <w:tcBorders>
              <w:top w:val="nil"/>
              <w:left w:val="nil"/>
              <w:bottom w:val="single" w:sz="4" w:space="0" w:color="auto"/>
              <w:right w:val="single" w:sz="4" w:space="0" w:color="auto"/>
            </w:tcBorders>
            <w:shd w:val="clear" w:color="auto" w:fill="C6EFCE"/>
            <w:noWrap/>
          </w:tcPr>
          <w:p w14:paraId="1D2E035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Rețea operaționalizată de monitorizare, comunicare și transmitere date a sturionilor sălbatici </w:t>
            </w:r>
          </w:p>
        </w:tc>
        <w:tc>
          <w:tcPr>
            <w:tcW w:w="1757" w:type="dxa"/>
            <w:tcBorders>
              <w:top w:val="nil"/>
              <w:left w:val="nil"/>
              <w:bottom w:val="single" w:sz="4" w:space="0" w:color="auto"/>
              <w:right w:val="single" w:sz="4" w:space="0" w:color="auto"/>
            </w:tcBorders>
            <w:shd w:val="clear" w:color="auto" w:fill="C6EFCE"/>
            <w:noWrap/>
          </w:tcPr>
          <w:p w14:paraId="0943766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Rețeaua este operațională</w:t>
            </w:r>
          </w:p>
        </w:tc>
        <w:tc>
          <w:tcPr>
            <w:tcW w:w="1087" w:type="dxa"/>
            <w:tcBorders>
              <w:top w:val="nil"/>
              <w:left w:val="nil"/>
              <w:bottom w:val="single" w:sz="4" w:space="0" w:color="auto"/>
              <w:right w:val="single" w:sz="4" w:space="0" w:color="auto"/>
            </w:tcBorders>
            <w:shd w:val="clear" w:color="auto" w:fill="C6EFCE"/>
            <w:noWrap/>
          </w:tcPr>
          <w:p w14:paraId="7C21232D"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194" w:type="dxa"/>
            <w:tcBorders>
              <w:top w:val="nil"/>
              <w:left w:val="nil"/>
              <w:bottom w:val="single" w:sz="4" w:space="0" w:color="auto"/>
              <w:right w:val="single" w:sz="4" w:space="0" w:color="auto"/>
            </w:tcBorders>
            <w:shd w:val="clear" w:color="auto" w:fill="C6EFCE"/>
            <w:noWrap/>
          </w:tcPr>
          <w:p w14:paraId="1E4F818A"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6B295F46"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960" w:type="dxa"/>
            <w:tcBorders>
              <w:top w:val="nil"/>
              <w:left w:val="nil"/>
              <w:bottom w:val="single" w:sz="4" w:space="0" w:color="auto"/>
              <w:right w:val="single" w:sz="4" w:space="0" w:color="auto"/>
            </w:tcBorders>
            <w:shd w:val="clear" w:color="auto" w:fill="C6EFCE"/>
            <w:noWrap/>
          </w:tcPr>
          <w:p w14:paraId="2D38FFF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726" w:type="dxa"/>
            <w:tcBorders>
              <w:top w:val="nil"/>
              <w:left w:val="nil"/>
              <w:bottom w:val="single" w:sz="4" w:space="0" w:color="auto"/>
              <w:right w:val="single" w:sz="4" w:space="0" w:color="auto"/>
            </w:tcBorders>
            <w:shd w:val="clear" w:color="auto" w:fill="C6EFCE"/>
            <w:noWrap/>
          </w:tcPr>
          <w:p w14:paraId="7EC039D5" w14:textId="66A0948B"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21" w:type="dxa"/>
            <w:tcBorders>
              <w:top w:val="nil"/>
              <w:left w:val="nil"/>
              <w:bottom w:val="single" w:sz="4" w:space="0" w:color="auto"/>
              <w:right w:val="single" w:sz="4" w:space="0" w:color="auto"/>
            </w:tcBorders>
            <w:shd w:val="clear" w:color="auto" w:fill="C6EFCE"/>
            <w:noWrap/>
          </w:tcPr>
          <w:p w14:paraId="2F77ACCC" w14:textId="70D65926"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Rețea operaționalizată de monitorizare, comunicare și transmitere de date privind sturionii sălbatici Măsura va dezvolta un sistem de monitorizare a sturionilor sălbatici de-a lungul Dunării de Jos (1 500 km), coroborat cu IA, în vederea combaterii braconajului. Pentru a se asigura conformitatea cu Orientările tehnice DNSH (2021/C 58/01), vehiculele care urmează să fie achiziționate trebuie să aibă emisii specifice de CO2, astfel cum sunt definite la articolul 3 alineatul (1) litera (h) din Regulamentul (UE) 2019/631, mai mici de 50gCO2/km; Navele de măsurare care urmează să fie achiziționate trebuie să corespundă celor mai bune tehnologii disponibile din punctul de vedere al respectării mediului. </w:t>
            </w:r>
          </w:p>
        </w:tc>
      </w:tr>
      <w:tr w:rsidR="000A27B3" w:rsidRPr="000A27B3" w14:paraId="3A05E3C4"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5B55CEC8"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w:t>
            </w:r>
          </w:p>
        </w:tc>
        <w:tc>
          <w:tcPr>
            <w:tcW w:w="2066" w:type="dxa"/>
            <w:tcBorders>
              <w:top w:val="nil"/>
              <w:left w:val="nil"/>
              <w:bottom w:val="single" w:sz="4" w:space="0" w:color="auto"/>
              <w:right w:val="single" w:sz="4" w:space="0" w:color="auto"/>
            </w:tcBorders>
            <w:shd w:val="clear" w:color="auto" w:fill="C6EFCE"/>
            <w:noWrap/>
          </w:tcPr>
          <w:p w14:paraId="05EAAB5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Investiția 4.5. Reconfigurarea infrastructurii publice de acces și vizitare a Deltei Dunării pentru reducerea presiunii turismului asupra habitatelor și speciilor</w:t>
            </w:r>
          </w:p>
        </w:tc>
        <w:tc>
          <w:tcPr>
            <w:tcW w:w="1050" w:type="dxa"/>
            <w:tcBorders>
              <w:top w:val="nil"/>
              <w:left w:val="nil"/>
              <w:bottom w:val="single" w:sz="4" w:space="0" w:color="auto"/>
              <w:right w:val="single" w:sz="4" w:space="0" w:color="auto"/>
            </w:tcBorders>
            <w:shd w:val="clear" w:color="auto" w:fill="C6EFCE"/>
            <w:noWrap/>
          </w:tcPr>
          <w:p w14:paraId="16BC1CE6"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632" w:type="dxa"/>
            <w:tcBorders>
              <w:top w:val="nil"/>
              <w:left w:val="nil"/>
              <w:bottom w:val="single" w:sz="4" w:space="0" w:color="auto"/>
              <w:right w:val="single" w:sz="4" w:space="0" w:color="auto"/>
            </w:tcBorders>
            <w:shd w:val="clear" w:color="auto" w:fill="C6EFCE"/>
            <w:noWrap/>
          </w:tcPr>
          <w:p w14:paraId="49AD536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Construirea de centre de vizitare pentru a reduce presiunea turismului asupra habitatelor</w:t>
            </w:r>
          </w:p>
        </w:tc>
        <w:tc>
          <w:tcPr>
            <w:tcW w:w="1757" w:type="dxa"/>
            <w:tcBorders>
              <w:top w:val="nil"/>
              <w:left w:val="nil"/>
              <w:bottom w:val="single" w:sz="4" w:space="0" w:color="auto"/>
              <w:right w:val="single" w:sz="4" w:space="0" w:color="auto"/>
            </w:tcBorders>
            <w:shd w:val="clear" w:color="auto" w:fill="C6EFCE"/>
            <w:noWrap/>
          </w:tcPr>
          <w:p w14:paraId="1966A5C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7" w:type="dxa"/>
            <w:tcBorders>
              <w:top w:val="nil"/>
              <w:left w:val="nil"/>
              <w:bottom w:val="single" w:sz="4" w:space="0" w:color="auto"/>
              <w:right w:val="single" w:sz="4" w:space="0" w:color="auto"/>
            </w:tcBorders>
            <w:shd w:val="clear" w:color="auto" w:fill="C6EFCE"/>
            <w:noWrap/>
          </w:tcPr>
          <w:p w14:paraId="11F2EF6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94" w:type="dxa"/>
            <w:tcBorders>
              <w:top w:val="nil"/>
              <w:left w:val="nil"/>
              <w:bottom w:val="single" w:sz="4" w:space="0" w:color="auto"/>
              <w:right w:val="single" w:sz="4" w:space="0" w:color="auto"/>
            </w:tcBorders>
            <w:shd w:val="clear" w:color="auto" w:fill="C6EFCE"/>
            <w:noWrap/>
          </w:tcPr>
          <w:p w14:paraId="2FD7250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6BB43284"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10</w:t>
            </w:r>
          </w:p>
        </w:tc>
        <w:tc>
          <w:tcPr>
            <w:tcW w:w="960" w:type="dxa"/>
            <w:tcBorders>
              <w:top w:val="nil"/>
              <w:left w:val="nil"/>
              <w:bottom w:val="single" w:sz="4" w:space="0" w:color="auto"/>
              <w:right w:val="single" w:sz="4" w:space="0" w:color="auto"/>
            </w:tcBorders>
            <w:shd w:val="clear" w:color="auto" w:fill="C6EFCE"/>
            <w:noWrap/>
          </w:tcPr>
          <w:p w14:paraId="7B02DBE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tcPr>
          <w:p w14:paraId="37BB00C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21" w:type="dxa"/>
            <w:tcBorders>
              <w:top w:val="nil"/>
              <w:left w:val="nil"/>
              <w:bottom w:val="single" w:sz="4" w:space="0" w:color="auto"/>
              <w:right w:val="single" w:sz="4" w:space="0" w:color="auto"/>
            </w:tcBorders>
            <w:shd w:val="clear" w:color="auto" w:fill="C6EFCE"/>
            <w:noWrap/>
          </w:tcPr>
          <w:p w14:paraId="1C191C92"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10 centre de vizitare construite cu scopul de a reduce presiunea turismului asupra habitatelor prin difuzarea și monitorizarea fluxurilor de turiști către o rețea formată din 10 centre de vizitare cărora le sunt asociate 40 de puncte de observație corespunzător amenajate și dotate pentru necesitățile tuturor categoriilor de vizitatori. </w:t>
            </w:r>
          </w:p>
          <w:p w14:paraId="0A69DDD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Locațiile vor fi selectate în conformitate cu criteriile prevăzute în Planul de management al Rezervației Biosferei Delta Dunării, în prezent în curs de revizuire. </w:t>
            </w:r>
          </w:p>
          <w:p w14:paraId="1A6F4710"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La construcția centrelor de vizitare vor fi utilizate tehnologii și materiale care respectă mediul, abordări bazate pe ecosisteme și materiale în stil tradițional arhitecturii specifice comunităților din Delta Dunării.</w:t>
            </w:r>
          </w:p>
        </w:tc>
      </w:tr>
      <w:tr w:rsidR="000A27B3" w:rsidRPr="000A27B3" w14:paraId="73E0F235"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0EFF9D77"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w:t>
            </w:r>
          </w:p>
        </w:tc>
        <w:tc>
          <w:tcPr>
            <w:tcW w:w="2066" w:type="dxa"/>
            <w:tcBorders>
              <w:top w:val="nil"/>
              <w:left w:val="nil"/>
              <w:bottom w:val="single" w:sz="4" w:space="0" w:color="auto"/>
              <w:right w:val="single" w:sz="4" w:space="0" w:color="auto"/>
            </w:tcBorders>
            <w:shd w:val="clear" w:color="auto" w:fill="C6EFCE"/>
            <w:noWrap/>
          </w:tcPr>
          <w:p w14:paraId="7F4887B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5. Sisteme integrate de reducere a riscurilor generate de viituri torențiale în bazinete forestiere expuse unor astfel de fenomene </w:t>
            </w:r>
          </w:p>
        </w:tc>
        <w:tc>
          <w:tcPr>
            <w:tcW w:w="1050" w:type="dxa"/>
            <w:tcBorders>
              <w:top w:val="nil"/>
              <w:left w:val="nil"/>
              <w:bottom w:val="single" w:sz="4" w:space="0" w:color="auto"/>
              <w:right w:val="single" w:sz="4" w:space="0" w:color="auto"/>
            </w:tcBorders>
            <w:shd w:val="clear" w:color="auto" w:fill="C6EFCE"/>
            <w:noWrap/>
          </w:tcPr>
          <w:p w14:paraId="1C8C4FA1"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632" w:type="dxa"/>
            <w:tcBorders>
              <w:top w:val="nil"/>
              <w:left w:val="nil"/>
              <w:bottom w:val="single" w:sz="4" w:space="0" w:color="auto"/>
              <w:right w:val="single" w:sz="4" w:space="0" w:color="auto"/>
            </w:tcBorders>
            <w:shd w:val="clear" w:color="auto" w:fill="C6EFCE"/>
            <w:noWrap/>
          </w:tcPr>
          <w:p w14:paraId="4DD7919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Adoptarea conceptului de proiect</w:t>
            </w:r>
          </w:p>
        </w:tc>
        <w:tc>
          <w:tcPr>
            <w:tcW w:w="1757" w:type="dxa"/>
            <w:tcBorders>
              <w:top w:val="nil"/>
              <w:left w:val="nil"/>
              <w:bottom w:val="single" w:sz="4" w:space="0" w:color="auto"/>
              <w:right w:val="single" w:sz="4" w:space="0" w:color="auto"/>
            </w:tcBorders>
            <w:shd w:val="clear" w:color="auto" w:fill="C6EFCE"/>
            <w:noWrap/>
          </w:tcPr>
          <w:p w14:paraId="61F9B10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Adoptarea conceptului de proiect </w:t>
            </w:r>
          </w:p>
        </w:tc>
        <w:tc>
          <w:tcPr>
            <w:tcW w:w="1087" w:type="dxa"/>
            <w:tcBorders>
              <w:top w:val="nil"/>
              <w:left w:val="nil"/>
              <w:bottom w:val="single" w:sz="4" w:space="0" w:color="auto"/>
              <w:right w:val="single" w:sz="4" w:space="0" w:color="auto"/>
            </w:tcBorders>
            <w:shd w:val="clear" w:color="auto" w:fill="C6EFCE"/>
            <w:noWrap/>
          </w:tcPr>
          <w:p w14:paraId="43099C48"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194" w:type="dxa"/>
            <w:tcBorders>
              <w:top w:val="nil"/>
              <w:left w:val="nil"/>
              <w:bottom w:val="single" w:sz="4" w:space="0" w:color="auto"/>
              <w:right w:val="single" w:sz="4" w:space="0" w:color="auto"/>
            </w:tcBorders>
            <w:shd w:val="clear" w:color="auto" w:fill="C6EFCE"/>
            <w:noWrap/>
          </w:tcPr>
          <w:p w14:paraId="62BD5337"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142E55C0"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960" w:type="dxa"/>
            <w:tcBorders>
              <w:top w:val="nil"/>
              <w:left w:val="nil"/>
              <w:bottom w:val="single" w:sz="4" w:space="0" w:color="auto"/>
              <w:right w:val="single" w:sz="4" w:space="0" w:color="auto"/>
            </w:tcBorders>
            <w:shd w:val="clear" w:color="auto" w:fill="C6EFCE"/>
            <w:noWrap/>
          </w:tcPr>
          <w:p w14:paraId="509C686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726" w:type="dxa"/>
            <w:tcBorders>
              <w:top w:val="nil"/>
              <w:left w:val="nil"/>
              <w:bottom w:val="single" w:sz="4" w:space="0" w:color="auto"/>
              <w:right w:val="single" w:sz="4" w:space="0" w:color="auto"/>
            </w:tcBorders>
            <w:shd w:val="clear" w:color="auto" w:fill="C6EFCE"/>
            <w:noWrap/>
          </w:tcPr>
          <w:p w14:paraId="1B5D7C4D"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021" w:type="dxa"/>
            <w:tcBorders>
              <w:top w:val="nil"/>
              <w:left w:val="nil"/>
              <w:bottom w:val="single" w:sz="4" w:space="0" w:color="auto"/>
              <w:right w:val="single" w:sz="4" w:space="0" w:color="auto"/>
            </w:tcBorders>
            <w:shd w:val="clear" w:color="auto" w:fill="C6EFCE"/>
            <w:noWrap/>
          </w:tcPr>
          <w:p w14:paraId="6C7663B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Conceptul de proiect pentru lucrările de modernizare a protecției împotriva inundațiilor va fi adoptat. Aceasta va cuprinde:</w:t>
            </w:r>
          </w:p>
          <w:p w14:paraId="14DD850F" w14:textId="34DF760E" w:rsidR="00647F09" w:rsidRPr="000A27B3" w:rsidRDefault="00647F09" w:rsidP="00647F09">
            <w:pPr>
              <w:pStyle w:val="ListParagraph"/>
              <w:numPr>
                <w:ilvl w:val="0"/>
                <w:numId w:val="6"/>
              </w:numPr>
              <w:spacing w:after="0" w:line="240" w:lineRule="auto"/>
              <w:ind w:left="173" w:hanging="218"/>
              <w:jc w:val="both"/>
              <w:rPr>
                <w:rFonts w:ascii="Times New Roman" w:hAnsi="Times New Roman" w:cs="Times New Roman"/>
                <w:noProof/>
                <w:sz w:val="24"/>
                <w:szCs w:val="24"/>
              </w:rPr>
            </w:pPr>
            <w:r>
              <w:rPr>
                <w:rFonts w:ascii="Times New Roman" w:hAnsi="Times New Roman"/>
                <w:noProof/>
                <w:sz w:val="24"/>
              </w:rPr>
              <w:t>refacerea a cel puțin 6</w:t>
            </w:r>
            <w:r w:rsidR="008F1E27">
              <w:rPr>
                <w:rFonts w:ascii="Times New Roman" w:hAnsi="Times New Roman"/>
                <w:noProof/>
                <w:sz w:val="24"/>
              </w:rPr>
              <w:t> </w:t>
            </w:r>
            <w:r>
              <w:rPr>
                <w:rFonts w:ascii="Times New Roman" w:hAnsi="Times New Roman"/>
                <w:noProof/>
                <w:sz w:val="24"/>
              </w:rPr>
              <w:t>structuri deteriorate de reținere a aluviunilor pentru a instala măsuri longitudinale (scări de pești, după caz, și debit ecologic);</w:t>
            </w:r>
          </w:p>
          <w:p w14:paraId="11464EDE" w14:textId="2AFFD51B" w:rsidR="00647F09" w:rsidRPr="000A27B3" w:rsidRDefault="00647F09" w:rsidP="00647F09">
            <w:pPr>
              <w:pStyle w:val="ListParagraph"/>
              <w:numPr>
                <w:ilvl w:val="0"/>
                <w:numId w:val="6"/>
              </w:numPr>
              <w:spacing w:after="0" w:line="240" w:lineRule="auto"/>
              <w:ind w:left="173" w:hanging="218"/>
              <w:jc w:val="both"/>
              <w:rPr>
                <w:rFonts w:ascii="Times New Roman" w:hAnsi="Times New Roman" w:cs="Times New Roman"/>
                <w:noProof/>
                <w:sz w:val="24"/>
                <w:szCs w:val="24"/>
              </w:rPr>
            </w:pPr>
            <w:r>
              <w:rPr>
                <w:rFonts w:ascii="Times New Roman" w:hAnsi="Times New Roman"/>
                <w:noProof/>
                <w:sz w:val="24"/>
              </w:rPr>
              <w:t>construirea a cel puțin 30</w:t>
            </w:r>
            <w:r w:rsidR="008F1E27">
              <w:rPr>
                <w:rFonts w:ascii="Times New Roman" w:hAnsi="Times New Roman"/>
                <w:noProof/>
                <w:sz w:val="24"/>
              </w:rPr>
              <w:t> </w:t>
            </w:r>
            <w:r>
              <w:rPr>
                <w:rFonts w:ascii="Times New Roman" w:hAnsi="Times New Roman"/>
                <w:noProof/>
                <w:sz w:val="24"/>
              </w:rPr>
              <w:t>de construcții aluvionare noi, inclusiv scări de pești și debit ecologic, cu o înălțime maximă de 5 m;</w:t>
            </w:r>
          </w:p>
          <w:p w14:paraId="514C59E3" w14:textId="77777777" w:rsidR="00647F09" w:rsidRPr="000A27B3" w:rsidRDefault="00647F09" w:rsidP="00647F09">
            <w:pPr>
              <w:pStyle w:val="ListParagraph"/>
              <w:numPr>
                <w:ilvl w:val="0"/>
                <w:numId w:val="6"/>
              </w:numPr>
              <w:spacing w:after="0" w:line="240" w:lineRule="auto"/>
              <w:ind w:left="173" w:hanging="218"/>
              <w:jc w:val="both"/>
              <w:rPr>
                <w:rFonts w:ascii="Times New Roman" w:hAnsi="Times New Roman" w:cs="Times New Roman"/>
                <w:noProof/>
                <w:sz w:val="24"/>
                <w:szCs w:val="24"/>
              </w:rPr>
            </w:pPr>
            <w:r>
              <w:rPr>
                <w:rFonts w:ascii="Times New Roman" w:hAnsi="Times New Roman"/>
                <w:noProof/>
                <w:sz w:val="24"/>
              </w:rPr>
              <w:t>cel puțin 4 ha de teren refăcute prin reîmpădurire, plivire sau construire de garduri de vegetație;</w:t>
            </w:r>
          </w:p>
          <w:p w14:paraId="79213EFD" w14:textId="77777777" w:rsidR="00647F09" w:rsidRPr="000A27B3" w:rsidRDefault="00647F09" w:rsidP="00647F09">
            <w:pPr>
              <w:pStyle w:val="ListParagraph"/>
              <w:numPr>
                <w:ilvl w:val="0"/>
                <w:numId w:val="6"/>
              </w:numPr>
              <w:spacing w:after="0" w:line="240" w:lineRule="auto"/>
              <w:ind w:left="173" w:hanging="218"/>
              <w:jc w:val="both"/>
              <w:rPr>
                <w:rFonts w:ascii="Times New Roman" w:hAnsi="Times New Roman" w:cs="Times New Roman"/>
                <w:noProof/>
                <w:sz w:val="24"/>
                <w:szCs w:val="24"/>
              </w:rPr>
            </w:pPr>
            <w:r>
              <w:rPr>
                <w:rFonts w:ascii="Times New Roman" w:hAnsi="Times New Roman"/>
                <w:noProof/>
                <w:sz w:val="24"/>
              </w:rPr>
              <w:t>cel puțin 30 km de albii torențiale restaurate.</w:t>
            </w:r>
          </w:p>
          <w:p w14:paraId="0B7A74D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Orice măsură identificată în cadrul evaluării în temeiul Directivei 2000/60/CE (Directiva-cadru privind apa) ca fiind necesară pentru a asigura conformitatea cu Orientările tehnice privind aplicarea principiului de „a nu prejudicia în mod semnificativ” (2021/C58/01) va fi integrată în conceptul de proiect și va fi respectată cu strictețe în etapele de construcție, modernizare, exploatare și dezafectare. Se va evita deteriorarea stării ecologice a corpurilor de apă afectate și măsura nu va împiedica îmbunătățirea stării ecologice sau a potențialului ecologic al corpurilor de apă afectate. </w:t>
            </w:r>
          </w:p>
        </w:tc>
      </w:tr>
      <w:tr w:rsidR="000A27B3" w:rsidRPr="000A27B3" w14:paraId="4A0DF9FA" w14:textId="77777777" w:rsidTr="008F1E27">
        <w:trPr>
          <w:trHeight w:val="313"/>
          <w:jc w:val="center"/>
        </w:trPr>
        <w:tc>
          <w:tcPr>
            <w:tcW w:w="809" w:type="dxa"/>
            <w:tcBorders>
              <w:top w:val="nil"/>
              <w:left w:val="single" w:sz="4" w:space="0" w:color="auto"/>
              <w:bottom w:val="single" w:sz="4" w:space="0" w:color="auto"/>
              <w:right w:val="single" w:sz="4" w:space="0" w:color="auto"/>
            </w:tcBorders>
            <w:shd w:val="clear" w:color="auto" w:fill="C6EFCE"/>
            <w:noWrap/>
          </w:tcPr>
          <w:p w14:paraId="17B8CB80"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w:t>
            </w:r>
          </w:p>
        </w:tc>
        <w:tc>
          <w:tcPr>
            <w:tcW w:w="2066" w:type="dxa"/>
            <w:tcBorders>
              <w:top w:val="nil"/>
              <w:left w:val="nil"/>
              <w:bottom w:val="single" w:sz="4" w:space="0" w:color="auto"/>
              <w:right w:val="single" w:sz="4" w:space="0" w:color="auto"/>
            </w:tcBorders>
            <w:shd w:val="clear" w:color="auto" w:fill="C6EFCE"/>
            <w:noWrap/>
          </w:tcPr>
          <w:p w14:paraId="2763A4E0" w14:textId="77777777" w:rsidR="00647F09" w:rsidRPr="008F1E27" w:rsidRDefault="00647F09">
            <w:pPr>
              <w:spacing w:after="0" w:line="240" w:lineRule="auto"/>
              <w:jc w:val="both"/>
              <w:rPr>
                <w:rFonts w:ascii="Times New Roman" w:hAnsi="Times New Roman" w:cs="Times New Roman"/>
                <w:noProof/>
                <w:spacing w:val="-3"/>
                <w:sz w:val="24"/>
                <w:szCs w:val="24"/>
              </w:rPr>
            </w:pPr>
            <w:r w:rsidRPr="008F1E27">
              <w:rPr>
                <w:rFonts w:ascii="Times New Roman" w:hAnsi="Times New Roman"/>
                <w:noProof/>
                <w:spacing w:val="-3"/>
                <w:sz w:val="24"/>
              </w:rPr>
              <w:t xml:space="preserve">Investiția 5. Sisteme integrate de reducere a riscurilor generate de viituri torențiale în bazinete forestiere expuse unor astfel de fenomene </w:t>
            </w:r>
          </w:p>
        </w:tc>
        <w:tc>
          <w:tcPr>
            <w:tcW w:w="1050" w:type="dxa"/>
            <w:tcBorders>
              <w:top w:val="nil"/>
              <w:left w:val="nil"/>
              <w:bottom w:val="single" w:sz="4" w:space="0" w:color="auto"/>
              <w:right w:val="single" w:sz="4" w:space="0" w:color="auto"/>
            </w:tcBorders>
            <w:shd w:val="clear" w:color="auto" w:fill="C6EFCE"/>
            <w:noWrap/>
          </w:tcPr>
          <w:p w14:paraId="34B8E1C5" w14:textId="77777777" w:rsidR="00647F09" w:rsidRPr="000A27B3" w:rsidRDefault="00647F0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632" w:type="dxa"/>
            <w:tcBorders>
              <w:top w:val="nil"/>
              <w:left w:val="nil"/>
              <w:bottom w:val="single" w:sz="4" w:space="0" w:color="auto"/>
              <w:right w:val="single" w:sz="4" w:space="0" w:color="auto"/>
            </w:tcBorders>
            <w:shd w:val="clear" w:color="auto" w:fill="C6EFCE"/>
            <w:noWrap/>
          </w:tcPr>
          <w:p w14:paraId="33BA057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Finalizarea modernizării lucrărilor de protecție împotriva inundațiilor</w:t>
            </w:r>
          </w:p>
        </w:tc>
        <w:tc>
          <w:tcPr>
            <w:tcW w:w="1757" w:type="dxa"/>
            <w:tcBorders>
              <w:top w:val="nil"/>
              <w:left w:val="nil"/>
              <w:bottom w:val="single" w:sz="4" w:space="0" w:color="auto"/>
              <w:right w:val="single" w:sz="4" w:space="0" w:color="auto"/>
            </w:tcBorders>
            <w:shd w:val="clear" w:color="auto" w:fill="C6EFCE"/>
            <w:noWrap/>
          </w:tcPr>
          <w:p w14:paraId="0270FB0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Finalizarea modernizării lucrărilor de protecție împotriva inundațiilor</w:t>
            </w:r>
          </w:p>
        </w:tc>
        <w:tc>
          <w:tcPr>
            <w:tcW w:w="1087" w:type="dxa"/>
            <w:tcBorders>
              <w:top w:val="nil"/>
              <w:left w:val="nil"/>
              <w:bottom w:val="single" w:sz="4" w:space="0" w:color="auto"/>
              <w:right w:val="single" w:sz="4" w:space="0" w:color="auto"/>
            </w:tcBorders>
            <w:shd w:val="clear" w:color="auto" w:fill="C6EFCE"/>
            <w:noWrap/>
          </w:tcPr>
          <w:p w14:paraId="435B0FFD"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194" w:type="dxa"/>
            <w:tcBorders>
              <w:top w:val="nil"/>
              <w:left w:val="nil"/>
              <w:bottom w:val="single" w:sz="4" w:space="0" w:color="auto"/>
              <w:right w:val="single" w:sz="4" w:space="0" w:color="auto"/>
            </w:tcBorders>
            <w:shd w:val="clear" w:color="auto" w:fill="C6EFCE"/>
            <w:noWrap/>
          </w:tcPr>
          <w:p w14:paraId="17812B97"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5171FFB2" w14:textId="77777777" w:rsidR="00647F09" w:rsidRPr="000A27B3" w:rsidRDefault="00647F09">
            <w:pPr>
              <w:spacing w:after="0" w:line="240" w:lineRule="auto"/>
              <w:jc w:val="both"/>
              <w:rPr>
                <w:rFonts w:ascii="Times New Roman" w:hAnsi="Times New Roman" w:cs="Times New Roman"/>
                <w:noProof/>
                <w:sz w:val="24"/>
                <w:szCs w:val="24"/>
                <w:lang w:val="en-GB"/>
              </w:rPr>
            </w:pPr>
          </w:p>
        </w:tc>
        <w:tc>
          <w:tcPr>
            <w:tcW w:w="960" w:type="dxa"/>
            <w:tcBorders>
              <w:top w:val="nil"/>
              <w:left w:val="nil"/>
              <w:bottom w:val="single" w:sz="4" w:space="0" w:color="auto"/>
              <w:right w:val="single" w:sz="4" w:space="0" w:color="auto"/>
            </w:tcBorders>
            <w:shd w:val="clear" w:color="auto" w:fill="C6EFCE"/>
            <w:noWrap/>
          </w:tcPr>
          <w:p w14:paraId="1D6B2037"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26" w:type="dxa"/>
            <w:tcBorders>
              <w:top w:val="nil"/>
              <w:left w:val="nil"/>
              <w:bottom w:val="single" w:sz="4" w:space="0" w:color="auto"/>
              <w:right w:val="single" w:sz="4" w:space="0" w:color="auto"/>
            </w:tcBorders>
            <w:shd w:val="clear" w:color="auto" w:fill="C6EFCE"/>
            <w:noWrap/>
          </w:tcPr>
          <w:p w14:paraId="31BF9B9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21" w:type="dxa"/>
            <w:tcBorders>
              <w:top w:val="nil"/>
              <w:left w:val="nil"/>
              <w:bottom w:val="single" w:sz="4" w:space="0" w:color="auto"/>
              <w:right w:val="single" w:sz="4" w:space="0" w:color="auto"/>
            </w:tcBorders>
            <w:shd w:val="clear" w:color="auto" w:fill="C6EFCE"/>
            <w:noWrap/>
          </w:tcPr>
          <w:p w14:paraId="1EC015B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Proiectul de modernizare a protecției împotriva inundațiilor va fi finalizate, în conformitate cu cerințele de la jalonul 41. </w:t>
            </w:r>
          </w:p>
        </w:tc>
      </w:tr>
    </w:tbl>
    <w:p w14:paraId="153BC643" w14:textId="77777777" w:rsidR="00647F09" w:rsidRPr="009F1DC7" w:rsidRDefault="00647F09">
      <w:pPr>
        <w:spacing w:before="120" w:after="120" w:line="240" w:lineRule="auto"/>
        <w:jc w:val="both"/>
        <w:rPr>
          <w:rFonts w:ascii="Times New Roman" w:hAnsi="Times New Roman" w:cs="Times New Roman"/>
          <w:noProof/>
          <w:sz w:val="24"/>
          <w:szCs w:val="24"/>
          <w:lang w:val="fr-FR"/>
        </w:rPr>
        <w:sectPr w:rsidR="00647F09" w:rsidRPr="009F1DC7">
          <w:headerReference w:type="even" r:id="rId54"/>
          <w:headerReference w:type="default" r:id="rId55"/>
          <w:footerReference w:type="even" r:id="rId56"/>
          <w:footerReference w:type="default" r:id="rId57"/>
          <w:headerReference w:type="first" r:id="rId58"/>
          <w:footerReference w:type="first" r:id="rId59"/>
          <w:pgSz w:w="16839" w:h="11907" w:orient="landscape"/>
          <w:pgMar w:top="720" w:right="720" w:bottom="720" w:left="720" w:header="709" w:footer="709" w:gutter="0"/>
          <w:cols w:space="720"/>
          <w:docGrid w:linePitch="360"/>
        </w:sectPr>
      </w:pPr>
    </w:p>
    <w:p w14:paraId="1F5355BC" w14:textId="77777777" w:rsidR="00647F09" w:rsidRPr="000A27B3" w:rsidRDefault="00647F09">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3: Managementul deșeurilor</w:t>
      </w:r>
    </w:p>
    <w:p w14:paraId="5B0CC977"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componente este de a accelera procesul de extindere și modernizare a sistemelor de gestionare a deșeurilor în România cu accent pe colectarea separată, măsuri de prevenție, reducere, reutilizare și valorificare în vederea conformării cu legislația UE aplicabilă și trecerii la economia circulară.</w:t>
      </w:r>
    </w:p>
    <w:p w14:paraId="1499AE9A"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cuprinde o reformă și trei investiții. </w:t>
      </w:r>
    </w:p>
    <w:p w14:paraId="66CC11A6"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măsurile incluse în componentă vor aborda unele provocări evidențiate în recomandarea specifică țării de a concentra investițiile asupra tranziției verzi și a tranziției digitale, în special asupra infrastructurii de mediu, printre altele (recomandările specifice țării din 2019 și 2020).</w:t>
      </w:r>
    </w:p>
    <w:p w14:paraId="3DCE06FD"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DNSH (2021/C58/01).</w:t>
      </w:r>
    </w:p>
    <w:p w14:paraId="23EEF127" w14:textId="77777777" w:rsidR="00647F09" w:rsidRPr="000A27B3" w:rsidRDefault="00647F09">
      <w:pPr>
        <w:keepNext/>
        <w:spacing w:before="120" w:after="120" w:line="240" w:lineRule="auto"/>
        <w:jc w:val="both"/>
        <w:outlineLvl w:val="1"/>
        <w:rPr>
          <w:rFonts w:ascii="Times New Roman" w:eastAsiaTheme="majorEastAsia" w:hAnsi="Times New Roman" w:cs="Times New Roman"/>
          <w:i/>
          <w:iCs/>
          <w:noProof/>
          <w:sz w:val="24"/>
          <w:szCs w:val="24"/>
        </w:rPr>
      </w:pPr>
      <w:r>
        <w:rPr>
          <w:rFonts w:ascii="Times New Roman" w:hAnsi="Times New Roman"/>
          <w:b/>
          <w:noProof/>
          <w:sz w:val="24"/>
        </w:rPr>
        <w:t xml:space="preserve">C.1. </w:t>
      </w:r>
      <w:r>
        <w:rPr>
          <w:noProof/>
        </w:rPr>
        <w:tab/>
      </w:r>
      <w:r>
        <w:rPr>
          <w:rFonts w:ascii="Times New Roman" w:hAnsi="Times New Roman"/>
          <w:b/>
          <w:noProof/>
          <w:sz w:val="24"/>
        </w:rPr>
        <w:t>Descrierea reformelor și a investițiilor pentru care se prevede acordarea împrumutului</w:t>
      </w:r>
    </w:p>
    <w:p w14:paraId="20A62575" w14:textId="77777777" w:rsidR="00647F09" w:rsidRPr="000A27B3" w:rsidRDefault="00647F09">
      <w:pPr>
        <w:pStyle w:val="Standard"/>
        <w:spacing w:before="240"/>
        <w:jc w:val="both"/>
        <w:rPr>
          <w:rFonts w:ascii="Times New Roman" w:eastAsiaTheme="majorEastAsia" w:hAnsi="Times New Roman" w:cs="Times New Roman"/>
          <w:noProof/>
          <w:u w:val="single"/>
        </w:rPr>
      </w:pPr>
      <w:r>
        <w:rPr>
          <w:noProof/>
          <w:u w:val="single"/>
        </w:rPr>
        <w:t>Reforma 1. Îmbunătățirea guvernanței în domeniul gestionării deșeurilor în vederea accelerării tranziției către economia circulară</w:t>
      </w:r>
    </w:p>
    <w:p w14:paraId="20F7CD80" w14:textId="77777777" w:rsidR="00647F09" w:rsidRPr="000A27B3" w:rsidRDefault="00647F09">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reforme este de a crea un cadru juridic strategic pentru tranziția către economia circulară prin adoptarea Strategiei naționale pentru economia circulară și a unui plan de acțiune și prin modificarea anumitor acte normative referitoare la gestionarea deșeurilor.</w:t>
      </w:r>
    </w:p>
    <w:p w14:paraId="5D9372BA" w14:textId="77777777" w:rsidR="00647F09" w:rsidRPr="000A27B3" w:rsidRDefault="00647F09">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realiza în următoarele etape:</w:t>
      </w:r>
    </w:p>
    <w:p w14:paraId="7CA5317E" w14:textId="77777777" w:rsidR="00647F09" w:rsidRPr="000A27B3" w:rsidRDefault="00647F09">
      <w:pPr>
        <w:spacing w:before="120" w:after="120" w:line="240" w:lineRule="auto"/>
        <w:ind w:left="142"/>
        <w:jc w:val="both"/>
        <w:rPr>
          <w:rFonts w:ascii="Times New Roman" w:eastAsia="Calibri" w:hAnsi="Times New Roman" w:cs="Times New Roman"/>
          <w:noProof/>
          <w:sz w:val="24"/>
        </w:rPr>
      </w:pPr>
      <w:r>
        <w:rPr>
          <w:rFonts w:ascii="Times New Roman" w:hAnsi="Times New Roman"/>
          <w:noProof/>
          <w:sz w:val="24"/>
        </w:rPr>
        <w:t>(1) Adoptarea Strategiei naționale privind economia circulară, care va stabili cadrul pentru transformarea economiei României în direcția funcționării circulare, astfel încât să acopere întregul ciclu de viață al produselor (până la 31 septembrie 2022);</w:t>
      </w:r>
    </w:p>
    <w:p w14:paraId="6868AC80" w14:textId="77777777" w:rsidR="00647F09" w:rsidRPr="000A27B3" w:rsidRDefault="00647F09">
      <w:pPr>
        <w:spacing w:before="120" w:after="120" w:line="240" w:lineRule="auto"/>
        <w:ind w:left="142"/>
        <w:jc w:val="both"/>
        <w:rPr>
          <w:rFonts w:ascii="Times New Roman" w:eastAsia="Calibri" w:hAnsi="Times New Roman" w:cs="Times New Roman"/>
          <w:noProof/>
          <w:sz w:val="24"/>
        </w:rPr>
      </w:pPr>
      <w:r>
        <w:rPr>
          <w:rFonts w:ascii="Times New Roman" w:hAnsi="Times New Roman"/>
          <w:noProof/>
          <w:sz w:val="24"/>
        </w:rPr>
        <w:t xml:space="preserve">(2) Intrarea în vigoare a actelor normative necesare pentru operaționalizarea gestionării unitare a deșeurilor în conformitate cu Planul național de gestionare a deșeurilor, în special a actelor legislative privind tratarea deșeurilor, serviciile de salubrizare ale municipalităților și stabilirea tarifelor serviciilor de salubrizare și răspunderea extinsă a producătorilor de ambalaje (până la 31 septembrie 2022); </w:t>
      </w:r>
    </w:p>
    <w:p w14:paraId="12AEA2EA" w14:textId="77777777" w:rsidR="00647F09" w:rsidRPr="000A27B3" w:rsidRDefault="00647F09">
      <w:pPr>
        <w:spacing w:before="120" w:after="120" w:line="240" w:lineRule="auto"/>
        <w:ind w:left="142"/>
        <w:jc w:val="both"/>
        <w:rPr>
          <w:rFonts w:ascii="Times New Roman" w:eastAsia="Calibri" w:hAnsi="Times New Roman" w:cs="Times New Roman"/>
          <w:noProof/>
          <w:sz w:val="24"/>
          <w:szCs w:val="24"/>
        </w:rPr>
      </w:pPr>
      <w:r>
        <w:rPr>
          <w:rFonts w:ascii="Times New Roman" w:hAnsi="Times New Roman"/>
          <w:noProof/>
          <w:sz w:val="24"/>
        </w:rPr>
        <w:t xml:space="preserve">(3) Adoptarea planului de acțiune pentru Strategia națională privind economia circulară, care definește principalele etape de punere în aplicare a strategiei [menționate la punctul 1 de mai sus], autoritățile responsabile și un calendar obligatoriu al acțiunilor (până la 31 septembrie 2023). Toate acțiunile atribuite autorităților publice în temeiul strategiei și al planului de acțiune în perioada T3 2023 - T1 2026 trebuie finalizate până la 30 martie 2026. </w:t>
      </w:r>
    </w:p>
    <w:p w14:paraId="50AC9A83" w14:textId="77777777" w:rsidR="00647F09" w:rsidRPr="000A27B3" w:rsidRDefault="00647F09">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Ca urmare a reformei, vor fi îmbunătățite controlul și monitorizarea, precum și parametrii de calitate a mediului din cadrul sistemului de gestionare a deșeurilor și va crește nivelul de colectare separată a deșeurilor. O contribuție cu 4,5 puncte procentuale la ținta națională de reciclare și pregătire pentru reutilizare de 50 % până în 2025 va fi realizată până la 30 iunie 2026. </w:t>
      </w:r>
    </w:p>
    <w:p w14:paraId="08B07394" w14:textId="77777777" w:rsidR="00647F09" w:rsidRPr="000A27B3" w:rsidRDefault="00647F09">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Implementarea reformei se va finaliza până la 30 iunie 2026.</w:t>
      </w:r>
    </w:p>
    <w:p w14:paraId="744E9C06" w14:textId="77777777" w:rsidR="00647F09" w:rsidRPr="000A27B3" w:rsidRDefault="00647F09">
      <w:pPr>
        <w:spacing w:before="120" w:after="120" w:line="240" w:lineRule="auto"/>
        <w:rPr>
          <w:rFonts w:ascii="Times New Roman" w:hAnsi="Times New Roman" w:cs="Times New Roman"/>
          <w:noProof/>
          <w:sz w:val="24"/>
        </w:rPr>
        <w:sectPr w:rsidR="00647F09" w:rsidRPr="000A27B3" w:rsidSect="00ED6412">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pPr>
      <w:r>
        <w:rPr>
          <w:rFonts w:ascii="Times New Roman" w:hAnsi="Times New Roman"/>
          <w:noProof/>
          <w:sz w:val="24"/>
        </w:rPr>
        <w:t>Reforma 1 va fi însoțită de trei investiții – investițiile 1, 2 și 3.</w:t>
      </w:r>
    </w:p>
    <w:p w14:paraId="06C49947" w14:textId="77777777" w:rsidR="00647F09" w:rsidRPr="000A27B3" w:rsidRDefault="00647F09">
      <w:pPr>
        <w:pStyle w:val="Standard"/>
        <w:spacing w:before="240"/>
        <w:jc w:val="both"/>
        <w:rPr>
          <w:rFonts w:ascii="Times New Roman" w:eastAsiaTheme="majorEastAsia" w:hAnsi="Times New Roman" w:cs="Times New Roman"/>
          <w:noProof/>
          <w:u w:val="single"/>
        </w:rPr>
      </w:pPr>
      <w:r>
        <w:rPr>
          <w:noProof/>
          <w:u w:val="single"/>
        </w:rPr>
        <w:t xml:space="preserve">Investiția 1. Dezvoltarea, modernizarea și completarea </w:t>
      </w:r>
      <w:r>
        <w:rPr>
          <w:rFonts w:ascii="Times New Roman" w:hAnsi="Times New Roman"/>
          <w:noProof/>
          <w:u w:val="single"/>
        </w:rPr>
        <w:t>sistemelor de management integrat al deșeurilor municipale la nivel de județ sau la nivel de orașe/comune</w:t>
      </w:r>
    </w:p>
    <w:p w14:paraId="3F38FF73" w14:textId="77777777" w:rsidR="00647F09" w:rsidRPr="000A27B3" w:rsidRDefault="00647F09">
      <w:pPr>
        <w:spacing w:before="120" w:after="120" w:line="240" w:lineRule="auto"/>
        <w:jc w:val="both"/>
        <w:rPr>
          <w:rFonts w:ascii="Times New Roman" w:hAnsi="Times New Roman" w:cs="Times New Roman"/>
          <w:noProof/>
          <w:sz w:val="24"/>
          <w:u w:val="single"/>
        </w:rPr>
      </w:pPr>
      <w:r>
        <w:rPr>
          <w:rFonts w:ascii="Times New Roman" w:hAnsi="Times New Roman"/>
          <w:noProof/>
          <w:sz w:val="24"/>
        </w:rPr>
        <w:t xml:space="preserve">Obiectivul acestei investiții este de a dezvolta și a moderniza sistemele de management integrat al deșeurilor și infrastructura de gestionare a deșeurilor publice la nivel de județ sau la nivel de orașe/comune. </w:t>
      </w:r>
    </w:p>
    <w:p w14:paraId="08ACC3A2" w14:textId="77777777" w:rsidR="00647F09" w:rsidRPr="000A27B3" w:rsidRDefault="00647F09">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Investiția va contribui la atingerea noilor obiective privind pregătirea, reutilizarea și reciclarea deșeurilor municipale în temeiul Directivei (UE) 2018/851 de modificare a Directivei 2008/98/CE privind deșeurile. Investițiile se bazează pe Planul național de gestionare a deșeurilor, pe planurile județene de gestionare a deșeurilor și pe Planul de gestionare a deșeurilor din Municipiul București și vor contribui la obiectivele de reciclare stabilite în pachetul privind economia circulară.</w:t>
      </w:r>
    </w:p>
    <w:p w14:paraId="66D9E40F" w14:textId="77777777" w:rsidR="00647F09" w:rsidRPr="000A27B3" w:rsidRDefault="00647F09">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Implementarea acestei investiții include: </w:t>
      </w:r>
    </w:p>
    <w:p w14:paraId="500EF4DB" w14:textId="77777777" w:rsidR="00647F09" w:rsidRPr="000A27B3" w:rsidRDefault="00647F09">
      <w:pPr>
        <w:spacing w:before="120" w:after="120" w:line="240" w:lineRule="auto"/>
        <w:ind w:left="426"/>
        <w:jc w:val="both"/>
        <w:rPr>
          <w:rFonts w:ascii="Times New Roman" w:eastAsia="Calibri" w:hAnsi="Times New Roman" w:cs="Times New Roman"/>
          <w:noProof/>
          <w:sz w:val="24"/>
        </w:rPr>
      </w:pPr>
      <w:r>
        <w:rPr>
          <w:rFonts w:ascii="Times New Roman" w:hAnsi="Times New Roman"/>
          <w:noProof/>
          <w:sz w:val="24"/>
        </w:rPr>
        <w:t xml:space="preserve">(a) înființarea de centre de colectare cu aport voluntar care să </w:t>
      </w:r>
      <w:r>
        <w:rPr>
          <w:rFonts w:ascii="Times New Roman" w:hAnsi="Times New Roman"/>
          <w:noProof/>
          <w:sz w:val="24"/>
          <w:shd w:val="clear" w:color="auto" w:fill="FFFFFF"/>
        </w:rPr>
        <w:t>asigure colectarea separată a deșeurilor menajere</w:t>
      </w:r>
      <w:r>
        <w:rPr>
          <w:rFonts w:ascii="Times New Roman" w:hAnsi="Times New Roman"/>
          <w:noProof/>
          <w:sz w:val="24"/>
        </w:rPr>
        <w:t xml:space="preserve"> pentru o serie de fluxuri de deșeuri (I.1.a), având drept rezultat 565 de centre de colectare cu aport voluntar puse în funcțiune până la 30 iunie 2026;</w:t>
      </w:r>
    </w:p>
    <w:p w14:paraId="68D4547E" w14:textId="77777777" w:rsidR="00647F09" w:rsidRPr="000A27B3" w:rsidRDefault="00647F09">
      <w:pPr>
        <w:spacing w:before="120" w:after="120" w:line="240" w:lineRule="auto"/>
        <w:ind w:left="426"/>
        <w:jc w:val="both"/>
        <w:rPr>
          <w:rFonts w:ascii="Times New Roman" w:eastAsia="Trebuchet MS" w:hAnsi="Times New Roman" w:cs="Times New Roman"/>
          <w:noProof/>
          <w:sz w:val="24"/>
        </w:rPr>
      </w:pPr>
      <w:r>
        <w:rPr>
          <w:rFonts w:ascii="Times New Roman" w:hAnsi="Times New Roman"/>
          <w:noProof/>
          <w:sz w:val="24"/>
        </w:rPr>
        <w:t>(b) înființarea de insule ecologice digitalizate pentru colectarea separată a deșeurilor la nivel local, în special în zonele cu blocuri de apartamente (I.1.b), având drept rezultat 13 752 de insule ecologice digitalizate pentru colectarea separată a deșeurilor puse în funcțiune până la 30 iunie 2026;</w:t>
      </w:r>
    </w:p>
    <w:p w14:paraId="34BA44EF" w14:textId="08DA615C" w:rsidR="00647F09" w:rsidRPr="000A27B3" w:rsidRDefault="00647F09">
      <w:pPr>
        <w:spacing w:before="120" w:after="120" w:line="240" w:lineRule="auto"/>
        <w:ind w:left="426"/>
        <w:jc w:val="both"/>
        <w:rPr>
          <w:rFonts w:ascii="Times New Roman" w:eastAsia="Trebuchet MS" w:hAnsi="Times New Roman" w:cs="Times New Roman"/>
          <w:noProof/>
          <w:sz w:val="24"/>
          <w:szCs w:val="24"/>
        </w:rPr>
      </w:pPr>
      <w:r>
        <w:rPr>
          <w:rFonts w:ascii="Times New Roman" w:hAnsi="Times New Roman"/>
          <w:noProof/>
          <w:sz w:val="24"/>
        </w:rPr>
        <w:t xml:space="preserve">(c) centre integrate de colectare separată pentru aglomerări urbane (I.1.c), având drept rezultat centre integrate de colectare a deșeurilor puse în funcțiune în 14 aglomerări urbane până la 30 iunie 2026; </w:t>
      </w:r>
    </w:p>
    <w:p w14:paraId="68F35286" w14:textId="77777777" w:rsidR="00647F09" w:rsidRPr="000A27B3" w:rsidRDefault="00647F09">
      <w:pPr>
        <w:spacing w:before="120" w:after="120" w:line="240" w:lineRule="auto"/>
        <w:ind w:left="426"/>
        <w:jc w:val="both"/>
        <w:rPr>
          <w:rFonts w:ascii="Times New Roman" w:eastAsia="Trebuchet MS" w:hAnsi="Times New Roman" w:cs="Times New Roman"/>
          <w:noProof/>
          <w:sz w:val="24"/>
        </w:rPr>
      </w:pPr>
      <w:r>
        <w:rPr>
          <w:rFonts w:ascii="Times New Roman" w:hAnsi="Times New Roman"/>
          <w:noProof/>
          <w:sz w:val="24"/>
        </w:rPr>
        <w:t>(d) construirea de instalații de reciclare a deșeurilor în vederea atingerii țintelor de reciclare din pachetul economiei circulare (I.1.d), având drept rezultat 26 de instalații de reciclare a deșeurilor puse în funcțiune până la 30 iunie 2026 în vederea atingerii țintelor de reciclare ale Strategiei naționale privind economia circulară.</w:t>
      </w:r>
    </w:p>
    <w:p w14:paraId="59B1C66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Investițiile de mai sus (a-d) vor fi conforme cu prevederile Planului național de gestionare a deșeurilor, ale planurilor județene de gestionare a deșeurilor și ale Planului de gestionare a deșeurilor din Municipiul București, după caz.</w:t>
      </w:r>
    </w:p>
    <w:p w14:paraId="1414601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această măsură nu prejudiciază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vehiculele achiziționate în cadrul acestei măsuri trebuie să fie echipate cu cea mai bună tehnologie disponibilă din punctul de vedere al respectării mediului.</w:t>
      </w:r>
    </w:p>
    <w:p w14:paraId="6CB62412"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2292B3B6" w14:textId="77777777" w:rsidR="00647F09" w:rsidRPr="000A27B3" w:rsidRDefault="00647F09">
      <w:pPr>
        <w:pStyle w:val="Standard"/>
        <w:spacing w:before="240"/>
        <w:jc w:val="both"/>
        <w:rPr>
          <w:rFonts w:ascii="Times New Roman" w:eastAsiaTheme="majorEastAsia" w:hAnsi="Times New Roman" w:cs="Times New Roman"/>
          <w:noProof/>
          <w:u w:val="single"/>
        </w:rPr>
      </w:pPr>
      <w:r>
        <w:rPr>
          <w:noProof/>
          <w:u w:val="single"/>
        </w:rPr>
        <w:t xml:space="preserve">Investiția 2. Dezvoltarea </w:t>
      </w:r>
      <w:r>
        <w:rPr>
          <w:rFonts w:ascii="Times New Roman" w:hAnsi="Times New Roman"/>
          <w:noProof/>
          <w:u w:val="single"/>
        </w:rPr>
        <w:t>infrastructurii pentru managementul gunoiului de grajd și al altor deșeuri agricole compostabile</w:t>
      </w:r>
    </w:p>
    <w:p w14:paraId="7105199E" w14:textId="769DC589"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investiției este de a dezvolta sisteme de colectare și valorificare a gunoiului de grajd. </w:t>
      </w:r>
    </w:p>
    <w:p w14:paraId="6BB4ADB2"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constă în principal în instituirea de sisteme comunale integrate de valorificare a gunoiului de grajd, stații de compostare și echipamente de gestionare a compostului pentru comunitățile de ferme mari și sisteme de biogaz, precum și în achiziționarea de echipamente pentru gestionarea compostului agricol. Investițiile propuse vizează modernizarea infrastructurii, reducerea emisiilor de amoniac și metan, precum și reducerea poluării cu nitrați.</w:t>
      </w:r>
    </w:p>
    <w:p w14:paraId="0D7863B4"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Ca urmare a investiției, 254 de sisteme integrate de colectare a deșeurilor agricole compostabile vor fi instituite și puse în funcțiune până la 30 iunie 2026. </w:t>
      </w:r>
    </w:p>
    <w:p w14:paraId="5E95A25E"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această măsură nu prejudiciază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vehiculele achiziționate în cadrul acestei măsuri trebuie să fie echipate cu cea mai bună tehnologie disponibilă din punctul de vedere al respectării mediului.</w:t>
      </w:r>
    </w:p>
    <w:p w14:paraId="2D82CFE9"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fi conformă cu Planul național de gestionare a deșeurilor.</w:t>
      </w:r>
    </w:p>
    <w:p w14:paraId="0E6ED65E"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4D229AE1" w14:textId="77777777" w:rsidR="00647F09" w:rsidRPr="000A27B3" w:rsidRDefault="00647F09">
      <w:pPr>
        <w:pStyle w:val="Standard"/>
        <w:spacing w:before="240"/>
        <w:jc w:val="both"/>
        <w:rPr>
          <w:noProof/>
          <w:u w:val="single"/>
        </w:rPr>
      </w:pPr>
      <w:r>
        <w:rPr>
          <w:noProof/>
          <w:u w:val="single"/>
        </w:rPr>
        <w:t xml:space="preserve">Investiția 3. Dezvoltarea capacităților instituționale de monitorizare publică și control pentru gestionarea deșeurilor și prevenirea poluării </w:t>
      </w:r>
    </w:p>
    <w:p w14:paraId="439C958F" w14:textId="77777777" w:rsidR="00647F09" w:rsidRPr="000A27B3" w:rsidRDefault="00647F09">
      <w:pPr>
        <w:pStyle w:val="Standard"/>
        <w:spacing w:before="240"/>
        <w:jc w:val="both"/>
        <w:rPr>
          <w:rFonts w:ascii="Times New Roman" w:hAnsi="Times New Roman" w:cs="Times New Roman"/>
          <w:noProof/>
        </w:rPr>
      </w:pPr>
      <w:r>
        <w:rPr>
          <w:rFonts w:ascii="Times New Roman" w:hAnsi="Times New Roman"/>
          <w:noProof/>
        </w:rPr>
        <w:t xml:space="preserve">Obiectivul acestei investiții este de a dota autoritățile publice respective cu echipamente pentru activitățile de monitorizare, control și raportare a gestionării deșeurilor. </w:t>
      </w:r>
    </w:p>
    <w:p w14:paraId="69227766"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fi implementată prin două direcții de acțiune:</w:t>
      </w:r>
    </w:p>
    <w:p w14:paraId="6A4B65D5" w14:textId="77777777" w:rsidR="00647F09" w:rsidRPr="000A27B3" w:rsidRDefault="00647F09">
      <w:pPr>
        <w:spacing w:before="120" w:after="120" w:line="240" w:lineRule="auto"/>
        <w:ind w:left="426"/>
        <w:jc w:val="both"/>
        <w:rPr>
          <w:rFonts w:ascii="Times New Roman" w:hAnsi="Times New Roman" w:cs="Times New Roman"/>
          <w:noProof/>
          <w:sz w:val="24"/>
          <w:szCs w:val="24"/>
        </w:rPr>
      </w:pPr>
      <w:r>
        <w:rPr>
          <w:rFonts w:ascii="Times New Roman" w:hAnsi="Times New Roman"/>
          <w:noProof/>
          <w:sz w:val="24"/>
        </w:rPr>
        <w:t xml:space="preserve">(1) Dotarea a 43 de comisariate județene ale Gărzii Naționale de Mediu cu echipamente digitale (sistem TIC, sisteme de scanare a camioanelor, camere video de bord și camere video purtate pe corp, vehicule aeriene fără pilot) pentru activitățile de monitorizare și control al gestionării deșeurilor (până la 31 decembrie 2024). Drept rezultat, 400 de misiuni de control vor fi efectuate de comisariatele Gărzii Naționale de Mediu cu ajutorul noilor echipamente digitale, până la 31 decembrie 2025. </w:t>
      </w:r>
    </w:p>
    <w:p w14:paraId="698E9E27" w14:textId="3CD5B45A" w:rsidR="00647F09" w:rsidRPr="000A27B3" w:rsidRDefault="00647F09">
      <w:pPr>
        <w:spacing w:before="120" w:after="120" w:line="240" w:lineRule="auto"/>
        <w:ind w:left="426"/>
        <w:jc w:val="both"/>
        <w:rPr>
          <w:rFonts w:ascii="Times New Roman" w:hAnsi="Times New Roman" w:cs="Times New Roman"/>
          <w:noProof/>
          <w:sz w:val="24"/>
          <w:szCs w:val="24"/>
        </w:rPr>
      </w:pPr>
      <w:r>
        <w:rPr>
          <w:rFonts w:ascii="Times New Roman" w:hAnsi="Times New Roman"/>
          <w:noProof/>
          <w:sz w:val="24"/>
        </w:rPr>
        <w:t xml:space="preserve">(2) Achiziționarea și operaționalizarea a 384de echipamente de monitorizare a calității aerului, radioactivității și zgomotului pentru Agenția Națională de Protecția Mediului pentru a asigura colectarea, transmiterea, stocarea și realizarea raportărilor concentrațiilor de poluanți în mediul înconjurător (până la 30 iunie 2025). </w:t>
      </w:r>
    </w:p>
    <w:p w14:paraId="1F562F16"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această măsură nu prejudiciază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vehiculele achiziționate în cadrul acestei măsuri trebuie să fie echipate cu cea mai bună tehnologie disponibilă din punctul de vedere al respectării mediului.</w:t>
      </w:r>
    </w:p>
    <w:p w14:paraId="48592E91" w14:textId="77777777" w:rsidR="00647F09" w:rsidRPr="000A27B3" w:rsidRDefault="00647F0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205C46C5" w14:textId="77777777" w:rsidR="00647F09" w:rsidRPr="009F1DC7" w:rsidRDefault="00647F09">
      <w:pPr>
        <w:spacing w:before="120" w:after="120" w:line="240" w:lineRule="auto"/>
        <w:jc w:val="both"/>
        <w:rPr>
          <w:rFonts w:ascii="Times New Roman" w:hAnsi="Times New Roman" w:cs="Times New Roman"/>
          <w:noProof/>
          <w:sz w:val="24"/>
          <w:szCs w:val="24"/>
          <w:lang w:val="fr-FR"/>
        </w:rPr>
        <w:sectPr w:rsidR="00647F09" w:rsidRPr="009F1DC7">
          <w:headerReference w:type="even" r:id="rId66"/>
          <w:headerReference w:type="default" r:id="rId67"/>
          <w:footerReference w:type="even" r:id="rId68"/>
          <w:footerReference w:type="default" r:id="rId69"/>
          <w:headerReference w:type="first" r:id="rId70"/>
          <w:footerReference w:type="first" r:id="rId71"/>
          <w:pgSz w:w="11907" w:h="16839"/>
          <w:pgMar w:top="1134" w:right="1418" w:bottom="1134" w:left="1418" w:header="709" w:footer="709" w:gutter="0"/>
          <w:cols w:space="720"/>
          <w:docGrid w:linePitch="360"/>
        </w:sectPr>
      </w:pPr>
    </w:p>
    <w:p w14:paraId="0F13C218" w14:textId="77777777" w:rsidR="00647F09" w:rsidRPr="000A27B3" w:rsidRDefault="00647F09">
      <w:pPr>
        <w:keepNext/>
        <w:spacing w:before="120" w:after="120" w:line="240" w:lineRule="auto"/>
        <w:ind w:left="-284"/>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C.2. </w:t>
      </w:r>
      <w:r>
        <w:rPr>
          <w:noProof/>
        </w:rPr>
        <w:tab/>
      </w:r>
      <w:r>
        <w:rPr>
          <w:rFonts w:ascii="Times New Roman" w:hAnsi="Times New Roman"/>
          <w:b/>
          <w:noProof/>
          <w:sz w:val="24"/>
        </w:rPr>
        <w:t>Jaloane, ținte, indicatori și calendarul de monitorizare și implementare aplicabile împrumutului</w:t>
      </w:r>
    </w:p>
    <w:tbl>
      <w:tblPr>
        <w:tblW w:w="15544" w:type="dxa"/>
        <w:jc w:val="center"/>
        <w:tblLayout w:type="fixed"/>
        <w:tblLook w:val="04A0" w:firstRow="1" w:lastRow="0" w:firstColumn="1" w:lastColumn="0" w:noHBand="0" w:noVBand="1"/>
      </w:tblPr>
      <w:tblGrid>
        <w:gridCol w:w="15"/>
        <w:gridCol w:w="819"/>
        <w:gridCol w:w="1561"/>
        <w:gridCol w:w="1151"/>
        <w:gridCol w:w="1490"/>
        <w:gridCol w:w="1625"/>
        <w:gridCol w:w="1087"/>
        <w:gridCol w:w="1127"/>
        <w:gridCol w:w="1200"/>
        <w:gridCol w:w="960"/>
        <w:gridCol w:w="794"/>
        <w:gridCol w:w="3715"/>
      </w:tblGrid>
      <w:tr w:rsidR="000A27B3" w:rsidRPr="000A27B3" w14:paraId="645F0479" w14:textId="77777777" w:rsidTr="008F1E27">
        <w:trPr>
          <w:trHeight w:val="587"/>
          <w:tblHeader/>
          <w:jc w:val="center"/>
        </w:trPr>
        <w:tc>
          <w:tcPr>
            <w:tcW w:w="834" w:type="dxa"/>
            <w:gridSpan w:val="2"/>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09D3FC"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6260B"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567561" w14:textId="77777777" w:rsidR="008F1E27" w:rsidRDefault="00647F09">
            <w:pPr>
              <w:spacing w:after="0" w:line="240" w:lineRule="auto"/>
              <w:jc w:val="center"/>
              <w:rPr>
                <w:rFonts w:ascii="Times New Roman" w:hAnsi="Times New Roman"/>
                <w:b/>
                <w:noProof/>
                <w:sz w:val="24"/>
              </w:rPr>
            </w:pPr>
            <w:r>
              <w:rPr>
                <w:rFonts w:ascii="Times New Roman" w:hAnsi="Times New Roman"/>
                <w:b/>
                <w:noProof/>
                <w:sz w:val="24"/>
              </w:rPr>
              <w:t>Jalon/</w:t>
            </w:r>
          </w:p>
          <w:p w14:paraId="54BE3003" w14:textId="5CE2AEBD"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țintă</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4CFE3"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8076A"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39714014"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41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8B41F8C"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 (pentru ținte)</w:t>
            </w:r>
          </w:p>
        </w:tc>
        <w:tc>
          <w:tcPr>
            <w:tcW w:w="1754" w:type="dxa"/>
            <w:gridSpan w:val="2"/>
            <w:tcBorders>
              <w:top w:val="single" w:sz="4" w:space="0" w:color="auto"/>
              <w:left w:val="nil"/>
              <w:bottom w:val="single" w:sz="4" w:space="0" w:color="auto"/>
              <w:right w:val="single" w:sz="4" w:space="0" w:color="auto"/>
            </w:tcBorders>
            <w:shd w:val="clear" w:color="auto" w:fill="BDD7EE"/>
            <w:vAlign w:val="center"/>
          </w:tcPr>
          <w:p w14:paraId="412B275C"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w:t>
            </w:r>
          </w:p>
          <w:p w14:paraId="2F91C4AC" w14:textId="5BEA7C06"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pentru atingerea jaloanelor/</w:t>
            </w:r>
            <w:r w:rsidR="008F1E27">
              <w:rPr>
                <w:rFonts w:ascii="Times New Roman" w:hAnsi="Times New Roman"/>
                <w:b/>
                <w:noProof/>
                <w:sz w:val="24"/>
              </w:rPr>
              <w:br/>
            </w:r>
            <w:r>
              <w:rPr>
                <w:rFonts w:ascii="Times New Roman" w:hAnsi="Times New Roman"/>
                <w:b/>
                <w:noProof/>
                <w:sz w:val="24"/>
              </w:rPr>
              <w:t>țintelor</w:t>
            </w:r>
          </w:p>
        </w:tc>
        <w:tc>
          <w:tcPr>
            <w:tcW w:w="371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2C292"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0996550" w14:textId="77777777" w:rsidTr="008F1E27">
        <w:trPr>
          <w:trHeight w:val="457"/>
          <w:tblHeader/>
          <w:jc w:val="center"/>
        </w:trPr>
        <w:tc>
          <w:tcPr>
            <w:tcW w:w="834" w:type="dxa"/>
            <w:gridSpan w:val="2"/>
            <w:vMerge/>
            <w:tcBorders>
              <w:top w:val="single" w:sz="4" w:space="0" w:color="auto"/>
              <w:left w:val="single" w:sz="4" w:space="0" w:color="auto"/>
              <w:bottom w:val="single" w:sz="4" w:space="0" w:color="auto"/>
              <w:right w:val="single" w:sz="4" w:space="0" w:color="auto"/>
            </w:tcBorders>
            <w:hideMark/>
          </w:tcPr>
          <w:p w14:paraId="2C3B80F5" w14:textId="77777777" w:rsidR="00647F09" w:rsidRPr="009F1DC7" w:rsidRDefault="00647F09">
            <w:pPr>
              <w:spacing w:after="0" w:line="240" w:lineRule="auto"/>
              <w:jc w:val="center"/>
              <w:rPr>
                <w:rFonts w:ascii="Times New Roman" w:eastAsia="Times New Roman" w:hAnsi="Times New Roman" w:cs="Times New Roman"/>
                <w:b/>
                <w:bCs/>
                <w:noProof/>
                <w:sz w:val="24"/>
                <w:szCs w:val="24"/>
                <w:lang w:eastAsia="en-GB"/>
              </w:rPr>
            </w:pPr>
          </w:p>
        </w:tc>
        <w:tc>
          <w:tcPr>
            <w:tcW w:w="1561" w:type="dxa"/>
            <w:vMerge/>
            <w:tcBorders>
              <w:top w:val="single" w:sz="4" w:space="0" w:color="auto"/>
              <w:left w:val="single" w:sz="4" w:space="0" w:color="auto"/>
              <w:bottom w:val="single" w:sz="4" w:space="0" w:color="auto"/>
              <w:right w:val="single" w:sz="4" w:space="0" w:color="auto"/>
            </w:tcBorders>
            <w:hideMark/>
          </w:tcPr>
          <w:p w14:paraId="01CEF92B"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151" w:type="dxa"/>
            <w:vMerge/>
            <w:tcBorders>
              <w:top w:val="single" w:sz="4" w:space="0" w:color="auto"/>
              <w:left w:val="single" w:sz="4" w:space="0" w:color="auto"/>
              <w:bottom w:val="single" w:sz="4" w:space="0" w:color="auto"/>
              <w:right w:val="single" w:sz="4" w:space="0" w:color="auto"/>
            </w:tcBorders>
            <w:hideMark/>
          </w:tcPr>
          <w:p w14:paraId="7C39A901" w14:textId="77777777" w:rsidR="00647F09" w:rsidRPr="009F1DC7" w:rsidRDefault="00647F09">
            <w:pPr>
              <w:spacing w:after="0" w:line="240" w:lineRule="auto"/>
              <w:jc w:val="center"/>
              <w:rPr>
                <w:rFonts w:ascii="Times New Roman" w:eastAsia="Times New Roman" w:hAnsi="Times New Roman" w:cs="Times New Roman"/>
                <w:b/>
                <w:bCs/>
                <w:noProof/>
                <w:sz w:val="24"/>
                <w:szCs w:val="24"/>
                <w:lang w:eastAsia="en-GB"/>
              </w:rPr>
            </w:pPr>
          </w:p>
        </w:tc>
        <w:tc>
          <w:tcPr>
            <w:tcW w:w="1490" w:type="dxa"/>
            <w:vMerge/>
            <w:tcBorders>
              <w:top w:val="single" w:sz="4" w:space="0" w:color="auto"/>
              <w:left w:val="single" w:sz="4" w:space="0" w:color="auto"/>
              <w:bottom w:val="single" w:sz="4" w:space="0" w:color="auto"/>
              <w:right w:val="single" w:sz="4" w:space="0" w:color="auto"/>
            </w:tcBorders>
            <w:hideMark/>
          </w:tcPr>
          <w:p w14:paraId="4B158905"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625" w:type="dxa"/>
            <w:vMerge/>
            <w:tcBorders>
              <w:top w:val="single" w:sz="4" w:space="0" w:color="auto"/>
              <w:left w:val="single" w:sz="4" w:space="0" w:color="auto"/>
              <w:bottom w:val="single" w:sz="4" w:space="0" w:color="auto"/>
              <w:right w:val="single" w:sz="4" w:space="0" w:color="auto"/>
            </w:tcBorders>
            <w:hideMark/>
          </w:tcPr>
          <w:p w14:paraId="143666C0" w14:textId="77777777" w:rsidR="00647F09" w:rsidRPr="009F1DC7" w:rsidRDefault="00647F09">
            <w:pPr>
              <w:spacing w:after="0" w:line="240" w:lineRule="auto"/>
              <w:jc w:val="both"/>
              <w:rPr>
                <w:rFonts w:ascii="Times New Roman" w:eastAsia="Times New Roman" w:hAnsi="Times New Roman" w:cs="Times New Roman"/>
                <w:b/>
                <w:bCs/>
                <w:noProof/>
                <w:sz w:val="24"/>
                <w:szCs w:val="24"/>
                <w:lang w:eastAsia="en-GB"/>
              </w:rPr>
            </w:pPr>
          </w:p>
        </w:tc>
        <w:tc>
          <w:tcPr>
            <w:tcW w:w="1087" w:type="dxa"/>
            <w:tcBorders>
              <w:top w:val="nil"/>
              <w:left w:val="single" w:sz="4" w:space="0" w:color="auto"/>
              <w:bottom w:val="nil"/>
              <w:right w:val="single" w:sz="4" w:space="0" w:color="auto"/>
            </w:tcBorders>
            <w:shd w:val="clear" w:color="auto" w:fill="BDD7EE"/>
            <w:vAlign w:val="center"/>
            <w:hideMark/>
          </w:tcPr>
          <w:p w14:paraId="061096BD"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Unitate </w:t>
            </w:r>
          </w:p>
          <w:p w14:paraId="457392F9"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de </w:t>
            </w:r>
          </w:p>
          <w:p w14:paraId="7DDA2AC7"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w:t>
            </w:r>
          </w:p>
        </w:tc>
        <w:tc>
          <w:tcPr>
            <w:tcW w:w="1127" w:type="dxa"/>
            <w:tcBorders>
              <w:top w:val="nil"/>
              <w:left w:val="nil"/>
              <w:bottom w:val="nil"/>
              <w:right w:val="single" w:sz="4" w:space="0" w:color="auto"/>
            </w:tcBorders>
            <w:shd w:val="clear" w:color="auto" w:fill="BDD7EE"/>
            <w:vAlign w:val="center"/>
            <w:hideMark/>
          </w:tcPr>
          <w:p w14:paraId="0A893083" w14:textId="1D6A5F1C" w:rsidR="00647F09" w:rsidRPr="000A27B3" w:rsidRDefault="00647F09" w:rsidP="00B1799B">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Valoare de referință </w:t>
            </w:r>
          </w:p>
        </w:tc>
        <w:tc>
          <w:tcPr>
            <w:tcW w:w="1200" w:type="dxa"/>
            <w:tcBorders>
              <w:top w:val="nil"/>
              <w:left w:val="nil"/>
              <w:bottom w:val="nil"/>
              <w:right w:val="single" w:sz="4" w:space="0" w:color="auto"/>
            </w:tcBorders>
            <w:shd w:val="clear" w:color="auto" w:fill="BDD7EE"/>
            <w:vAlign w:val="center"/>
            <w:hideMark/>
          </w:tcPr>
          <w:p w14:paraId="4C16B734"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960" w:type="dxa"/>
            <w:tcBorders>
              <w:top w:val="nil"/>
              <w:left w:val="nil"/>
              <w:bottom w:val="nil"/>
              <w:right w:val="single" w:sz="4" w:space="0" w:color="auto"/>
            </w:tcBorders>
            <w:shd w:val="clear" w:color="auto" w:fill="BDD7EE"/>
            <w:vAlign w:val="center"/>
            <w:hideMark/>
          </w:tcPr>
          <w:p w14:paraId="1E7F26C6"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94" w:type="dxa"/>
            <w:tcBorders>
              <w:top w:val="nil"/>
              <w:left w:val="nil"/>
              <w:bottom w:val="nil"/>
              <w:right w:val="single" w:sz="4" w:space="0" w:color="auto"/>
            </w:tcBorders>
            <w:shd w:val="clear" w:color="auto" w:fill="BDD7EE"/>
            <w:vAlign w:val="center"/>
            <w:hideMark/>
          </w:tcPr>
          <w:p w14:paraId="0EFF4E74" w14:textId="77777777" w:rsidR="00647F09" w:rsidRPr="000A27B3" w:rsidRDefault="00647F0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715" w:type="dxa"/>
            <w:vMerge/>
            <w:tcBorders>
              <w:top w:val="single" w:sz="4" w:space="0" w:color="auto"/>
              <w:bottom w:val="single" w:sz="4" w:space="0" w:color="auto"/>
              <w:right w:val="single" w:sz="4" w:space="0" w:color="auto"/>
            </w:tcBorders>
            <w:hideMark/>
          </w:tcPr>
          <w:p w14:paraId="7371676B" w14:textId="77777777" w:rsidR="00647F09" w:rsidRPr="000A27B3" w:rsidRDefault="00647F09">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59128DB1" w14:textId="77777777" w:rsidTr="008F1E27">
        <w:tblPrEx>
          <w:tblCellMar>
            <w:left w:w="28" w:type="dxa"/>
            <w:right w:w="28" w:type="dxa"/>
          </w:tblCellMar>
        </w:tblPrEx>
        <w:trPr>
          <w:trHeight w:val="309"/>
          <w:jc w:val="center"/>
        </w:trPr>
        <w:tc>
          <w:tcPr>
            <w:tcW w:w="834" w:type="dxa"/>
            <w:gridSpan w:val="2"/>
            <w:tcBorders>
              <w:top w:val="single" w:sz="4" w:space="0" w:color="auto"/>
              <w:left w:val="single" w:sz="4" w:space="0" w:color="auto"/>
              <w:bottom w:val="single" w:sz="4" w:space="0" w:color="auto"/>
              <w:right w:val="single" w:sz="4" w:space="0" w:color="auto"/>
            </w:tcBorders>
            <w:shd w:val="clear" w:color="auto" w:fill="C6EFCE"/>
            <w:noWrap/>
            <w:hideMark/>
          </w:tcPr>
          <w:p w14:paraId="77D08833"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43</w:t>
            </w:r>
          </w:p>
        </w:tc>
        <w:tc>
          <w:tcPr>
            <w:tcW w:w="1561" w:type="dxa"/>
            <w:tcBorders>
              <w:top w:val="single" w:sz="4" w:space="0" w:color="auto"/>
              <w:left w:val="nil"/>
              <w:bottom w:val="single" w:sz="4" w:space="0" w:color="auto"/>
              <w:right w:val="single" w:sz="4" w:space="0" w:color="auto"/>
            </w:tcBorders>
            <w:shd w:val="clear" w:color="auto" w:fill="C6EFCE"/>
            <w:noWrap/>
            <w:hideMark/>
          </w:tcPr>
          <w:p w14:paraId="1605FA1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guvernanței în domeniul gestionării deșeurilor în vederea accelerării tranziției către economia circulară.</w:t>
            </w:r>
          </w:p>
        </w:tc>
        <w:tc>
          <w:tcPr>
            <w:tcW w:w="1151" w:type="dxa"/>
            <w:tcBorders>
              <w:top w:val="single" w:sz="4" w:space="0" w:color="auto"/>
              <w:left w:val="nil"/>
              <w:bottom w:val="single" w:sz="4" w:space="0" w:color="auto"/>
              <w:right w:val="single" w:sz="4" w:space="0" w:color="auto"/>
            </w:tcBorders>
            <w:shd w:val="clear" w:color="auto" w:fill="C6EFCE"/>
            <w:noWrap/>
            <w:hideMark/>
          </w:tcPr>
          <w:p w14:paraId="7E5773F4"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490" w:type="dxa"/>
            <w:tcBorders>
              <w:top w:val="single" w:sz="4" w:space="0" w:color="auto"/>
              <w:left w:val="nil"/>
              <w:bottom w:val="single" w:sz="4" w:space="0" w:color="auto"/>
              <w:right w:val="single" w:sz="4" w:space="0" w:color="auto"/>
            </w:tcBorders>
            <w:shd w:val="clear" w:color="auto" w:fill="C6EFCE"/>
            <w:noWrap/>
            <w:hideMark/>
          </w:tcPr>
          <w:p w14:paraId="7C085BA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naționale privind economia circulară</w:t>
            </w:r>
          </w:p>
        </w:tc>
        <w:tc>
          <w:tcPr>
            <w:tcW w:w="1625" w:type="dxa"/>
            <w:tcBorders>
              <w:top w:val="single" w:sz="4" w:space="0" w:color="auto"/>
              <w:left w:val="nil"/>
              <w:bottom w:val="single" w:sz="4" w:space="0" w:color="auto"/>
              <w:right w:val="single" w:sz="4" w:space="0" w:color="auto"/>
            </w:tcBorders>
            <w:shd w:val="clear" w:color="auto" w:fill="C6EFCE"/>
            <w:noWrap/>
            <w:hideMark/>
          </w:tcPr>
          <w:p w14:paraId="67B164B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naționale privind economia circulară prin hotărâre de guvern</w:t>
            </w:r>
          </w:p>
        </w:tc>
        <w:tc>
          <w:tcPr>
            <w:tcW w:w="1087" w:type="dxa"/>
            <w:tcBorders>
              <w:top w:val="single" w:sz="4" w:space="0" w:color="auto"/>
              <w:left w:val="nil"/>
              <w:bottom w:val="single" w:sz="4" w:space="0" w:color="auto"/>
              <w:right w:val="single" w:sz="4" w:space="0" w:color="auto"/>
            </w:tcBorders>
            <w:shd w:val="clear" w:color="auto" w:fill="C6EFCE"/>
            <w:noWrap/>
          </w:tcPr>
          <w:p w14:paraId="1B70D5B6"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127" w:type="dxa"/>
            <w:tcBorders>
              <w:top w:val="single" w:sz="4" w:space="0" w:color="auto"/>
              <w:left w:val="nil"/>
              <w:bottom w:val="single" w:sz="4" w:space="0" w:color="auto"/>
              <w:right w:val="single" w:sz="4" w:space="0" w:color="auto"/>
            </w:tcBorders>
            <w:shd w:val="clear" w:color="auto" w:fill="C6EFCE"/>
            <w:noWrap/>
          </w:tcPr>
          <w:p w14:paraId="52C360D0"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2C65E028"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hideMark/>
          </w:tcPr>
          <w:p w14:paraId="5B553B2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94" w:type="dxa"/>
            <w:tcBorders>
              <w:top w:val="single" w:sz="4" w:space="0" w:color="auto"/>
              <w:left w:val="nil"/>
              <w:bottom w:val="single" w:sz="4" w:space="0" w:color="auto"/>
              <w:right w:val="single" w:sz="4" w:space="0" w:color="auto"/>
            </w:tcBorders>
            <w:shd w:val="clear" w:color="auto" w:fill="C6EFCE"/>
            <w:noWrap/>
            <w:hideMark/>
          </w:tcPr>
          <w:p w14:paraId="6FCAC16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715" w:type="dxa"/>
            <w:tcBorders>
              <w:top w:val="single" w:sz="4" w:space="0" w:color="auto"/>
              <w:left w:val="nil"/>
              <w:bottom w:val="single" w:sz="4" w:space="0" w:color="auto"/>
              <w:right w:val="single" w:sz="4" w:space="0" w:color="auto"/>
            </w:tcBorders>
            <w:shd w:val="clear" w:color="auto" w:fill="C6EFCE"/>
            <w:noWrap/>
          </w:tcPr>
          <w:p w14:paraId="506A406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Adoptarea Strategiei naționale privind economia circulară, care se bazează pe recomandările proiectului în curs privind Instrumentul de sprijin tehnic.</w:t>
            </w:r>
          </w:p>
          <w:p w14:paraId="1736251C"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Strategia va stabili norme pentru întregul ciclu de viață al produselor și va defini următoarele elemente-cheie:</w:t>
            </w:r>
          </w:p>
          <w:p w14:paraId="133A6DA7" w14:textId="77777777" w:rsidR="00647F09" w:rsidRPr="000A27B3" w:rsidRDefault="00647F09" w:rsidP="00647F09">
            <w:pPr>
              <w:pStyle w:val="ListParagraph"/>
              <w:numPr>
                <w:ilvl w:val="0"/>
                <w:numId w:val="8"/>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metode și instrumente de reglementare, financiare și de gestionare a informațiilor pentru a sprijini inițiativele circulare;</w:t>
            </w:r>
          </w:p>
          <w:p w14:paraId="438D6846" w14:textId="77777777" w:rsidR="00647F09" w:rsidRPr="000A27B3" w:rsidRDefault="00647F09" w:rsidP="00647F09">
            <w:pPr>
              <w:pStyle w:val="ListParagraph"/>
              <w:numPr>
                <w:ilvl w:val="0"/>
                <w:numId w:val="8"/>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identificarea sectoarelor care urmează să fie acoperite;</w:t>
            </w:r>
          </w:p>
          <w:p w14:paraId="22E61FA5" w14:textId="77777777" w:rsidR="00647F09" w:rsidRPr="000A27B3" w:rsidRDefault="00647F09" w:rsidP="00647F09">
            <w:pPr>
              <w:pStyle w:val="ListParagraph"/>
              <w:numPr>
                <w:ilvl w:val="0"/>
                <w:numId w:val="8"/>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revizuirea stimulentelor economice și de mediu în ceea ce privește deșeurile, astfel încât reciclarea să devină mai convenabilă decât depozitarea și incinerarea deșeurilor;</w:t>
            </w:r>
          </w:p>
          <w:p w14:paraId="7158CB17" w14:textId="77777777" w:rsidR="00647F09" w:rsidRPr="000A27B3" w:rsidRDefault="00647F09" w:rsidP="00647F09">
            <w:pPr>
              <w:pStyle w:val="ListParagraph"/>
              <w:numPr>
                <w:ilvl w:val="0"/>
                <w:numId w:val="8"/>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orientări privind utilizarea metodelor/instrumentelor financiare și de gestiune în sectoarele respective;</w:t>
            </w:r>
          </w:p>
          <w:p w14:paraId="76741C80" w14:textId="77777777" w:rsidR="00647F09" w:rsidRPr="000A27B3" w:rsidRDefault="00647F09" w:rsidP="00647F09">
            <w:pPr>
              <w:pStyle w:val="ListParagraph"/>
              <w:numPr>
                <w:ilvl w:val="0"/>
                <w:numId w:val="8"/>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 xml:space="preserve">cadrul de guvernanță pentru colaborarea dintre părțile interesate (autorități, mediul academic, sectorul privat, sectorul non-profit și cetățeni). </w:t>
            </w:r>
          </w:p>
          <w:p w14:paraId="5F76511C"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Strategia națională privind economia circulară va contribui în mod eficace la țintele UE privind reciclarea deșeurilor, în special în ceea ce privește reciclarea deșeurilor municipale și reducerea ratelor ridicate de depozitare a deșeurilor.</w:t>
            </w:r>
          </w:p>
        </w:tc>
      </w:tr>
      <w:tr w:rsidR="000A27B3" w:rsidRPr="000A27B3" w14:paraId="1DB0DF1D"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37D2961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44</w:t>
            </w:r>
          </w:p>
        </w:tc>
        <w:tc>
          <w:tcPr>
            <w:tcW w:w="1561" w:type="dxa"/>
            <w:tcBorders>
              <w:top w:val="nil"/>
              <w:left w:val="nil"/>
              <w:bottom w:val="single" w:sz="4" w:space="0" w:color="auto"/>
              <w:right w:val="single" w:sz="4" w:space="0" w:color="auto"/>
            </w:tcBorders>
            <w:shd w:val="clear" w:color="auto" w:fill="C6EFCE"/>
            <w:noWrap/>
            <w:hideMark/>
          </w:tcPr>
          <w:p w14:paraId="24D3F10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Îmbunătățirea guvernanței în domeniul gestionării deșeurilor în vederea accelerării tranziției către economia circulară. </w:t>
            </w:r>
          </w:p>
        </w:tc>
        <w:tc>
          <w:tcPr>
            <w:tcW w:w="1151" w:type="dxa"/>
            <w:tcBorders>
              <w:top w:val="nil"/>
              <w:left w:val="nil"/>
              <w:bottom w:val="single" w:sz="4" w:space="0" w:color="auto"/>
              <w:right w:val="single" w:sz="4" w:space="0" w:color="auto"/>
            </w:tcBorders>
            <w:shd w:val="clear" w:color="auto" w:fill="C6EFCE"/>
            <w:noWrap/>
            <w:hideMark/>
          </w:tcPr>
          <w:p w14:paraId="71D3689F"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490" w:type="dxa"/>
            <w:tcBorders>
              <w:top w:val="nil"/>
              <w:left w:val="nil"/>
              <w:bottom w:val="single" w:sz="4" w:space="0" w:color="auto"/>
              <w:right w:val="single" w:sz="4" w:space="0" w:color="auto"/>
            </w:tcBorders>
            <w:shd w:val="clear" w:color="auto" w:fill="C6EFCE"/>
            <w:noWrap/>
            <w:hideMark/>
          </w:tcPr>
          <w:p w14:paraId="566180F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planului de acțiune pentru strategia națională privind economia circulară</w:t>
            </w:r>
          </w:p>
        </w:tc>
        <w:tc>
          <w:tcPr>
            <w:tcW w:w="1625" w:type="dxa"/>
            <w:tcBorders>
              <w:top w:val="nil"/>
              <w:left w:val="nil"/>
              <w:bottom w:val="single" w:sz="4" w:space="0" w:color="auto"/>
              <w:right w:val="single" w:sz="4" w:space="0" w:color="auto"/>
            </w:tcBorders>
            <w:shd w:val="clear" w:color="auto" w:fill="C6EFCE"/>
            <w:noWrap/>
            <w:hideMark/>
          </w:tcPr>
          <w:p w14:paraId="759E530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planului de acțiune pentru Strategia națională privind economia circulară printr-o hotărâre a Guvernului României</w:t>
            </w:r>
          </w:p>
        </w:tc>
        <w:tc>
          <w:tcPr>
            <w:tcW w:w="1087" w:type="dxa"/>
            <w:tcBorders>
              <w:top w:val="nil"/>
              <w:left w:val="nil"/>
              <w:bottom w:val="single" w:sz="4" w:space="0" w:color="auto"/>
              <w:right w:val="single" w:sz="4" w:space="0" w:color="auto"/>
            </w:tcBorders>
            <w:shd w:val="clear" w:color="auto" w:fill="C6EFCE"/>
            <w:noWrap/>
          </w:tcPr>
          <w:p w14:paraId="55E4540A"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c>
          <w:tcPr>
            <w:tcW w:w="1127" w:type="dxa"/>
            <w:tcBorders>
              <w:top w:val="nil"/>
              <w:left w:val="nil"/>
              <w:bottom w:val="single" w:sz="4" w:space="0" w:color="auto"/>
              <w:right w:val="single" w:sz="4" w:space="0" w:color="auto"/>
            </w:tcBorders>
            <w:shd w:val="clear" w:color="auto" w:fill="C6EFCE"/>
            <w:noWrap/>
          </w:tcPr>
          <w:p w14:paraId="3378E078"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c>
          <w:tcPr>
            <w:tcW w:w="1200" w:type="dxa"/>
            <w:tcBorders>
              <w:top w:val="nil"/>
              <w:left w:val="nil"/>
              <w:bottom w:val="single" w:sz="4" w:space="0" w:color="auto"/>
              <w:right w:val="single" w:sz="4" w:space="0" w:color="auto"/>
            </w:tcBorders>
            <w:shd w:val="clear" w:color="auto" w:fill="C6EFCE"/>
            <w:noWrap/>
          </w:tcPr>
          <w:p w14:paraId="3F483775"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c>
          <w:tcPr>
            <w:tcW w:w="960" w:type="dxa"/>
            <w:tcBorders>
              <w:top w:val="nil"/>
              <w:left w:val="nil"/>
              <w:bottom w:val="single" w:sz="4" w:space="0" w:color="auto"/>
              <w:right w:val="single" w:sz="4" w:space="0" w:color="auto"/>
            </w:tcBorders>
            <w:shd w:val="clear" w:color="auto" w:fill="C6EFCE"/>
            <w:noWrap/>
            <w:hideMark/>
          </w:tcPr>
          <w:p w14:paraId="5084518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94" w:type="dxa"/>
            <w:tcBorders>
              <w:top w:val="nil"/>
              <w:left w:val="nil"/>
              <w:bottom w:val="single" w:sz="4" w:space="0" w:color="auto"/>
              <w:right w:val="single" w:sz="4" w:space="0" w:color="auto"/>
            </w:tcBorders>
            <w:shd w:val="clear" w:color="auto" w:fill="C6EFCE"/>
            <w:noWrap/>
            <w:hideMark/>
          </w:tcPr>
          <w:p w14:paraId="7F379F1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715" w:type="dxa"/>
            <w:tcBorders>
              <w:top w:val="nil"/>
              <w:left w:val="nil"/>
              <w:bottom w:val="single" w:sz="4" w:space="0" w:color="auto"/>
              <w:right w:val="single" w:sz="4" w:space="0" w:color="auto"/>
            </w:tcBorders>
            <w:shd w:val="clear" w:color="auto" w:fill="C6EFCE"/>
            <w:noWrap/>
          </w:tcPr>
          <w:p w14:paraId="13DE743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Planul de acțiune va defini principalele etape de implementare a strategiei adoptate conform jalonului 43, autoritățile responsabile și un calendar obligatoriu pentru acțiunile identificate, pe baza recomandărilor care urmează să fie formulate de experți în cadrul proiectului privind Instrumentul de sprijin tehnic.</w:t>
            </w:r>
          </w:p>
          <w:p w14:paraId="581E4E5B"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Planul include un sistem adecvat de monitorizare a implementării și instrumente corective pentru a asigura realizarea acțiunilor-cheie planificate.</w:t>
            </w:r>
          </w:p>
        </w:tc>
      </w:tr>
      <w:tr w:rsidR="000A27B3" w:rsidRPr="000A27B3" w14:paraId="4D6F7CF6"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256C1E2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45</w:t>
            </w:r>
          </w:p>
        </w:tc>
        <w:tc>
          <w:tcPr>
            <w:tcW w:w="1561" w:type="dxa"/>
            <w:tcBorders>
              <w:top w:val="nil"/>
              <w:left w:val="nil"/>
              <w:bottom w:val="single" w:sz="4" w:space="0" w:color="auto"/>
              <w:right w:val="single" w:sz="4" w:space="0" w:color="auto"/>
            </w:tcBorders>
            <w:shd w:val="clear" w:color="auto" w:fill="C6EFCE"/>
            <w:noWrap/>
            <w:hideMark/>
          </w:tcPr>
          <w:p w14:paraId="3FCD5DA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guvernanței în domeniul gestionării deșeurilor în vederea accelerării tranziției către economia circulară.</w:t>
            </w:r>
          </w:p>
        </w:tc>
        <w:tc>
          <w:tcPr>
            <w:tcW w:w="1151" w:type="dxa"/>
            <w:tcBorders>
              <w:top w:val="nil"/>
              <w:left w:val="nil"/>
              <w:bottom w:val="single" w:sz="4" w:space="0" w:color="auto"/>
              <w:right w:val="single" w:sz="4" w:space="0" w:color="auto"/>
            </w:tcBorders>
            <w:shd w:val="clear" w:color="auto" w:fill="C6EFCE"/>
            <w:noWrap/>
            <w:hideMark/>
          </w:tcPr>
          <w:p w14:paraId="448E1B25"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490" w:type="dxa"/>
            <w:tcBorders>
              <w:top w:val="nil"/>
              <w:left w:val="nil"/>
              <w:bottom w:val="single" w:sz="4" w:space="0" w:color="auto"/>
              <w:right w:val="single" w:sz="4" w:space="0" w:color="auto"/>
            </w:tcBorders>
            <w:shd w:val="clear" w:color="auto" w:fill="C6EFCE"/>
            <w:noWrap/>
            <w:hideMark/>
          </w:tcPr>
          <w:p w14:paraId="1AB4279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Implementarea acțiunilor prevăzute în Strategia națională privind economia circulară și în planul de acțiune conex, atribuite autorităților publice</w:t>
            </w:r>
          </w:p>
        </w:tc>
        <w:tc>
          <w:tcPr>
            <w:tcW w:w="1625" w:type="dxa"/>
            <w:tcBorders>
              <w:top w:val="single" w:sz="4" w:space="0" w:color="auto"/>
              <w:left w:val="single" w:sz="4" w:space="0" w:color="auto"/>
              <w:bottom w:val="single" w:sz="4" w:space="0" w:color="auto"/>
              <w:right w:val="single" w:sz="4" w:space="0" w:color="auto"/>
            </w:tcBorders>
            <w:shd w:val="clear" w:color="auto" w:fill="C6EFCE"/>
            <w:noWrap/>
            <w:hideMark/>
          </w:tcPr>
          <w:p w14:paraId="0C60B5B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acțiunilor prevăzute în Strategia națională privind economia circulară și în planul de acțiune conex, atribuite autorităților publice </w:t>
            </w:r>
          </w:p>
        </w:tc>
        <w:tc>
          <w:tcPr>
            <w:tcW w:w="1087" w:type="dxa"/>
            <w:tcBorders>
              <w:top w:val="single" w:sz="4" w:space="0" w:color="auto"/>
              <w:left w:val="single" w:sz="4" w:space="0" w:color="auto"/>
              <w:bottom w:val="single" w:sz="4" w:space="0" w:color="auto"/>
              <w:right w:val="single" w:sz="4" w:space="0" w:color="auto"/>
            </w:tcBorders>
            <w:shd w:val="clear" w:color="auto" w:fill="C6EFCE"/>
            <w:noWrap/>
          </w:tcPr>
          <w:p w14:paraId="7526D9E1"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127" w:type="dxa"/>
            <w:tcBorders>
              <w:top w:val="single" w:sz="4" w:space="0" w:color="auto"/>
              <w:left w:val="single" w:sz="4" w:space="0" w:color="auto"/>
              <w:bottom w:val="single" w:sz="4" w:space="0" w:color="auto"/>
              <w:right w:val="single" w:sz="4" w:space="0" w:color="auto"/>
            </w:tcBorders>
            <w:shd w:val="clear" w:color="auto" w:fill="C6EFCE"/>
            <w:noWrap/>
          </w:tcPr>
          <w:p w14:paraId="6E818EBD"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7B4DC831"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7205F06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68E5130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single" w:sz="4" w:space="0" w:color="auto"/>
              <w:left w:val="single" w:sz="4" w:space="0" w:color="auto"/>
              <w:bottom w:val="single" w:sz="4" w:space="0" w:color="auto"/>
              <w:right w:val="single" w:sz="4" w:space="0" w:color="auto"/>
            </w:tcBorders>
            <w:shd w:val="clear" w:color="auto" w:fill="C6EFCE"/>
            <w:noWrap/>
          </w:tcPr>
          <w:p w14:paraId="37172159" w14:textId="07DA78DC"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Finalizarea implementării tuturor acțiunilor prevăzute în Strategia națională privind economia circulară și în planul de acțiune conex și atribuite autorităților publice în perioada T3 2023 - T1 2026. </w:t>
            </w:r>
          </w:p>
          <w:p w14:paraId="0D672336" w14:textId="77777777" w:rsidR="00647F09" w:rsidRPr="009F1DC7" w:rsidRDefault="00647F09">
            <w:pPr>
              <w:spacing w:after="0" w:line="240" w:lineRule="auto"/>
              <w:jc w:val="both"/>
              <w:rPr>
                <w:rFonts w:ascii="Times New Roman" w:hAnsi="Times New Roman" w:cs="Times New Roman"/>
                <w:noProof/>
                <w:sz w:val="24"/>
                <w:szCs w:val="24"/>
              </w:rPr>
            </w:pPr>
          </w:p>
          <w:p w14:paraId="48BE73DB"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r>
      <w:tr w:rsidR="000A27B3" w:rsidRPr="000A27B3" w14:paraId="2814059D"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4919D27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46</w:t>
            </w:r>
          </w:p>
        </w:tc>
        <w:tc>
          <w:tcPr>
            <w:tcW w:w="1561" w:type="dxa"/>
            <w:tcBorders>
              <w:top w:val="nil"/>
              <w:left w:val="nil"/>
              <w:bottom w:val="single" w:sz="4" w:space="0" w:color="auto"/>
              <w:right w:val="single" w:sz="4" w:space="0" w:color="auto"/>
            </w:tcBorders>
            <w:shd w:val="clear" w:color="auto" w:fill="C6EFCE"/>
            <w:noWrap/>
            <w:hideMark/>
          </w:tcPr>
          <w:p w14:paraId="7EACFF8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guvernanței în domeniul gestionării deșeurilor în vederea accelerării tranziției către economia circulară.</w:t>
            </w:r>
          </w:p>
        </w:tc>
        <w:tc>
          <w:tcPr>
            <w:tcW w:w="1151" w:type="dxa"/>
            <w:tcBorders>
              <w:top w:val="nil"/>
              <w:left w:val="nil"/>
              <w:bottom w:val="single" w:sz="4" w:space="0" w:color="auto"/>
              <w:right w:val="single" w:sz="4" w:space="0" w:color="auto"/>
            </w:tcBorders>
            <w:shd w:val="clear" w:color="auto" w:fill="C6EFCE"/>
            <w:noWrap/>
            <w:hideMark/>
          </w:tcPr>
          <w:p w14:paraId="4DD4542F"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490" w:type="dxa"/>
            <w:tcBorders>
              <w:top w:val="nil"/>
              <w:left w:val="nil"/>
              <w:bottom w:val="single" w:sz="4" w:space="0" w:color="auto"/>
              <w:right w:val="single" w:sz="4" w:space="0" w:color="auto"/>
            </w:tcBorders>
            <w:shd w:val="clear" w:color="auto" w:fill="C6EFCE"/>
            <w:noWrap/>
            <w:hideMark/>
          </w:tcPr>
          <w:p w14:paraId="65AE5D1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actelor normative necesare pentru operaționalizarea gestionării unitare a deșeurilor în conformitate cu Planul național de gestionare a deșeurilor</w:t>
            </w:r>
          </w:p>
        </w:tc>
        <w:tc>
          <w:tcPr>
            <w:tcW w:w="1625" w:type="dxa"/>
            <w:tcBorders>
              <w:top w:val="single" w:sz="4" w:space="0" w:color="auto"/>
              <w:left w:val="nil"/>
              <w:bottom w:val="single" w:sz="4" w:space="0" w:color="auto"/>
              <w:right w:val="single" w:sz="4" w:space="0" w:color="auto"/>
            </w:tcBorders>
            <w:shd w:val="clear" w:color="auto" w:fill="C6EFCE"/>
            <w:noWrap/>
            <w:hideMark/>
          </w:tcPr>
          <w:p w14:paraId="6D357F1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actelor normative pentru practica de gestionare a deșeurilor</w:t>
            </w:r>
          </w:p>
        </w:tc>
        <w:tc>
          <w:tcPr>
            <w:tcW w:w="1087" w:type="dxa"/>
            <w:tcBorders>
              <w:top w:val="single" w:sz="4" w:space="0" w:color="auto"/>
              <w:left w:val="nil"/>
              <w:bottom w:val="single" w:sz="4" w:space="0" w:color="auto"/>
              <w:right w:val="single" w:sz="4" w:space="0" w:color="auto"/>
            </w:tcBorders>
            <w:shd w:val="clear" w:color="auto" w:fill="C6EFCE"/>
            <w:noWrap/>
          </w:tcPr>
          <w:p w14:paraId="385A53E0"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127" w:type="dxa"/>
            <w:tcBorders>
              <w:top w:val="single" w:sz="4" w:space="0" w:color="auto"/>
              <w:left w:val="nil"/>
              <w:bottom w:val="single" w:sz="4" w:space="0" w:color="auto"/>
              <w:right w:val="single" w:sz="4" w:space="0" w:color="auto"/>
            </w:tcBorders>
            <w:shd w:val="clear" w:color="auto" w:fill="C6EFCE"/>
            <w:noWrap/>
          </w:tcPr>
          <w:p w14:paraId="7C509834"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3AEC0F4F"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hideMark/>
          </w:tcPr>
          <w:p w14:paraId="0D140C7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94" w:type="dxa"/>
            <w:tcBorders>
              <w:top w:val="single" w:sz="4" w:space="0" w:color="auto"/>
              <w:left w:val="nil"/>
              <w:bottom w:val="single" w:sz="4" w:space="0" w:color="auto"/>
              <w:right w:val="single" w:sz="4" w:space="0" w:color="auto"/>
            </w:tcBorders>
            <w:shd w:val="clear" w:color="auto" w:fill="C6EFCE"/>
            <w:noWrap/>
            <w:hideMark/>
          </w:tcPr>
          <w:p w14:paraId="552EDEA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715" w:type="dxa"/>
            <w:tcBorders>
              <w:top w:val="single" w:sz="4" w:space="0" w:color="auto"/>
              <w:left w:val="nil"/>
              <w:bottom w:val="single" w:sz="4" w:space="0" w:color="auto"/>
              <w:right w:val="single" w:sz="4" w:space="0" w:color="auto"/>
            </w:tcBorders>
            <w:shd w:val="clear" w:color="auto" w:fill="C6EFCE"/>
            <w:noWrap/>
          </w:tcPr>
          <w:p w14:paraId="021FEFE8" w14:textId="402F867A"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actelor normative necesare pentru consolidarea gestionării conforme a deșeurilor în România, în special prin măsurile de guvernanță privind gestionarea deșeurilor municipale din Planul național de gestionare a deșeurilor, în vederea atingerii obiectivelor în materie de gestionare a deșeurilor din Directiva-cadru a UE privind deșeurile. </w:t>
            </w:r>
          </w:p>
          <w:p w14:paraId="1E433ED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Vor intra în vigoare următoarele acte normative:</w:t>
            </w:r>
          </w:p>
          <w:p w14:paraId="14CEBAB7" w14:textId="2C3BB8D3"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 Ordonanța privind regimul deșeurilor, care</w:t>
            </w:r>
            <w:r w:rsidR="004C4C72">
              <w:rPr>
                <w:rFonts w:ascii="Times New Roman" w:hAnsi="Times New Roman"/>
                <w:noProof/>
                <w:sz w:val="24"/>
              </w:rPr>
              <w:t xml:space="preserve"> </w:t>
            </w:r>
          </w:p>
          <w:p w14:paraId="59DDCB95" w14:textId="079E7E3D"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va reglementa răspunderea extinsă a producătorilor în conformitate cu Directiva-cadru privind deșeurile. Ordonanța va introduce, de asemenea, sancțiuni aspre pentru a descuraja depozitarea ilegală, deversarea deșeurilor și arderea în aer liber. </w:t>
            </w:r>
          </w:p>
          <w:p w14:paraId="2CD7E97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 Ordonanța de modificare a Legii nr. 101/2006 (Legea serviciului de salubrizare a localităților). </w:t>
            </w:r>
          </w:p>
          <w:p w14:paraId="72239DD7"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3. Modificarea Ordinului nr. 109/2007 al Autorității Naționale de Reglementare pentru Serviciile Comunitare de Utilități Publice (ANRSC) privind metodologia tarifelor de salubrizare.</w:t>
            </w:r>
          </w:p>
          <w:p w14:paraId="5B6B42B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Ordonanța (nr. 2) și Ordinul ANRSC modificat (nr. 3) vor reglementa: </w:t>
            </w:r>
          </w:p>
          <w:p w14:paraId="3CEBE310" w14:textId="77777777" w:rsidR="00647F09" w:rsidRPr="000A27B3" w:rsidRDefault="00647F09" w:rsidP="00647F09">
            <w:pPr>
              <w:pStyle w:val="ListParagraph"/>
              <w:numPr>
                <w:ilvl w:val="0"/>
                <w:numId w:val="9"/>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operaționalizarea deplină a instrumentelor economice (plata în funcție de cantitatea de deșeuri produsă, taxa de depozitare a deșeurilor și răspunderea extinsă a producătorilor);</w:t>
            </w:r>
          </w:p>
          <w:p w14:paraId="4072C291" w14:textId="77777777" w:rsidR="00647F09" w:rsidRPr="000A27B3" w:rsidRDefault="00647F09" w:rsidP="00647F09">
            <w:pPr>
              <w:pStyle w:val="ListParagraph"/>
              <w:numPr>
                <w:ilvl w:val="0"/>
                <w:numId w:val="9"/>
              </w:numPr>
              <w:spacing w:after="0" w:line="240" w:lineRule="auto"/>
              <w:ind w:left="165" w:hanging="141"/>
              <w:jc w:val="both"/>
              <w:rPr>
                <w:rFonts w:ascii="Times New Roman" w:hAnsi="Times New Roman" w:cs="Times New Roman"/>
                <w:noProof/>
                <w:sz w:val="24"/>
                <w:szCs w:val="24"/>
              </w:rPr>
            </w:pPr>
            <w:r>
              <w:rPr>
                <w:rFonts w:ascii="Times New Roman" w:hAnsi="Times New Roman"/>
                <w:noProof/>
                <w:sz w:val="24"/>
              </w:rPr>
              <w:t>rolul Autorității Naționale de Reglementare pentru Serviciile Comunitare de Utilități Publice în calitate de autoritate națională de reglementare a politicii tarifare pentru deșeurile municipale;</w:t>
            </w:r>
          </w:p>
          <w:p w14:paraId="0D9F01C8" w14:textId="77777777" w:rsidR="00647F09" w:rsidRPr="000A27B3" w:rsidRDefault="00647F09" w:rsidP="00647F09">
            <w:pPr>
              <w:pStyle w:val="ListParagraph"/>
              <w:numPr>
                <w:ilvl w:val="0"/>
                <w:numId w:val="9"/>
              </w:numPr>
              <w:spacing w:after="0" w:line="240" w:lineRule="auto"/>
              <w:ind w:left="165" w:hanging="141"/>
              <w:jc w:val="both"/>
              <w:rPr>
                <w:rFonts w:ascii="Times New Roman" w:eastAsia="Times New Roman" w:hAnsi="Times New Roman" w:cs="Times New Roman"/>
                <w:noProof/>
                <w:sz w:val="24"/>
                <w:szCs w:val="24"/>
              </w:rPr>
            </w:pPr>
            <w:r>
              <w:rPr>
                <w:rFonts w:ascii="Times New Roman" w:hAnsi="Times New Roman"/>
                <w:noProof/>
                <w:sz w:val="24"/>
              </w:rPr>
              <w:t>responsabilitățile financiare ale asociațiilor de dezvoltare intercomunitară în ceea ce privește proiectele legate de sistemele de management integrat al deșeurilor.</w:t>
            </w:r>
          </w:p>
        </w:tc>
      </w:tr>
      <w:tr w:rsidR="000A27B3" w:rsidRPr="000A27B3" w14:paraId="46C82331"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2328151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47</w:t>
            </w:r>
          </w:p>
          <w:p w14:paraId="53BE61B5"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561" w:type="dxa"/>
            <w:tcBorders>
              <w:top w:val="nil"/>
              <w:left w:val="nil"/>
              <w:bottom w:val="single" w:sz="4" w:space="0" w:color="auto"/>
              <w:right w:val="single" w:sz="4" w:space="0" w:color="auto"/>
            </w:tcBorders>
            <w:shd w:val="clear" w:color="auto" w:fill="C6EFCE"/>
            <w:noWrap/>
            <w:hideMark/>
          </w:tcPr>
          <w:p w14:paraId="49B73FB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guvernanței în domeniul gestionării deșeurilor în vederea accelerării tranziției către economia circulară.</w:t>
            </w:r>
          </w:p>
        </w:tc>
        <w:tc>
          <w:tcPr>
            <w:tcW w:w="1151" w:type="dxa"/>
            <w:tcBorders>
              <w:top w:val="nil"/>
              <w:left w:val="nil"/>
              <w:bottom w:val="single" w:sz="4" w:space="0" w:color="auto"/>
              <w:right w:val="single" w:sz="4" w:space="0" w:color="auto"/>
            </w:tcBorders>
            <w:shd w:val="clear" w:color="auto" w:fill="C6EFCE"/>
            <w:noWrap/>
            <w:hideMark/>
          </w:tcPr>
          <w:p w14:paraId="1614E71E"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tcPr>
          <w:p w14:paraId="3AF318E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Contribuția cu 4,5 % la ținta națională de reciclare și pregătire pentru reutilizare de 50 % până în 2025</w:t>
            </w:r>
          </w:p>
          <w:p w14:paraId="1B0E454F" w14:textId="77777777" w:rsidR="00647F09" w:rsidRPr="009F1DC7" w:rsidRDefault="00647F09">
            <w:pPr>
              <w:spacing w:after="0" w:line="240" w:lineRule="auto"/>
              <w:jc w:val="both"/>
              <w:rPr>
                <w:rFonts w:ascii="Times New Roman" w:hAnsi="Times New Roman" w:cs="Times New Roman"/>
                <w:noProof/>
                <w:sz w:val="24"/>
                <w:szCs w:val="24"/>
                <w:lang w:val="fr-FR"/>
              </w:rPr>
            </w:pPr>
          </w:p>
          <w:p w14:paraId="0D85ABD0"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625" w:type="dxa"/>
            <w:tcBorders>
              <w:top w:val="nil"/>
              <w:left w:val="nil"/>
              <w:bottom w:val="single" w:sz="4" w:space="0" w:color="auto"/>
              <w:right w:val="single" w:sz="4" w:space="0" w:color="auto"/>
            </w:tcBorders>
            <w:shd w:val="clear" w:color="auto" w:fill="C6EFCE"/>
            <w:noWrap/>
            <w:hideMark/>
          </w:tcPr>
          <w:p w14:paraId="5C1D024F" w14:textId="2E6FDF2B"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Contribuția cu 4,5 % la ținta națională de reciclare și pregătire pentru reutilizare de 50 % </w:t>
            </w:r>
          </w:p>
        </w:tc>
        <w:tc>
          <w:tcPr>
            <w:tcW w:w="1087" w:type="dxa"/>
            <w:tcBorders>
              <w:top w:val="single" w:sz="4" w:space="0" w:color="auto"/>
              <w:left w:val="single" w:sz="4" w:space="0" w:color="auto"/>
              <w:bottom w:val="single" w:sz="4" w:space="0" w:color="auto"/>
              <w:right w:val="single" w:sz="4" w:space="0" w:color="auto"/>
            </w:tcBorders>
            <w:shd w:val="clear" w:color="auto" w:fill="C6EFCE"/>
            <w:noWrap/>
          </w:tcPr>
          <w:p w14:paraId="5FEE6FEE"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127" w:type="dxa"/>
            <w:tcBorders>
              <w:top w:val="single" w:sz="4" w:space="0" w:color="auto"/>
              <w:left w:val="single" w:sz="4" w:space="0" w:color="auto"/>
              <w:bottom w:val="single" w:sz="4" w:space="0" w:color="auto"/>
              <w:right w:val="single" w:sz="4" w:space="0" w:color="auto"/>
            </w:tcBorders>
            <w:shd w:val="clear" w:color="auto" w:fill="C6EFCE"/>
            <w:noWrap/>
          </w:tcPr>
          <w:p w14:paraId="5948F87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45,5</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5F71DD5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50</w:t>
            </w: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2E45AEE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425361E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nil"/>
              <w:left w:val="single" w:sz="4" w:space="0" w:color="auto"/>
              <w:bottom w:val="single" w:sz="4" w:space="0" w:color="auto"/>
              <w:right w:val="single" w:sz="4" w:space="0" w:color="auto"/>
            </w:tcBorders>
            <w:shd w:val="clear" w:color="auto" w:fill="C6EFCE"/>
            <w:noWrap/>
            <w:hideMark/>
          </w:tcPr>
          <w:p w14:paraId="13E0C007" w14:textId="5B44FD0E"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O contribuție de 4,5 puncte procentuale a investițiilor din Planul Național de Redresare și Reziliență în gestionarea deșeurilor municipale la ținta națională de atingere a ratei de 50</w:t>
            </w:r>
            <w:r w:rsidR="008F1E27">
              <w:rPr>
                <w:rFonts w:ascii="Times New Roman" w:hAnsi="Times New Roman"/>
                <w:noProof/>
                <w:sz w:val="24"/>
              </w:rPr>
              <w:t> </w:t>
            </w:r>
            <w:r>
              <w:rPr>
                <w:rFonts w:ascii="Times New Roman" w:hAnsi="Times New Roman"/>
                <w:noProof/>
                <w:sz w:val="24"/>
              </w:rPr>
              <w:t>% de reciclare și pregătire pentru reutilizare a deșeurilor municipale până în 2025, astfel cum este definită în Directiva-cadru privind deșeurile [Directiva 2008/98/CE modificată prin Directiva (UE) 2018/851] și în Decizia 2011/753/UE a Comisiei din 18 noiembrie 2011de stabilire a normelor și a metodelor de calcul pentru verificarea respectării obiectivelor fixate la articolul 11 alineatul (2) din Directiva 2008/98/CE.</w:t>
            </w:r>
          </w:p>
          <w:p w14:paraId="30339AD8"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Contribuția se calculează pe baza volumelor de deșeuri municipale provenite din infrastructuri sprijinite de Planul Național de Redresare și Reziliență care vor fi reciclate în 2025. Contribuția se calculează în raport cu ținta națională de reciclare și pregătire pentru reutilizare de 50 % stabilită pentru 2025.</w:t>
            </w:r>
          </w:p>
        </w:tc>
      </w:tr>
      <w:tr w:rsidR="000A27B3" w:rsidRPr="000A27B3" w14:paraId="05912F76"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06FAD6A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48</w:t>
            </w:r>
          </w:p>
        </w:tc>
        <w:tc>
          <w:tcPr>
            <w:tcW w:w="1561" w:type="dxa"/>
            <w:tcBorders>
              <w:top w:val="nil"/>
              <w:left w:val="nil"/>
              <w:bottom w:val="single" w:sz="4" w:space="0" w:color="auto"/>
              <w:right w:val="single" w:sz="4" w:space="0" w:color="auto"/>
            </w:tcBorders>
            <w:shd w:val="clear" w:color="auto" w:fill="C6EFCE"/>
            <w:noWrap/>
            <w:hideMark/>
          </w:tcPr>
          <w:p w14:paraId="6009CC4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1.a Înființarea de centre de colectare cu aport voluntar</w:t>
            </w:r>
          </w:p>
        </w:tc>
        <w:tc>
          <w:tcPr>
            <w:tcW w:w="1151" w:type="dxa"/>
            <w:tcBorders>
              <w:top w:val="nil"/>
              <w:left w:val="nil"/>
              <w:bottom w:val="single" w:sz="4" w:space="0" w:color="auto"/>
              <w:right w:val="single" w:sz="4" w:space="0" w:color="auto"/>
            </w:tcBorders>
            <w:shd w:val="clear" w:color="auto" w:fill="C6EFCE"/>
            <w:noWrap/>
            <w:hideMark/>
          </w:tcPr>
          <w:p w14:paraId="72EF03E1"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5674B62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Centrele de colectare cu aport voluntar sunt înființate și operaționale</w:t>
            </w:r>
          </w:p>
        </w:tc>
        <w:tc>
          <w:tcPr>
            <w:tcW w:w="1625" w:type="dxa"/>
            <w:tcBorders>
              <w:top w:val="nil"/>
              <w:left w:val="nil"/>
              <w:bottom w:val="single" w:sz="4" w:space="0" w:color="auto"/>
              <w:right w:val="single" w:sz="4" w:space="0" w:color="auto"/>
            </w:tcBorders>
            <w:shd w:val="clear" w:color="auto" w:fill="C6EFCE"/>
            <w:noWrap/>
          </w:tcPr>
          <w:p w14:paraId="567C5007"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7A170B4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nil"/>
              <w:bottom w:val="single" w:sz="4" w:space="0" w:color="auto"/>
              <w:right w:val="single" w:sz="4" w:space="0" w:color="auto"/>
            </w:tcBorders>
            <w:shd w:val="clear" w:color="auto" w:fill="C6EFCE"/>
            <w:noWrap/>
            <w:hideMark/>
          </w:tcPr>
          <w:p w14:paraId="6118DB3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hideMark/>
          </w:tcPr>
          <w:p w14:paraId="119DC16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250</w:t>
            </w:r>
          </w:p>
        </w:tc>
        <w:tc>
          <w:tcPr>
            <w:tcW w:w="960" w:type="dxa"/>
            <w:tcBorders>
              <w:top w:val="single" w:sz="4" w:space="0" w:color="auto"/>
              <w:left w:val="nil"/>
              <w:bottom w:val="single" w:sz="4" w:space="0" w:color="auto"/>
              <w:right w:val="single" w:sz="4" w:space="0" w:color="auto"/>
            </w:tcBorders>
            <w:shd w:val="clear" w:color="auto" w:fill="C6EFCE"/>
            <w:noWrap/>
            <w:hideMark/>
          </w:tcPr>
          <w:p w14:paraId="6C10E3F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94" w:type="dxa"/>
            <w:tcBorders>
              <w:top w:val="single" w:sz="4" w:space="0" w:color="auto"/>
              <w:left w:val="nil"/>
              <w:bottom w:val="single" w:sz="4" w:space="0" w:color="auto"/>
              <w:right w:val="single" w:sz="4" w:space="0" w:color="auto"/>
            </w:tcBorders>
            <w:shd w:val="clear" w:color="auto" w:fill="C6EFCE"/>
            <w:noWrap/>
            <w:hideMark/>
          </w:tcPr>
          <w:p w14:paraId="5F06048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715" w:type="dxa"/>
            <w:tcBorders>
              <w:top w:val="nil"/>
              <w:left w:val="nil"/>
              <w:bottom w:val="single" w:sz="4" w:space="0" w:color="auto"/>
              <w:right w:val="single" w:sz="4" w:space="0" w:color="auto"/>
            </w:tcBorders>
            <w:shd w:val="clear" w:color="auto" w:fill="C6EFCE"/>
            <w:noWrap/>
          </w:tcPr>
          <w:p w14:paraId="04E940E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250 de centre de colectare cu aport voluntar înființate și operaționale, în conformitate cu Planul național de gestionare a deșeurilor/planurile județene de gestionare a deșeurilor și cu Planul de gestionare a deșeurilor din Municipiul București. </w:t>
            </w:r>
          </w:p>
          <w:p w14:paraId="036BDA27" w14:textId="1DE13C0A"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Centrele de colectare cu aport voluntar vor deservi comunități de până la 50 000 de locuitori. </w:t>
            </w:r>
          </w:p>
          <w:p w14:paraId="5B9CC3C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Centrele vor asigura colectarea separată a deșeurilor menajere care nu pot fi colectate într-un sistem de tipul „din ușă în ușă”, respectiv a deșeurilor reciclabile și a biodeșeurilor care nu pot fi colectate în pubele individuale, precum și a fluxurilor speciale de deșeuri (deșeuri voluminoase, deșeuri de echipamente electrice și electronice, baterii uzate, deșeuri periculoase, deșeuri provenite din activități de construcție și demolări). </w:t>
            </w:r>
          </w:p>
          <w:p w14:paraId="280FEA03"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Pentru a se asigura conformitatea măsurii cu Orientările tehnice privind aplicarea principiului de „a nu aduce prejudicii semnificative” (2021/C58/01), vehiculele achiziționate în cadrul acestei măsuri trebuie să fie echipate cu cea mai bună tehnologie disponibilă din punctul de vedere al respectării mediului.</w:t>
            </w:r>
          </w:p>
        </w:tc>
      </w:tr>
      <w:tr w:rsidR="000A27B3" w:rsidRPr="000A27B3" w14:paraId="3DA94903"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2DD6887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49</w:t>
            </w:r>
          </w:p>
        </w:tc>
        <w:tc>
          <w:tcPr>
            <w:tcW w:w="1561" w:type="dxa"/>
            <w:tcBorders>
              <w:top w:val="nil"/>
              <w:left w:val="nil"/>
              <w:bottom w:val="single" w:sz="4" w:space="0" w:color="auto"/>
              <w:right w:val="single" w:sz="4" w:space="0" w:color="auto"/>
            </w:tcBorders>
            <w:shd w:val="clear" w:color="auto" w:fill="C6EFCE"/>
            <w:noWrap/>
            <w:hideMark/>
          </w:tcPr>
          <w:p w14:paraId="1A3D81A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1.a Înființarea de centre de colectare cu aport voluntar</w:t>
            </w:r>
          </w:p>
        </w:tc>
        <w:tc>
          <w:tcPr>
            <w:tcW w:w="1151" w:type="dxa"/>
            <w:tcBorders>
              <w:top w:val="nil"/>
              <w:left w:val="nil"/>
              <w:bottom w:val="single" w:sz="4" w:space="0" w:color="auto"/>
              <w:right w:val="single" w:sz="4" w:space="0" w:color="auto"/>
            </w:tcBorders>
            <w:shd w:val="clear" w:color="auto" w:fill="C6EFCE"/>
            <w:noWrap/>
            <w:hideMark/>
          </w:tcPr>
          <w:p w14:paraId="44A42116"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67962A06" w14:textId="77777777" w:rsidR="00647F09" w:rsidRPr="000A27B3" w:rsidRDefault="00647F09">
            <w:pPr>
              <w:spacing w:after="0" w:line="240" w:lineRule="auto"/>
              <w:jc w:val="both"/>
              <w:rPr>
                <w:rFonts w:ascii="Times New Roman" w:hAnsi="Times New Roman" w:cs="Times New Roman"/>
                <w:noProof/>
                <w:sz w:val="24"/>
              </w:rPr>
            </w:pPr>
            <w:r>
              <w:rPr>
                <w:rFonts w:ascii="Times New Roman" w:hAnsi="Times New Roman"/>
                <w:noProof/>
                <w:sz w:val="24"/>
              </w:rPr>
              <w:t>Centrele de colectare cu aport voluntar sunt înființate și operaționale</w:t>
            </w:r>
          </w:p>
          <w:p w14:paraId="06D70AA4" w14:textId="77777777" w:rsidR="00647F09" w:rsidRPr="009F1DC7" w:rsidRDefault="00647F09">
            <w:pPr>
              <w:spacing w:after="0" w:line="240" w:lineRule="auto"/>
              <w:jc w:val="both"/>
              <w:rPr>
                <w:rFonts w:ascii="Times New Roman" w:eastAsia="Times New Roman" w:hAnsi="Times New Roman" w:cs="Times New Roman"/>
                <w:noProof/>
                <w:sz w:val="24"/>
                <w:lang w:val="fr-FR" w:eastAsia="en-GB"/>
              </w:rPr>
            </w:pPr>
          </w:p>
        </w:tc>
        <w:tc>
          <w:tcPr>
            <w:tcW w:w="1625" w:type="dxa"/>
            <w:tcBorders>
              <w:top w:val="nil"/>
              <w:left w:val="nil"/>
              <w:bottom w:val="single" w:sz="4" w:space="0" w:color="auto"/>
              <w:right w:val="single" w:sz="4" w:space="0" w:color="auto"/>
            </w:tcBorders>
            <w:shd w:val="clear" w:color="auto" w:fill="C6EFCE"/>
            <w:noWrap/>
          </w:tcPr>
          <w:p w14:paraId="02BFDC9F"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157F653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single" w:sz="4" w:space="0" w:color="auto"/>
              <w:bottom w:val="single" w:sz="4" w:space="0" w:color="auto"/>
              <w:right w:val="single" w:sz="4" w:space="0" w:color="auto"/>
            </w:tcBorders>
            <w:shd w:val="clear" w:color="auto" w:fill="C6EFCE"/>
            <w:noWrap/>
            <w:hideMark/>
          </w:tcPr>
          <w:p w14:paraId="535B350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250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hideMark/>
          </w:tcPr>
          <w:p w14:paraId="6D0DCE3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565</w:t>
            </w: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45AD062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19D298E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nil"/>
              <w:left w:val="single" w:sz="4" w:space="0" w:color="auto"/>
              <w:bottom w:val="single" w:sz="4" w:space="0" w:color="auto"/>
              <w:right w:val="single" w:sz="4" w:space="0" w:color="auto"/>
            </w:tcBorders>
            <w:shd w:val="clear" w:color="auto" w:fill="C6EFCE"/>
            <w:noWrap/>
          </w:tcPr>
          <w:p w14:paraId="3F41BF3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565 de centre de colectare cu aport voluntar înființate și operaționale, în conformitate cu Planul național de gestionare a deșeurilor/planurile județene de gestionare a deșeurilor și cu Planul de gestionare a deșeurilor din Municipiul București.</w:t>
            </w:r>
          </w:p>
          <w:p w14:paraId="5851C29A" w14:textId="68EF4255"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Centrele de colectare cu aport voluntar vor deservi comunități de până la 50 000 de locuitori. </w:t>
            </w:r>
          </w:p>
          <w:p w14:paraId="53A36011"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Centrele vor asigura colectarea separată a deșeurilor menajere care nu pot fi colectate într-un sistem de tipul „din ușă în ușă”, respectiv a deșeurilor reciclabile și a biodeșeurilor care nu pot fi colectate în pubele individuale, precum și a fluxurilor speciale de deșeuri (deșeuri voluminoase, deșeuri de echipamente electrice și electronice, baterii uzate, deșeuri periculoase, deșeuri provenite din activități de construcție și demolări). </w:t>
            </w:r>
          </w:p>
        </w:tc>
      </w:tr>
      <w:tr w:rsidR="000A27B3" w:rsidRPr="000A27B3" w14:paraId="6DA8E6FA"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tcPr>
          <w:p w14:paraId="2262D3F4"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561" w:type="dxa"/>
            <w:tcBorders>
              <w:top w:val="nil"/>
              <w:left w:val="nil"/>
              <w:bottom w:val="single" w:sz="4" w:space="0" w:color="auto"/>
              <w:right w:val="single" w:sz="4" w:space="0" w:color="auto"/>
            </w:tcBorders>
            <w:shd w:val="clear" w:color="auto" w:fill="C6EFCE"/>
            <w:noWrap/>
            <w:hideMark/>
          </w:tcPr>
          <w:p w14:paraId="446A05A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1.b Construirea de insule ecologice digitalizate pentru colectarea separată a deșeurilor la nivel local</w:t>
            </w:r>
          </w:p>
        </w:tc>
        <w:tc>
          <w:tcPr>
            <w:tcW w:w="1151" w:type="dxa"/>
            <w:tcBorders>
              <w:top w:val="nil"/>
              <w:left w:val="nil"/>
              <w:bottom w:val="single" w:sz="4" w:space="0" w:color="auto"/>
              <w:right w:val="single" w:sz="4" w:space="0" w:color="auto"/>
            </w:tcBorders>
            <w:shd w:val="clear" w:color="auto" w:fill="C6EFCE"/>
            <w:noWrap/>
            <w:hideMark/>
          </w:tcPr>
          <w:p w14:paraId="326741CA"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3E53BAB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Insulele ecologice digitalizate pentru colectarea separată a deșeurilor sunt înființate și operaționale</w:t>
            </w:r>
          </w:p>
        </w:tc>
        <w:tc>
          <w:tcPr>
            <w:tcW w:w="1625" w:type="dxa"/>
            <w:tcBorders>
              <w:top w:val="nil"/>
              <w:left w:val="nil"/>
              <w:bottom w:val="single" w:sz="4" w:space="0" w:color="auto"/>
              <w:right w:val="single" w:sz="4" w:space="0" w:color="auto"/>
            </w:tcBorders>
            <w:shd w:val="clear" w:color="auto" w:fill="C6EFCE"/>
            <w:noWrap/>
          </w:tcPr>
          <w:p w14:paraId="2D2F2AF8"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059024D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nil"/>
              <w:bottom w:val="single" w:sz="4" w:space="0" w:color="auto"/>
              <w:right w:val="single" w:sz="4" w:space="0" w:color="auto"/>
            </w:tcBorders>
            <w:shd w:val="clear" w:color="auto" w:fill="C6EFCE"/>
            <w:noWrap/>
            <w:hideMark/>
          </w:tcPr>
          <w:p w14:paraId="05E12CA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hideMark/>
          </w:tcPr>
          <w:p w14:paraId="2A7B14D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7 000</w:t>
            </w:r>
          </w:p>
        </w:tc>
        <w:tc>
          <w:tcPr>
            <w:tcW w:w="960" w:type="dxa"/>
            <w:tcBorders>
              <w:top w:val="single" w:sz="4" w:space="0" w:color="auto"/>
              <w:left w:val="nil"/>
              <w:bottom w:val="single" w:sz="4" w:space="0" w:color="auto"/>
              <w:right w:val="single" w:sz="4" w:space="0" w:color="auto"/>
            </w:tcBorders>
            <w:shd w:val="clear" w:color="auto" w:fill="C6EFCE"/>
            <w:noWrap/>
            <w:hideMark/>
          </w:tcPr>
          <w:p w14:paraId="4EDBD7A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94" w:type="dxa"/>
            <w:tcBorders>
              <w:top w:val="single" w:sz="4" w:space="0" w:color="auto"/>
              <w:left w:val="nil"/>
              <w:bottom w:val="single" w:sz="4" w:space="0" w:color="auto"/>
              <w:right w:val="single" w:sz="4" w:space="0" w:color="auto"/>
            </w:tcBorders>
            <w:shd w:val="clear" w:color="auto" w:fill="C6EFCE"/>
            <w:noWrap/>
            <w:hideMark/>
          </w:tcPr>
          <w:p w14:paraId="62ECB6B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715" w:type="dxa"/>
            <w:tcBorders>
              <w:top w:val="nil"/>
              <w:left w:val="nil"/>
              <w:bottom w:val="single" w:sz="4" w:space="0" w:color="auto"/>
              <w:right w:val="single" w:sz="4" w:space="0" w:color="auto"/>
            </w:tcBorders>
            <w:shd w:val="clear" w:color="auto" w:fill="C6EFCE"/>
            <w:noWrap/>
          </w:tcPr>
          <w:p w14:paraId="2E2AB29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Cel puțin 7 000 de insule ecologice digitalizate pentru colectarea separată a deșeurilor înființate și operaționale, în conformitate cu Planul național de gestionare a deșeurilor/planurile județene de gestionare a deșeurilor și cu Planul de gestionare a deșeurilor din Municipiul București.</w:t>
            </w:r>
          </w:p>
          <w:p w14:paraId="3713485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Insulele ecologice digitalizate vor deservi zonele cu blocuri de apartamente din localități. </w:t>
            </w:r>
          </w:p>
          <w:p w14:paraId="79CA1AFF"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Se va acorda prioritate comunităților cu cele mai mari nevoi, în corelare cu planurile județene de gestionare a deșeurilor/Panul național de gestionare și în complementaritate cu investițiile politicii de coeziune, pe baza următoarelor criterii:</w:t>
            </w:r>
          </w:p>
          <w:p w14:paraId="597AA517" w14:textId="77777777" w:rsidR="00647F09" w:rsidRPr="000A27B3" w:rsidRDefault="00647F09" w:rsidP="00647F09">
            <w:pPr>
              <w:pStyle w:val="ListParagraph"/>
              <w:numPr>
                <w:ilvl w:val="0"/>
                <w:numId w:val="10"/>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capacitatea de generare a deșeurilor în raport cu dimensiunea localității (municipii de rang I, municipii de rang II și orașe);</w:t>
            </w:r>
          </w:p>
          <w:p w14:paraId="511C5851" w14:textId="77777777" w:rsidR="00647F09" w:rsidRPr="000A27B3" w:rsidRDefault="00647F09" w:rsidP="00647F09">
            <w:pPr>
              <w:pStyle w:val="ListParagraph"/>
              <w:numPr>
                <w:ilvl w:val="0"/>
                <w:numId w:val="10"/>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nivelul actual scăzut de colectare separată a deșeurilor;</w:t>
            </w:r>
          </w:p>
          <w:p w14:paraId="47750A05" w14:textId="77777777" w:rsidR="00647F09" w:rsidRPr="000A27B3" w:rsidRDefault="00647F09" w:rsidP="00647F09">
            <w:pPr>
              <w:pStyle w:val="ListParagraph"/>
              <w:numPr>
                <w:ilvl w:val="0"/>
                <w:numId w:val="10"/>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 xml:space="preserve">disponibilitatea instalațiilor existente de tratare a deșeurilor. </w:t>
            </w:r>
          </w:p>
          <w:p w14:paraId="700E3F8D"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Insulele ecologice digitalizate vor asigura colectarea separată a deșeurilor menajere, în special în zonele cu blocuri de apartamente, pentru următoarele fluxuri de deșeuri colectate separat: deșeuri de hârtie și carton, deșeuri de plastic, deșeuri metalice, deșeuri de sticlă, deșeuri biologice și deșeuri reziduale. Fiecare insulă ecologică va deservi cel puțin 200 de locuitori.</w:t>
            </w:r>
          </w:p>
        </w:tc>
      </w:tr>
      <w:tr w:rsidR="000A27B3" w:rsidRPr="000A27B3" w14:paraId="1EE37445"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03B1EE4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51</w:t>
            </w:r>
          </w:p>
        </w:tc>
        <w:tc>
          <w:tcPr>
            <w:tcW w:w="1561" w:type="dxa"/>
            <w:tcBorders>
              <w:top w:val="nil"/>
              <w:left w:val="nil"/>
              <w:bottom w:val="single" w:sz="4" w:space="0" w:color="auto"/>
              <w:right w:val="single" w:sz="4" w:space="0" w:color="auto"/>
            </w:tcBorders>
            <w:shd w:val="clear" w:color="auto" w:fill="C6EFCE"/>
            <w:noWrap/>
            <w:hideMark/>
          </w:tcPr>
          <w:p w14:paraId="5C0DB03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1.b Construirea de insule ecologice digitalizate pentru colectarea separată a deșeurilor la nivel local</w:t>
            </w:r>
          </w:p>
        </w:tc>
        <w:tc>
          <w:tcPr>
            <w:tcW w:w="1151" w:type="dxa"/>
            <w:tcBorders>
              <w:top w:val="nil"/>
              <w:left w:val="nil"/>
              <w:bottom w:val="single" w:sz="4" w:space="0" w:color="auto"/>
              <w:right w:val="single" w:sz="4" w:space="0" w:color="auto"/>
            </w:tcBorders>
            <w:shd w:val="clear" w:color="auto" w:fill="C6EFCE"/>
            <w:noWrap/>
            <w:hideMark/>
          </w:tcPr>
          <w:p w14:paraId="142F0DB2"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6C2D30F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Insulele ecologice digitalizate pentru colectarea separată a deșeurilor sunt înființate și operaționale</w:t>
            </w:r>
          </w:p>
        </w:tc>
        <w:tc>
          <w:tcPr>
            <w:tcW w:w="1625" w:type="dxa"/>
            <w:tcBorders>
              <w:top w:val="nil"/>
              <w:left w:val="nil"/>
              <w:bottom w:val="single" w:sz="4" w:space="0" w:color="auto"/>
              <w:right w:val="single" w:sz="4" w:space="0" w:color="auto"/>
            </w:tcBorders>
            <w:shd w:val="clear" w:color="auto" w:fill="C6EFCE"/>
            <w:noWrap/>
          </w:tcPr>
          <w:p w14:paraId="1CBC62A0"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087" w:type="dxa"/>
            <w:tcBorders>
              <w:top w:val="single" w:sz="4" w:space="0" w:color="auto"/>
              <w:left w:val="single" w:sz="4" w:space="0" w:color="auto"/>
              <w:bottom w:val="single" w:sz="4" w:space="0" w:color="auto"/>
              <w:right w:val="single" w:sz="4" w:space="0" w:color="auto"/>
            </w:tcBorders>
            <w:shd w:val="clear" w:color="auto" w:fill="C6EFCE"/>
            <w:noWrap/>
            <w:hideMark/>
          </w:tcPr>
          <w:p w14:paraId="0220676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single" w:sz="4" w:space="0" w:color="auto"/>
              <w:bottom w:val="single" w:sz="4" w:space="0" w:color="auto"/>
              <w:right w:val="single" w:sz="4" w:space="0" w:color="auto"/>
            </w:tcBorders>
            <w:shd w:val="clear" w:color="auto" w:fill="C6EFCE"/>
            <w:noWrap/>
            <w:hideMark/>
          </w:tcPr>
          <w:p w14:paraId="302A79C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7 000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hideMark/>
          </w:tcPr>
          <w:p w14:paraId="688ED86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13 752 </w:t>
            </w: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4B11DE9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0794E62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nil"/>
              <w:left w:val="single" w:sz="4" w:space="0" w:color="auto"/>
              <w:bottom w:val="single" w:sz="4" w:space="0" w:color="auto"/>
              <w:right w:val="single" w:sz="4" w:space="0" w:color="auto"/>
            </w:tcBorders>
            <w:shd w:val="clear" w:color="auto" w:fill="C6EFCE"/>
            <w:noWrap/>
          </w:tcPr>
          <w:p w14:paraId="764F2356" w14:textId="77777777" w:rsidR="00647F09" w:rsidRPr="000A27B3" w:rsidRDefault="00647F09">
            <w:pPr>
              <w:spacing w:after="0" w:line="240" w:lineRule="auto"/>
              <w:contextualSpacing/>
              <w:jc w:val="both"/>
              <w:rPr>
                <w:rFonts w:ascii="Times New Roman" w:hAnsi="Times New Roman" w:cs="Times New Roman"/>
                <w:noProof/>
                <w:sz w:val="24"/>
                <w:szCs w:val="24"/>
              </w:rPr>
            </w:pPr>
            <w:r>
              <w:rPr>
                <w:rFonts w:ascii="Times New Roman" w:hAnsi="Times New Roman"/>
                <w:noProof/>
                <w:sz w:val="24"/>
              </w:rPr>
              <w:t>13 752 de insule ecologice digitalizate pentru colectarea separată a deșeurilor înființate și operaționale, în conformitate cu Planul național de gestionare a deșeurilor/planurile județene de gestionare a deșeurilor și cu Planul de gestionare a deșeurilor din Municipiul București.</w:t>
            </w:r>
          </w:p>
          <w:p w14:paraId="550B9606" w14:textId="77777777" w:rsidR="00647F09" w:rsidRPr="000A27B3" w:rsidRDefault="00647F09">
            <w:pPr>
              <w:spacing w:after="0" w:line="240" w:lineRule="auto"/>
              <w:contextualSpacing/>
              <w:jc w:val="both"/>
              <w:rPr>
                <w:rFonts w:ascii="Times New Roman" w:hAnsi="Times New Roman" w:cs="Times New Roman"/>
                <w:noProof/>
                <w:sz w:val="24"/>
                <w:szCs w:val="24"/>
              </w:rPr>
            </w:pPr>
            <w:r>
              <w:rPr>
                <w:rFonts w:ascii="Times New Roman" w:hAnsi="Times New Roman"/>
                <w:noProof/>
                <w:sz w:val="24"/>
              </w:rPr>
              <w:t xml:space="preserve">Insulele ecologice digitalizate vor deservi zonele cu blocuri de apartamente din localități. </w:t>
            </w:r>
          </w:p>
          <w:p w14:paraId="388740B8"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Se va acorda prioritate comunităților cu cele mai mari nevoi, în corelare cu planurile județene de gestionare a deșeurilor/Panul național de gestionare și în complementaritate cu investițiile politicii de coeziune, pe baza următoarelor criterii:</w:t>
            </w:r>
          </w:p>
          <w:p w14:paraId="37CA92D5" w14:textId="77777777" w:rsidR="00647F09" w:rsidRPr="000A27B3" w:rsidRDefault="00647F09" w:rsidP="00647F09">
            <w:pPr>
              <w:pStyle w:val="ListParagraph"/>
              <w:numPr>
                <w:ilvl w:val="0"/>
                <w:numId w:val="10"/>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capacitatea de generare a deșeurilor în raport cu dimensiunea localității (municipii de rang I, municipii de rang II și orașe);</w:t>
            </w:r>
          </w:p>
          <w:p w14:paraId="716FD3DC" w14:textId="77777777" w:rsidR="00647F09" w:rsidRPr="000A27B3" w:rsidRDefault="00647F09" w:rsidP="00647F09">
            <w:pPr>
              <w:pStyle w:val="ListParagraph"/>
              <w:numPr>
                <w:ilvl w:val="0"/>
                <w:numId w:val="10"/>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nivelul actual scăzut de colectare separată a deșeurilor;</w:t>
            </w:r>
          </w:p>
          <w:p w14:paraId="6A1FA0FF" w14:textId="77777777" w:rsidR="00647F09" w:rsidRPr="000A27B3" w:rsidRDefault="00647F09" w:rsidP="00647F09">
            <w:pPr>
              <w:pStyle w:val="ListParagraph"/>
              <w:numPr>
                <w:ilvl w:val="0"/>
                <w:numId w:val="10"/>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 xml:space="preserve">disponibilitatea instalațiilor existente de tratare a deșeurilor. </w:t>
            </w:r>
          </w:p>
          <w:p w14:paraId="5A703D10" w14:textId="77777777" w:rsidR="00647F09" w:rsidRPr="000A27B3" w:rsidRDefault="00647F09">
            <w:pPr>
              <w:spacing w:after="0" w:line="240" w:lineRule="auto"/>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Insulele ecologice digitalizate vor asigura colectarea separată a deșeurilor menajere, în special în zonele cu blocuri de apartamente, pentru următoarele fluxuri de deșeuri colectate separat: deșeuri de hârtie și carton, deșeuri de plastic, deșeuri metalice, deșeuri de sticlă, deșeuri biologice și deșeuri reziduale. Fiecare insulă ecologică va deservi cel puțin 200 de locuitori. </w:t>
            </w:r>
          </w:p>
        </w:tc>
      </w:tr>
      <w:tr w:rsidR="000A27B3" w:rsidRPr="000A27B3" w14:paraId="36AA7F65"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16F02C4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52</w:t>
            </w:r>
          </w:p>
        </w:tc>
        <w:tc>
          <w:tcPr>
            <w:tcW w:w="1561" w:type="dxa"/>
            <w:tcBorders>
              <w:top w:val="nil"/>
              <w:left w:val="nil"/>
              <w:bottom w:val="single" w:sz="4" w:space="0" w:color="auto"/>
              <w:right w:val="single" w:sz="4" w:space="0" w:color="auto"/>
            </w:tcBorders>
            <w:shd w:val="clear" w:color="auto" w:fill="C6EFCE"/>
            <w:noWrap/>
            <w:hideMark/>
          </w:tcPr>
          <w:p w14:paraId="16E0200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1.c. Centre integrate de colectare separată pentru aglomerări urbane</w:t>
            </w:r>
          </w:p>
        </w:tc>
        <w:tc>
          <w:tcPr>
            <w:tcW w:w="1151" w:type="dxa"/>
            <w:tcBorders>
              <w:top w:val="nil"/>
              <w:left w:val="nil"/>
              <w:bottom w:val="single" w:sz="4" w:space="0" w:color="auto"/>
              <w:right w:val="single" w:sz="4" w:space="0" w:color="auto"/>
            </w:tcBorders>
            <w:shd w:val="clear" w:color="auto" w:fill="C6EFCE"/>
            <w:noWrap/>
            <w:hideMark/>
          </w:tcPr>
          <w:p w14:paraId="2F3A4E4B"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6ADA563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Centre integrate de colectare a deșeurilor înființate și date în funcțiune în aglomerări urbane</w:t>
            </w:r>
          </w:p>
        </w:tc>
        <w:tc>
          <w:tcPr>
            <w:tcW w:w="1625" w:type="dxa"/>
            <w:tcBorders>
              <w:top w:val="nil"/>
              <w:left w:val="nil"/>
              <w:bottom w:val="single" w:sz="4" w:space="0" w:color="auto"/>
              <w:right w:val="single" w:sz="4" w:space="0" w:color="auto"/>
            </w:tcBorders>
            <w:shd w:val="clear" w:color="auto" w:fill="C6EFCE"/>
            <w:noWrap/>
          </w:tcPr>
          <w:p w14:paraId="552AFE1C"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6D634891"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nil"/>
              <w:bottom w:val="single" w:sz="4" w:space="0" w:color="auto"/>
              <w:right w:val="single" w:sz="4" w:space="0" w:color="auto"/>
            </w:tcBorders>
            <w:shd w:val="clear" w:color="auto" w:fill="C6EFCE"/>
            <w:noWrap/>
            <w:hideMark/>
          </w:tcPr>
          <w:p w14:paraId="14E3DF0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hideMark/>
          </w:tcPr>
          <w:p w14:paraId="04F10A02" w14:textId="3DD093F1"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6</w:t>
            </w:r>
          </w:p>
        </w:tc>
        <w:tc>
          <w:tcPr>
            <w:tcW w:w="960" w:type="dxa"/>
            <w:tcBorders>
              <w:top w:val="single" w:sz="4" w:space="0" w:color="auto"/>
              <w:left w:val="nil"/>
              <w:bottom w:val="single" w:sz="4" w:space="0" w:color="auto"/>
              <w:right w:val="single" w:sz="4" w:space="0" w:color="auto"/>
            </w:tcBorders>
            <w:shd w:val="clear" w:color="auto" w:fill="C6EFCE"/>
            <w:noWrap/>
            <w:hideMark/>
          </w:tcPr>
          <w:p w14:paraId="2E19B41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94" w:type="dxa"/>
            <w:tcBorders>
              <w:top w:val="single" w:sz="4" w:space="0" w:color="auto"/>
              <w:left w:val="nil"/>
              <w:bottom w:val="single" w:sz="4" w:space="0" w:color="auto"/>
              <w:right w:val="single" w:sz="4" w:space="0" w:color="auto"/>
            </w:tcBorders>
            <w:shd w:val="clear" w:color="auto" w:fill="C6EFCE"/>
            <w:noWrap/>
            <w:hideMark/>
          </w:tcPr>
          <w:p w14:paraId="2B1F77A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715" w:type="dxa"/>
            <w:tcBorders>
              <w:top w:val="nil"/>
              <w:left w:val="nil"/>
              <w:bottom w:val="single" w:sz="4" w:space="0" w:color="auto"/>
              <w:right w:val="single" w:sz="4" w:space="0" w:color="auto"/>
            </w:tcBorders>
            <w:shd w:val="clear" w:color="auto" w:fill="C6EFCE"/>
            <w:noWrap/>
          </w:tcPr>
          <w:p w14:paraId="713E2791" w14:textId="05C84EF5"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6 centre integrate de colectare a deșeurilor înființate și date în funcțiune în aglomerări urbane, în conformitate cu Planul național de gestionare a deșeurilor/planurile județene de gestionare a deșeurilor și cu Planul de gestionare a deșeurilor din Municipiul București. </w:t>
            </w:r>
          </w:p>
          <w:p w14:paraId="7880E71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Locațiile vor asigura acoperirea regiunilor celor mai populate, după cum urmează:</w:t>
            </w:r>
          </w:p>
          <w:p w14:paraId="042DB86B"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București (partea de nord) și regiunea Ilfov afiliată;</w:t>
            </w:r>
          </w:p>
          <w:p w14:paraId="6908A5B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București (partea de sud) și regiunea Ilfov afiliată;</w:t>
            </w:r>
          </w:p>
          <w:p w14:paraId="0BCACE01"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Constanța;</w:t>
            </w:r>
          </w:p>
          <w:p w14:paraId="7E4DB262"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Galați și Brăila;</w:t>
            </w:r>
          </w:p>
          <w:p w14:paraId="05C15862"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Iași;</w:t>
            </w:r>
          </w:p>
          <w:p w14:paraId="716949B1"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Craiova;</w:t>
            </w:r>
          </w:p>
          <w:p w14:paraId="6F3CF8C5"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Ploiești;</w:t>
            </w:r>
          </w:p>
          <w:p w14:paraId="112085F2"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Timișoara;</w:t>
            </w:r>
          </w:p>
          <w:p w14:paraId="27BF4971"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Cluj-Napoca;</w:t>
            </w:r>
          </w:p>
          <w:p w14:paraId="70713430"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Sibiu;</w:t>
            </w:r>
          </w:p>
          <w:p w14:paraId="41EC01DC"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Brașov;</w:t>
            </w:r>
          </w:p>
          <w:p w14:paraId="16102878"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Baia Mare;</w:t>
            </w:r>
          </w:p>
          <w:p w14:paraId="04ED4B61"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Târgu Mureș;</w:t>
            </w:r>
          </w:p>
          <w:p w14:paraId="1E717C2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Buzău.</w:t>
            </w:r>
          </w:p>
          <w:p w14:paraId="02B52C61"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Centrele vor asigura colectarea separată a deșeurilor menajere care nu pot fi colectate într-un sistem de tipul „din ușă în ușă”, respectiv a deșeurilor reciclabile și a biodeșeurilor care nu pot fi colectate în pubele individuale, precum și a fluxurilor speciale de deșeuri – deșeuri voluminoase, deșeuri de echipamente electrice și electronice, baterii uzate, deșeuri periculoase, deșeuri provenite din activități de construcție și demolări).</w:t>
            </w:r>
          </w:p>
          <w:p w14:paraId="7B7445E6"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Pentru a se asigura conformitatea măsurii cu Orientările tehnice privind aplicarea principiului de „a nu aduce prejudicii semnificative” (2021/C58/01), vehiculele achiziționate în cadrul acestei măsuri trebuie să fie echipate cu cea mai bună tehnologie disponibilă din punctul de vedere al respectării mediului.</w:t>
            </w:r>
          </w:p>
        </w:tc>
      </w:tr>
      <w:tr w:rsidR="000A27B3" w:rsidRPr="00D1375D" w14:paraId="27423E3A"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45E6136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53</w:t>
            </w:r>
          </w:p>
        </w:tc>
        <w:tc>
          <w:tcPr>
            <w:tcW w:w="1561" w:type="dxa"/>
            <w:tcBorders>
              <w:top w:val="nil"/>
              <w:left w:val="nil"/>
              <w:bottom w:val="single" w:sz="4" w:space="0" w:color="auto"/>
              <w:right w:val="single" w:sz="4" w:space="0" w:color="auto"/>
            </w:tcBorders>
            <w:shd w:val="clear" w:color="auto" w:fill="C6EFCE"/>
            <w:noWrap/>
            <w:hideMark/>
          </w:tcPr>
          <w:p w14:paraId="2682CB0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1.c. Centre integrate de colectare separată pentru aglomerări urbane</w:t>
            </w:r>
          </w:p>
        </w:tc>
        <w:tc>
          <w:tcPr>
            <w:tcW w:w="1151" w:type="dxa"/>
            <w:tcBorders>
              <w:top w:val="nil"/>
              <w:left w:val="nil"/>
              <w:bottom w:val="single" w:sz="4" w:space="0" w:color="auto"/>
              <w:right w:val="single" w:sz="4" w:space="0" w:color="auto"/>
            </w:tcBorders>
            <w:shd w:val="clear" w:color="auto" w:fill="C6EFCE"/>
            <w:noWrap/>
            <w:hideMark/>
          </w:tcPr>
          <w:p w14:paraId="02B3B45F"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431B5869" w14:textId="38D94349"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Centre integrate de colectare a deșeurilor înființate și date în funcțiune în aglomerări urbane </w:t>
            </w:r>
          </w:p>
        </w:tc>
        <w:tc>
          <w:tcPr>
            <w:tcW w:w="1625" w:type="dxa"/>
            <w:tcBorders>
              <w:top w:val="nil"/>
              <w:left w:val="nil"/>
              <w:bottom w:val="single" w:sz="4" w:space="0" w:color="auto"/>
              <w:right w:val="single" w:sz="4" w:space="0" w:color="auto"/>
            </w:tcBorders>
            <w:shd w:val="clear" w:color="auto" w:fill="C6EFCE"/>
            <w:noWrap/>
          </w:tcPr>
          <w:p w14:paraId="0B1B7AF5"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c>
          <w:tcPr>
            <w:tcW w:w="1087" w:type="dxa"/>
            <w:tcBorders>
              <w:top w:val="single" w:sz="4" w:space="0" w:color="auto"/>
              <w:left w:val="single" w:sz="4" w:space="0" w:color="auto"/>
              <w:bottom w:val="single" w:sz="4" w:space="0" w:color="auto"/>
              <w:right w:val="single" w:sz="4" w:space="0" w:color="auto"/>
            </w:tcBorders>
            <w:shd w:val="clear" w:color="auto" w:fill="C6EFCE"/>
            <w:noWrap/>
            <w:hideMark/>
          </w:tcPr>
          <w:p w14:paraId="3848C61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single" w:sz="4" w:space="0" w:color="auto"/>
              <w:bottom w:val="single" w:sz="4" w:space="0" w:color="auto"/>
              <w:right w:val="single" w:sz="4" w:space="0" w:color="auto"/>
            </w:tcBorders>
            <w:shd w:val="clear" w:color="auto" w:fill="C6EFCE"/>
            <w:noWrap/>
            <w:hideMark/>
          </w:tcPr>
          <w:p w14:paraId="5AE37BCD" w14:textId="71C947E9"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6</w:t>
            </w:r>
          </w:p>
        </w:tc>
        <w:tc>
          <w:tcPr>
            <w:tcW w:w="1200" w:type="dxa"/>
            <w:tcBorders>
              <w:top w:val="single" w:sz="4" w:space="0" w:color="auto"/>
              <w:left w:val="single" w:sz="4" w:space="0" w:color="auto"/>
              <w:bottom w:val="single" w:sz="4" w:space="0" w:color="auto"/>
              <w:right w:val="single" w:sz="4" w:space="0" w:color="auto"/>
            </w:tcBorders>
            <w:shd w:val="clear" w:color="auto" w:fill="C6EFCE"/>
            <w:noWrap/>
            <w:hideMark/>
          </w:tcPr>
          <w:p w14:paraId="64114A73" w14:textId="51D8A9DC"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14</w:t>
            </w: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06621BF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7CD75B5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nil"/>
              <w:left w:val="single" w:sz="4" w:space="0" w:color="auto"/>
              <w:bottom w:val="single" w:sz="4" w:space="0" w:color="auto"/>
              <w:right w:val="single" w:sz="4" w:space="0" w:color="auto"/>
            </w:tcBorders>
            <w:shd w:val="clear" w:color="auto" w:fill="C6EFCE"/>
            <w:noWrap/>
          </w:tcPr>
          <w:p w14:paraId="6CD83AE6"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Cel puțin încă 8 centre integrate de colectare a deșeurilor înființate și operaționale, în conformitate cu Planul național de gestionare a deșeurilor/planurile județene de gestionare a deșeurilor și cu Planul de gestionare a deșeurilor din Municipiul București.</w:t>
            </w:r>
          </w:p>
          <w:p w14:paraId="3E58742E"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Locațiile vor asigura acoperirea regiunilor celor mai populate, după cum urmează:</w:t>
            </w:r>
          </w:p>
          <w:p w14:paraId="626DCE78"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București (partea de nord) și regiunea Ilfov afiliată;</w:t>
            </w:r>
          </w:p>
          <w:p w14:paraId="2996AF8E"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București (partea de sud) și regiunea Ilfov afiliată;</w:t>
            </w:r>
          </w:p>
          <w:p w14:paraId="14D9ABE3"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Constanța;</w:t>
            </w:r>
          </w:p>
          <w:p w14:paraId="7DA3DA02"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Galați și Brăila;</w:t>
            </w:r>
          </w:p>
          <w:p w14:paraId="11EF87EC"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Iași;</w:t>
            </w:r>
          </w:p>
          <w:p w14:paraId="462B6E7E"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Craiova;</w:t>
            </w:r>
          </w:p>
          <w:p w14:paraId="0B3AA87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Ploiești;</w:t>
            </w:r>
          </w:p>
          <w:p w14:paraId="645DF57C"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Timișoara;</w:t>
            </w:r>
          </w:p>
          <w:p w14:paraId="039F737D"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Cluj-Napoca;</w:t>
            </w:r>
          </w:p>
          <w:p w14:paraId="171E22EF"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Sibiu;</w:t>
            </w:r>
          </w:p>
          <w:p w14:paraId="7A2ED7D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Brașov;</w:t>
            </w:r>
          </w:p>
          <w:p w14:paraId="721BCCC4"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Baia Mare;</w:t>
            </w:r>
          </w:p>
          <w:p w14:paraId="2F8B5DBC"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Târgu Mureș;</w:t>
            </w:r>
          </w:p>
          <w:p w14:paraId="1097C9BF"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Buzău.</w:t>
            </w:r>
          </w:p>
          <w:p w14:paraId="2A234CB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Centrele vor asigura colectarea separată a deșeurilor menajere care nu pot fi colectate într-un sistem de tipul „din ușă în ușă”, respectiv a deșeurilor reciclabile și a biodeșeurilor care nu pot fi colectate în pubele individuale, precum și a fluxurilor speciale de deșeuri – deșeuri voluminoase, deșeuri de echipamente electrice și electronice, baterii uzate, deșeuri periculoase, deșeuri provenite din activități de construcție și demolări).</w:t>
            </w:r>
          </w:p>
        </w:tc>
      </w:tr>
      <w:tr w:rsidR="000A27B3" w:rsidRPr="000A27B3" w14:paraId="61425303"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335A10B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54</w:t>
            </w:r>
          </w:p>
        </w:tc>
        <w:tc>
          <w:tcPr>
            <w:tcW w:w="1561" w:type="dxa"/>
            <w:tcBorders>
              <w:top w:val="nil"/>
              <w:left w:val="nil"/>
              <w:bottom w:val="single" w:sz="4" w:space="0" w:color="auto"/>
              <w:right w:val="single" w:sz="4" w:space="0" w:color="auto"/>
            </w:tcBorders>
            <w:shd w:val="clear" w:color="auto" w:fill="C6EFCE"/>
            <w:noWrap/>
            <w:hideMark/>
          </w:tcPr>
          <w:p w14:paraId="213EECB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1.d Construirea de instalații de reciclare a deșeurilor în vederea atingerii țintelor de reciclare din pachetul economiei circulare</w:t>
            </w:r>
          </w:p>
        </w:tc>
        <w:tc>
          <w:tcPr>
            <w:tcW w:w="1151" w:type="dxa"/>
            <w:tcBorders>
              <w:top w:val="nil"/>
              <w:left w:val="nil"/>
              <w:bottom w:val="single" w:sz="4" w:space="0" w:color="auto"/>
              <w:right w:val="single" w:sz="4" w:space="0" w:color="auto"/>
            </w:tcBorders>
            <w:shd w:val="clear" w:color="auto" w:fill="C6EFCE"/>
            <w:noWrap/>
            <w:hideMark/>
          </w:tcPr>
          <w:p w14:paraId="060B9B26"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064BA78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Instalațiile de reciclare a deșeurilor sunt construite și în funcțiune</w:t>
            </w:r>
          </w:p>
        </w:tc>
        <w:tc>
          <w:tcPr>
            <w:tcW w:w="1625" w:type="dxa"/>
            <w:tcBorders>
              <w:top w:val="nil"/>
              <w:left w:val="nil"/>
              <w:bottom w:val="single" w:sz="4" w:space="0" w:color="auto"/>
              <w:right w:val="single" w:sz="4" w:space="0" w:color="auto"/>
            </w:tcBorders>
            <w:shd w:val="clear" w:color="auto" w:fill="C6EFCE"/>
            <w:noWrap/>
          </w:tcPr>
          <w:p w14:paraId="1F6755D1"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5A53EFF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nil"/>
              <w:bottom w:val="single" w:sz="4" w:space="0" w:color="auto"/>
              <w:right w:val="single" w:sz="4" w:space="0" w:color="auto"/>
            </w:tcBorders>
            <w:shd w:val="clear" w:color="auto" w:fill="C6EFCE"/>
            <w:noWrap/>
            <w:hideMark/>
          </w:tcPr>
          <w:p w14:paraId="612ABE8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hideMark/>
          </w:tcPr>
          <w:p w14:paraId="3FDC70C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26</w:t>
            </w:r>
          </w:p>
        </w:tc>
        <w:tc>
          <w:tcPr>
            <w:tcW w:w="960" w:type="dxa"/>
            <w:tcBorders>
              <w:top w:val="single" w:sz="4" w:space="0" w:color="auto"/>
              <w:left w:val="nil"/>
              <w:bottom w:val="single" w:sz="4" w:space="0" w:color="auto"/>
              <w:right w:val="single" w:sz="4" w:space="0" w:color="auto"/>
            </w:tcBorders>
            <w:shd w:val="clear" w:color="auto" w:fill="C6EFCE"/>
            <w:noWrap/>
            <w:hideMark/>
          </w:tcPr>
          <w:p w14:paraId="06DE4D9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nil"/>
              <w:bottom w:val="single" w:sz="4" w:space="0" w:color="auto"/>
              <w:right w:val="single" w:sz="4" w:space="0" w:color="auto"/>
            </w:tcBorders>
            <w:shd w:val="clear" w:color="auto" w:fill="C6EFCE"/>
            <w:noWrap/>
            <w:hideMark/>
          </w:tcPr>
          <w:p w14:paraId="1952890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nil"/>
              <w:left w:val="nil"/>
              <w:bottom w:val="single" w:sz="4" w:space="0" w:color="auto"/>
              <w:right w:val="single" w:sz="4" w:space="0" w:color="auto"/>
            </w:tcBorders>
            <w:shd w:val="clear" w:color="auto" w:fill="C6EFCE"/>
            <w:noWrap/>
            <w:hideMark/>
          </w:tcPr>
          <w:p w14:paraId="0E5F5A6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26 de instalații de reciclare a deșeurilor vor fi construite și puse în funcțiune în vederea atingerii țintelor de reciclare ale Strategiei naționale privind economia circulară și în conformitate cu Planul național de gestionare a deșeurilor/planurile județene de gestionare a deșeurilor și cu Planul de gestionare a deșeurilor din Municipiul București. Se va acorda sprijin operatorilor economici privați care investesc în instalații de reciclare a deșeurilor colectate separat pentru a reduce impactul deșeurilor asupra mediului și a populației, pentru a reduce consumul de resurse în vederea promovării dezvoltării economice durabile în toate regiunile și pentru a atinge obiectivele de reciclare din pachetul privind economia circulară. Se va acorda prioritate proiectelor de ultimă generație, digitalizate prin propriul design de operare, monitorizare și intervenție, ceea ce va reduce consumurile tehnologice de energie, transport tehnologic, mentenanță. </w:t>
            </w:r>
          </w:p>
          <w:p w14:paraId="7B1B4C12"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Pentru a se asigura conformitatea măsurii cu Orientările tehnice privind aplicarea principiului de „a nu aduce prejudicii semnificative” (2021/C58/01), vehiculele achiziționate în cadrul acestei măsuri trebuie să fie echipate cu cea mai bună tehnologie disponibilă din punctul de vedere al respectării mediului.</w:t>
            </w:r>
          </w:p>
        </w:tc>
      </w:tr>
      <w:tr w:rsidR="000A27B3" w:rsidRPr="000A27B3" w14:paraId="06A80019"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4877795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55</w:t>
            </w:r>
          </w:p>
        </w:tc>
        <w:tc>
          <w:tcPr>
            <w:tcW w:w="1561" w:type="dxa"/>
            <w:tcBorders>
              <w:top w:val="nil"/>
              <w:left w:val="nil"/>
              <w:bottom w:val="single" w:sz="4" w:space="0" w:color="auto"/>
              <w:right w:val="single" w:sz="4" w:space="0" w:color="auto"/>
            </w:tcBorders>
            <w:shd w:val="clear" w:color="auto" w:fill="C6EFCE"/>
            <w:noWrap/>
            <w:hideMark/>
          </w:tcPr>
          <w:p w14:paraId="2A7639D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Dezvoltarea infrastructurii pentru managementul gunoiului de grajd și al altor deșeuri agricole compostabile</w:t>
            </w:r>
          </w:p>
        </w:tc>
        <w:tc>
          <w:tcPr>
            <w:tcW w:w="1151" w:type="dxa"/>
            <w:tcBorders>
              <w:top w:val="nil"/>
              <w:left w:val="nil"/>
              <w:bottom w:val="single" w:sz="4" w:space="0" w:color="auto"/>
              <w:right w:val="single" w:sz="4" w:space="0" w:color="auto"/>
            </w:tcBorders>
            <w:shd w:val="clear" w:color="auto" w:fill="C6EFCE"/>
            <w:noWrap/>
            <w:hideMark/>
          </w:tcPr>
          <w:p w14:paraId="149510DF"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35B4FDD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Sistemele integrate de colectare a deșeurilor agricole compostabile sunt înființate și operaționale</w:t>
            </w:r>
          </w:p>
        </w:tc>
        <w:tc>
          <w:tcPr>
            <w:tcW w:w="1625" w:type="dxa"/>
            <w:tcBorders>
              <w:top w:val="nil"/>
              <w:left w:val="nil"/>
              <w:bottom w:val="single" w:sz="4" w:space="0" w:color="auto"/>
              <w:right w:val="single" w:sz="4" w:space="0" w:color="auto"/>
            </w:tcBorders>
            <w:shd w:val="clear" w:color="auto" w:fill="C6EFCE"/>
            <w:noWrap/>
          </w:tcPr>
          <w:p w14:paraId="7B7B4891"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439BE19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single" w:sz="4" w:space="0" w:color="auto"/>
              <w:bottom w:val="single" w:sz="4" w:space="0" w:color="auto"/>
              <w:right w:val="single" w:sz="4" w:space="0" w:color="auto"/>
            </w:tcBorders>
            <w:shd w:val="clear" w:color="auto" w:fill="C6EFCE"/>
            <w:noWrap/>
            <w:hideMark/>
          </w:tcPr>
          <w:p w14:paraId="4E2AC5C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hideMark/>
          </w:tcPr>
          <w:p w14:paraId="59F1842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254</w:t>
            </w: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2166F255"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056B628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715" w:type="dxa"/>
            <w:tcBorders>
              <w:top w:val="nil"/>
              <w:left w:val="single" w:sz="4" w:space="0" w:color="auto"/>
              <w:bottom w:val="single" w:sz="4" w:space="0" w:color="auto"/>
              <w:right w:val="single" w:sz="4" w:space="0" w:color="auto"/>
            </w:tcBorders>
            <w:shd w:val="clear" w:color="auto" w:fill="C6EFCE"/>
            <w:noWrap/>
          </w:tcPr>
          <w:p w14:paraId="03AF78A3"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Cel puțin 254 de sisteme integrate de colectare a deșeurilor agricole compostabile vor fi înființate și puse în funcțiune, în conformitate cu Planul național de gestionare a deșeurilor, după cum urmează:</w:t>
            </w:r>
          </w:p>
          <w:p w14:paraId="7DB3C367"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150 de sisteme comunale integrate (platformă comunală, platforme individuale pentru fermierii mici și mijlocii și echipamente personalizate pentru gestionarea compostului);</w:t>
            </w:r>
          </w:p>
          <w:p w14:paraId="745C3D7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94 de sisteme comunale integrate pentru comunitățile cu platformă comunală existentă (platforme individuale pentru fermierii mici și mijlocii și echipamente personalizate pentru gestionarea compostului);</w:t>
            </w:r>
          </w:p>
          <w:p w14:paraId="11AF634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5 sisteme de compostare pentru comunitățile cu ferme mari (stație de compostare și echipamente personalizate pentru gestionarea compostului);</w:t>
            </w:r>
          </w:p>
          <w:p w14:paraId="1080CC00" w14:textId="01D688C4"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5 sisteme de biogaz pentru comunitățile cu ferme foarte mari (cu capacități electrice de cel puțin 300 kW și capacități de încălzire de cel puțin 300 kW). Aceste instalații trebuie să respecte Orientările tehnice privind aplicarea principiului de „a nu aduce prejudicii semnificative” [C(2023) 6454 final] prin îndeplinirea criteriilor în materie de durabilitate și de reducere a emisiilor de gaze cu efect de seră prevăzute la articolele 29-31 și prin respectarea normelor privind biocombustibilii pe bază de culturi alimentare și furajere prevăzute la articolul 26 din Directiva (UE) 2018/2001 privind energia din surse regenerabile (REDII), precum și a actelor de punere în aplicare și a actelor delegate conexe.</w:t>
            </w:r>
          </w:p>
          <w:p w14:paraId="381EE5BB"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Fermele mari și comunitățile de fermieri (comune și orașe) sunt vor fi selectate luând în considerare cel mai mare impact pozitiv de mediu raportat la costul public al investiției, pe baza unor orientări care specifică în mod clar criteriile de selecție, inclusiv:</w:t>
            </w:r>
          </w:p>
          <w:p w14:paraId="14600696"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numărul de animale, pentru a dovedi sursa reală (nu istorică) a poluării;</w:t>
            </w:r>
          </w:p>
          <w:p w14:paraId="42E95F31"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concentrația și tendința nitraților în apele subterane;</w:t>
            </w:r>
          </w:p>
          <w:p w14:paraId="0DF5A535"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disponibilitatea unui amplasament adecvat pentru construcții;</w:t>
            </w:r>
          </w:p>
          <w:p w14:paraId="23CFA3E5"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analiză cost-beneficii pozitivă; demonstrarea sustenabilității pe termen lung a investiției, inclusiv a modelelor de economie circulară (cu accent pe stațiile de biogaz);</w:t>
            </w:r>
          </w:p>
          <w:p w14:paraId="6FCF4029"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disponibilitatea resurselor financiare pentru cofinanțare și pentru operarea în continuare a investițiilor;</w:t>
            </w:r>
          </w:p>
          <w:p w14:paraId="7CDD5908"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consultări publice pozitive care demonstrează acceptarea socială a investiției de mediu.</w:t>
            </w:r>
          </w:p>
          <w:p w14:paraId="52AD76B9"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Fermierii mici și mijlocii care vor beneficia de platforme mici trebuie să locuiască în comunități în care platformele de gestionare a gunoiului de grajd sunt funcționale sau în care se vor construi platforme noi și să fie proprietarii animalelor crescute în comunitățile respective.</w:t>
            </w:r>
          </w:p>
          <w:p w14:paraId="63B089EC"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Pentru a se asigura conformitatea măsurii cu Orientările tehnice privind aplicarea principiului de „a nu aduce prejudicii semnificative” (2021/C58/01), vehiculele achiziționate în cadrul acestei măsuri trebuie să fie echipate cu cea mai bună tehnologie disponibilă din punctul de vedere al respectării mediului. </w:t>
            </w:r>
          </w:p>
        </w:tc>
      </w:tr>
      <w:tr w:rsidR="000A27B3" w:rsidRPr="000A27B3" w14:paraId="4D72CD31"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76187EF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56</w:t>
            </w:r>
          </w:p>
        </w:tc>
        <w:tc>
          <w:tcPr>
            <w:tcW w:w="1561" w:type="dxa"/>
            <w:tcBorders>
              <w:top w:val="nil"/>
              <w:left w:val="nil"/>
              <w:bottom w:val="single" w:sz="4" w:space="0" w:color="auto"/>
              <w:right w:val="single" w:sz="4" w:space="0" w:color="auto"/>
            </w:tcBorders>
            <w:shd w:val="clear" w:color="auto" w:fill="C6EFCE"/>
            <w:noWrap/>
            <w:hideMark/>
          </w:tcPr>
          <w:p w14:paraId="24CCD428"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3.a Echipamente de monitorizare și control pentru Garda Națională de Mediu</w:t>
            </w:r>
          </w:p>
        </w:tc>
        <w:tc>
          <w:tcPr>
            <w:tcW w:w="1151" w:type="dxa"/>
            <w:tcBorders>
              <w:top w:val="nil"/>
              <w:left w:val="nil"/>
              <w:bottom w:val="single" w:sz="4" w:space="0" w:color="auto"/>
              <w:right w:val="single" w:sz="4" w:space="0" w:color="auto"/>
            </w:tcBorders>
            <w:shd w:val="clear" w:color="auto" w:fill="C6EFCE"/>
            <w:noWrap/>
            <w:hideMark/>
          </w:tcPr>
          <w:p w14:paraId="60F3BC00"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0180320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Comisariatele județene ale Gărzii Naționale de Mediu dotate cu echipamente digitale pentru activitățile de monitorizare și control al gestionării deșeurilor</w:t>
            </w:r>
          </w:p>
        </w:tc>
        <w:tc>
          <w:tcPr>
            <w:tcW w:w="1625" w:type="dxa"/>
            <w:tcBorders>
              <w:top w:val="nil"/>
              <w:left w:val="nil"/>
              <w:bottom w:val="single" w:sz="4" w:space="0" w:color="auto"/>
              <w:right w:val="single" w:sz="4" w:space="0" w:color="auto"/>
            </w:tcBorders>
            <w:shd w:val="clear" w:color="auto" w:fill="C6EFCE"/>
            <w:noWrap/>
          </w:tcPr>
          <w:p w14:paraId="2E0D05B3" w14:textId="77777777" w:rsidR="00647F09" w:rsidRPr="009F1DC7" w:rsidRDefault="00647F09">
            <w:pPr>
              <w:spacing w:after="0" w:line="240" w:lineRule="auto"/>
              <w:jc w:val="both"/>
              <w:rPr>
                <w:rFonts w:ascii="Times New Roman" w:eastAsia="Times New Roman" w:hAnsi="Times New Roman" w:cs="Times New Roman"/>
                <w:noProof/>
                <w:sz w:val="24"/>
                <w:szCs w:val="24"/>
                <w:lang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44A069D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nil"/>
              <w:bottom w:val="single" w:sz="4" w:space="0" w:color="auto"/>
              <w:right w:val="single" w:sz="4" w:space="0" w:color="auto"/>
            </w:tcBorders>
            <w:shd w:val="clear" w:color="auto" w:fill="C6EFCE"/>
            <w:noWrap/>
            <w:hideMark/>
          </w:tcPr>
          <w:p w14:paraId="590A0D5A"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hideMark/>
          </w:tcPr>
          <w:p w14:paraId="71AF118E"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43</w:t>
            </w:r>
          </w:p>
        </w:tc>
        <w:tc>
          <w:tcPr>
            <w:tcW w:w="960" w:type="dxa"/>
            <w:tcBorders>
              <w:top w:val="single" w:sz="4" w:space="0" w:color="auto"/>
              <w:left w:val="nil"/>
              <w:bottom w:val="single" w:sz="4" w:space="0" w:color="auto"/>
              <w:right w:val="single" w:sz="4" w:space="0" w:color="auto"/>
            </w:tcBorders>
            <w:shd w:val="clear" w:color="auto" w:fill="C6EFCE"/>
            <w:noWrap/>
            <w:hideMark/>
          </w:tcPr>
          <w:p w14:paraId="644168F3"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94" w:type="dxa"/>
            <w:tcBorders>
              <w:top w:val="single" w:sz="4" w:space="0" w:color="auto"/>
              <w:left w:val="nil"/>
              <w:bottom w:val="single" w:sz="4" w:space="0" w:color="auto"/>
              <w:right w:val="single" w:sz="4" w:space="0" w:color="auto"/>
            </w:tcBorders>
            <w:shd w:val="clear" w:color="auto" w:fill="C6EFCE"/>
            <w:noWrap/>
            <w:hideMark/>
          </w:tcPr>
          <w:p w14:paraId="3C640F9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715" w:type="dxa"/>
            <w:tcBorders>
              <w:top w:val="nil"/>
              <w:left w:val="nil"/>
              <w:bottom w:val="single" w:sz="4" w:space="0" w:color="auto"/>
              <w:right w:val="single" w:sz="4" w:space="0" w:color="auto"/>
            </w:tcBorders>
            <w:shd w:val="clear" w:color="auto" w:fill="C6EFCE"/>
            <w:noWrap/>
          </w:tcPr>
          <w:p w14:paraId="65B5E69F"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Operaționalizarea echipamentelor pentru 43 de comisariate ale Gărzii de Mediu pentru activități de monitorizare și control al gestionării deșeurilor pentru a se asigura creșterea gradului de trasabilitate a deșeurilor, o vizibilitate sporită în traseul real al transporturilor de deșeuri și, implicit, reducerea cantităților de deșeuri transportate ilegal. Se vor achiziționa următoarele echipamente:</w:t>
            </w:r>
          </w:p>
          <w:p w14:paraId="0E5D3D67"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1 sistem integrat TIC care va deservi cele 43 de comisariate;</w:t>
            </w:r>
          </w:p>
          <w:p w14:paraId="2A095184"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8 sisteme de scanare a camioanelor;</w:t>
            </w:r>
          </w:p>
          <w:p w14:paraId="4288F82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271 de camere video de bord;</w:t>
            </w:r>
          </w:p>
          <w:p w14:paraId="1BA53A7A"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16 vehicule aeriene fără pilot</w:t>
            </w:r>
          </w:p>
          <w:p w14:paraId="2CC11E48"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 xml:space="preserve">8 vehicule utilitare echipate cu comunicații radio pentru transportul echipamentelor de monitorizare; </w:t>
            </w:r>
          </w:p>
          <w:p w14:paraId="07B38055" w14:textId="77777777" w:rsidR="00647F09" w:rsidRPr="000A27B3" w:rsidRDefault="00647F09" w:rsidP="00647F09">
            <w:pPr>
              <w:pStyle w:val="ListParagraph"/>
              <w:numPr>
                <w:ilvl w:val="0"/>
                <w:numId w:val="7"/>
              </w:numPr>
              <w:spacing w:after="0" w:line="240" w:lineRule="auto"/>
              <w:ind w:left="165" w:hanging="165"/>
              <w:jc w:val="both"/>
              <w:rPr>
                <w:rFonts w:ascii="Times New Roman" w:hAnsi="Times New Roman" w:cs="Times New Roman"/>
                <w:noProof/>
                <w:sz w:val="24"/>
                <w:szCs w:val="24"/>
              </w:rPr>
            </w:pPr>
            <w:r>
              <w:rPr>
                <w:rFonts w:ascii="Times New Roman" w:hAnsi="Times New Roman"/>
                <w:noProof/>
                <w:sz w:val="24"/>
              </w:rPr>
              <w:t xml:space="preserve">709 camere video purtate pe corp. </w:t>
            </w:r>
          </w:p>
          <w:p w14:paraId="0C4EFDFF"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Pentru a se asigura conformitatea măsurii cu Orientările tehnice privind aplicarea principiului de „a nu aduce prejudicii semnificative” (2021/C58/01), vehiculele achiziționate în cadrul acestei măsuri trebuie să fie echipate cu cea mai bună tehnologie disponibilă din punctul de vedere al respectării mediului.</w:t>
            </w:r>
          </w:p>
        </w:tc>
      </w:tr>
      <w:tr w:rsidR="000A27B3" w:rsidRPr="000A27B3" w14:paraId="6BA575EB"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4836BB6C"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57</w:t>
            </w:r>
          </w:p>
        </w:tc>
        <w:tc>
          <w:tcPr>
            <w:tcW w:w="1561" w:type="dxa"/>
            <w:tcBorders>
              <w:top w:val="nil"/>
              <w:left w:val="nil"/>
              <w:bottom w:val="single" w:sz="4" w:space="0" w:color="auto"/>
              <w:right w:val="single" w:sz="4" w:space="0" w:color="auto"/>
            </w:tcBorders>
            <w:shd w:val="clear" w:color="auto" w:fill="C6EFCE"/>
            <w:noWrap/>
            <w:hideMark/>
          </w:tcPr>
          <w:p w14:paraId="76C10A4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3.a Echipamente de monitorizare și control pentru Garda Națională de Mediu</w:t>
            </w:r>
          </w:p>
        </w:tc>
        <w:tc>
          <w:tcPr>
            <w:tcW w:w="1151" w:type="dxa"/>
            <w:tcBorders>
              <w:top w:val="nil"/>
              <w:left w:val="nil"/>
              <w:bottom w:val="single" w:sz="4" w:space="0" w:color="auto"/>
              <w:right w:val="single" w:sz="4" w:space="0" w:color="auto"/>
            </w:tcBorders>
            <w:shd w:val="clear" w:color="auto" w:fill="C6EFCE"/>
            <w:noWrap/>
            <w:hideMark/>
          </w:tcPr>
          <w:p w14:paraId="66B44325"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2C80DE4D"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400 de misiuni de control efectuate cu ajutorul echipamentelor de monitorizare și control</w:t>
            </w:r>
          </w:p>
        </w:tc>
        <w:tc>
          <w:tcPr>
            <w:tcW w:w="1625" w:type="dxa"/>
            <w:tcBorders>
              <w:top w:val="nil"/>
              <w:left w:val="nil"/>
              <w:bottom w:val="single" w:sz="4" w:space="0" w:color="auto"/>
              <w:right w:val="single" w:sz="4" w:space="0" w:color="auto"/>
            </w:tcBorders>
            <w:shd w:val="clear" w:color="auto" w:fill="C6EFCE"/>
            <w:noWrap/>
          </w:tcPr>
          <w:p w14:paraId="66DCED1D" w14:textId="77777777" w:rsidR="00647F09" w:rsidRPr="009F1DC7" w:rsidRDefault="00647F09">
            <w:pPr>
              <w:spacing w:after="0" w:line="240" w:lineRule="auto"/>
              <w:jc w:val="both"/>
              <w:rPr>
                <w:rFonts w:ascii="Times New Roman" w:eastAsia="Times New Roman" w:hAnsi="Times New Roman" w:cs="Times New Roman"/>
                <w:noProof/>
                <w:sz w:val="24"/>
                <w:szCs w:val="24"/>
                <w:lang w:val="fr-FR" w:eastAsia="en-GB"/>
              </w:rPr>
            </w:pPr>
          </w:p>
        </w:tc>
        <w:tc>
          <w:tcPr>
            <w:tcW w:w="1087" w:type="dxa"/>
            <w:tcBorders>
              <w:top w:val="single" w:sz="4" w:space="0" w:color="auto"/>
              <w:left w:val="nil"/>
              <w:bottom w:val="single" w:sz="4" w:space="0" w:color="auto"/>
              <w:right w:val="single" w:sz="4" w:space="0" w:color="auto"/>
            </w:tcBorders>
            <w:shd w:val="clear" w:color="auto" w:fill="C6EFCE"/>
            <w:noWrap/>
            <w:hideMark/>
          </w:tcPr>
          <w:p w14:paraId="448153C4"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single" w:sz="4" w:space="0" w:color="auto"/>
              <w:left w:val="nil"/>
              <w:bottom w:val="single" w:sz="4" w:space="0" w:color="auto"/>
              <w:right w:val="single" w:sz="4" w:space="0" w:color="auto"/>
            </w:tcBorders>
            <w:shd w:val="clear" w:color="auto" w:fill="C6EFCE"/>
            <w:noWrap/>
            <w:hideMark/>
          </w:tcPr>
          <w:p w14:paraId="3077651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hideMark/>
          </w:tcPr>
          <w:p w14:paraId="6F6CEF00"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400</w:t>
            </w:r>
          </w:p>
        </w:tc>
        <w:tc>
          <w:tcPr>
            <w:tcW w:w="960" w:type="dxa"/>
            <w:tcBorders>
              <w:top w:val="single" w:sz="4" w:space="0" w:color="auto"/>
              <w:left w:val="single" w:sz="4" w:space="0" w:color="auto"/>
              <w:bottom w:val="single" w:sz="4" w:space="0" w:color="auto"/>
              <w:right w:val="single" w:sz="4" w:space="0" w:color="auto"/>
            </w:tcBorders>
            <w:shd w:val="clear" w:color="auto" w:fill="C6EFCE"/>
            <w:noWrap/>
            <w:hideMark/>
          </w:tcPr>
          <w:p w14:paraId="4119CB2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94" w:type="dxa"/>
            <w:tcBorders>
              <w:top w:val="single" w:sz="4" w:space="0" w:color="auto"/>
              <w:left w:val="single" w:sz="4" w:space="0" w:color="auto"/>
              <w:bottom w:val="single" w:sz="4" w:space="0" w:color="auto"/>
              <w:right w:val="single" w:sz="4" w:space="0" w:color="auto"/>
            </w:tcBorders>
            <w:shd w:val="clear" w:color="auto" w:fill="C6EFCE"/>
            <w:noWrap/>
            <w:hideMark/>
          </w:tcPr>
          <w:p w14:paraId="1594B16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715" w:type="dxa"/>
            <w:tcBorders>
              <w:top w:val="nil"/>
              <w:left w:val="single" w:sz="4" w:space="0" w:color="auto"/>
              <w:bottom w:val="single" w:sz="4" w:space="0" w:color="auto"/>
              <w:right w:val="single" w:sz="4" w:space="0" w:color="auto"/>
            </w:tcBorders>
            <w:shd w:val="clear" w:color="auto" w:fill="C6EFCE"/>
            <w:noWrap/>
          </w:tcPr>
          <w:p w14:paraId="04668268" w14:textId="77777777"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400 de misiuni de control efectuate de comisariatele Gărzii Naționale de Mediu cu ajutorul echipamentelor digitale achiziționate conform jalonului 56, pentru activități de monitorizare și control. </w:t>
            </w:r>
          </w:p>
        </w:tc>
      </w:tr>
      <w:tr w:rsidR="000A27B3" w:rsidRPr="000A27B3" w14:paraId="2D7FE312" w14:textId="77777777" w:rsidTr="008F1E27">
        <w:tblPrEx>
          <w:tblCellMar>
            <w:left w:w="28" w:type="dxa"/>
            <w:right w:w="28" w:type="dxa"/>
          </w:tblCellMar>
        </w:tblPrEx>
        <w:trPr>
          <w:gridBefore w:val="1"/>
          <w:wBefore w:w="15" w:type="dxa"/>
          <w:trHeight w:val="309"/>
          <w:jc w:val="center"/>
        </w:trPr>
        <w:tc>
          <w:tcPr>
            <w:tcW w:w="819" w:type="dxa"/>
            <w:tcBorders>
              <w:top w:val="nil"/>
              <w:left w:val="single" w:sz="4" w:space="0" w:color="auto"/>
              <w:bottom w:val="single" w:sz="4" w:space="0" w:color="auto"/>
              <w:right w:val="single" w:sz="4" w:space="0" w:color="auto"/>
            </w:tcBorders>
            <w:shd w:val="clear" w:color="auto" w:fill="C6EFCE"/>
            <w:noWrap/>
            <w:hideMark/>
          </w:tcPr>
          <w:p w14:paraId="45A9A3AB"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58</w:t>
            </w:r>
          </w:p>
        </w:tc>
        <w:tc>
          <w:tcPr>
            <w:tcW w:w="1561" w:type="dxa"/>
            <w:tcBorders>
              <w:top w:val="nil"/>
              <w:left w:val="nil"/>
              <w:bottom w:val="single" w:sz="4" w:space="0" w:color="auto"/>
              <w:right w:val="single" w:sz="4" w:space="0" w:color="auto"/>
            </w:tcBorders>
            <w:shd w:val="clear" w:color="auto" w:fill="C6EFCE"/>
            <w:noWrap/>
            <w:hideMark/>
          </w:tcPr>
          <w:p w14:paraId="17F8B529"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3.b Echipamente de monitorizare a calității aerului, radioactivității și zgomotului pentru Agenția Națională de Protecția Mediului</w:t>
            </w:r>
          </w:p>
        </w:tc>
        <w:tc>
          <w:tcPr>
            <w:tcW w:w="1151" w:type="dxa"/>
            <w:tcBorders>
              <w:top w:val="nil"/>
              <w:left w:val="nil"/>
              <w:bottom w:val="single" w:sz="4" w:space="0" w:color="auto"/>
              <w:right w:val="single" w:sz="4" w:space="0" w:color="auto"/>
            </w:tcBorders>
            <w:shd w:val="clear" w:color="auto" w:fill="C6EFCE"/>
            <w:noWrap/>
            <w:hideMark/>
          </w:tcPr>
          <w:p w14:paraId="3B4A97CC" w14:textId="77777777" w:rsidR="00647F09" w:rsidRPr="000A27B3" w:rsidRDefault="00647F0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490" w:type="dxa"/>
            <w:tcBorders>
              <w:top w:val="nil"/>
              <w:left w:val="nil"/>
              <w:bottom w:val="single" w:sz="4" w:space="0" w:color="auto"/>
              <w:right w:val="single" w:sz="4" w:space="0" w:color="auto"/>
            </w:tcBorders>
            <w:shd w:val="clear" w:color="auto" w:fill="C6EFCE"/>
            <w:noWrap/>
            <w:hideMark/>
          </w:tcPr>
          <w:p w14:paraId="37AE45E6"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Operaționalizarea echipamentelor de monitorizare a calității aerului, radioactivității și zgomotului</w:t>
            </w:r>
          </w:p>
        </w:tc>
        <w:tc>
          <w:tcPr>
            <w:tcW w:w="1625" w:type="dxa"/>
            <w:tcBorders>
              <w:top w:val="nil"/>
              <w:left w:val="nil"/>
              <w:bottom w:val="single" w:sz="4" w:space="0" w:color="auto"/>
              <w:right w:val="single" w:sz="4" w:space="0" w:color="auto"/>
            </w:tcBorders>
            <w:shd w:val="clear" w:color="auto" w:fill="C6EFCE"/>
            <w:noWrap/>
          </w:tcPr>
          <w:p w14:paraId="33BC6BC3" w14:textId="77777777" w:rsidR="00647F09" w:rsidRPr="000A27B3" w:rsidRDefault="00647F09">
            <w:pPr>
              <w:spacing w:after="0" w:line="240" w:lineRule="auto"/>
              <w:jc w:val="both"/>
              <w:rPr>
                <w:rFonts w:ascii="Times New Roman" w:eastAsia="Times New Roman" w:hAnsi="Times New Roman" w:cs="Times New Roman"/>
                <w:noProof/>
                <w:sz w:val="24"/>
                <w:szCs w:val="24"/>
                <w:lang w:val="en-GB" w:eastAsia="en-GB"/>
              </w:rPr>
            </w:pPr>
          </w:p>
        </w:tc>
        <w:tc>
          <w:tcPr>
            <w:tcW w:w="1087" w:type="dxa"/>
            <w:tcBorders>
              <w:top w:val="nil"/>
              <w:left w:val="nil"/>
              <w:bottom w:val="single" w:sz="4" w:space="0" w:color="auto"/>
              <w:right w:val="single" w:sz="4" w:space="0" w:color="auto"/>
            </w:tcBorders>
            <w:shd w:val="clear" w:color="auto" w:fill="C6EFCE"/>
            <w:noWrap/>
            <w:hideMark/>
          </w:tcPr>
          <w:p w14:paraId="5E7EDE3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27" w:type="dxa"/>
            <w:tcBorders>
              <w:top w:val="nil"/>
              <w:left w:val="nil"/>
              <w:bottom w:val="single" w:sz="4" w:space="0" w:color="auto"/>
              <w:right w:val="single" w:sz="4" w:space="0" w:color="auto"/>
            </w:tcBorders>
            <w:shd w:val="clear" w:color="auto" w:fill="C6EFCE"/>
            <w:noWrap/>
            <w:hideMark/>
          </w:tcPr>
          <w:p w14:paraId="441F1382"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hideMark/>
          </w:tcPr>
          <w:p w14:paraId="773C38EA" w14:textId="1E498505" w:rsidR="00647F09" w:rsidRPr="000A27B3" w:rsidRDefault="00647F0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384</w:t>
            </w:r>
          </w:p>
        </w:tc>
        <w:tc>
          <w:tcPr>
            <w:tcW w:w="960" w:type="dxa"/>
            <w:tcBorders>
              <w:top w:val="single" w:sz="4" w:space="0" w:color="auto"/>
              <w:left w:val="nil"/>
              <w:bottom w:val="single" w:sz="4" w:space="0" w:color="auto"/>
              <w:right w:val="single" w:sz="4" w:space="0" w:color="auto"/>
            </w:tcBorders>
            <w:shd w:val="clear" w:color="auto" w:fill="C6EFCE"/>
            <w:noWrap/>
            <w:hideMark/>
          </w:tcPr>
          <w:p w14:paraId="5C606F47"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4" w:type="dxa"/>
            <w:tcBorders>
              <w:top w:val="single" w:sz="4" w:space="0" w:color="auto"/>
              <w:left w:val="nil"/>
              <w:bottom w:val="single" w:sz="4" w:space="0" w:color="auto"/>
              <w:right w:val="single" w:sz="4" w:space="0" w:color="auto"/>
            </w:tcBorders>
            <w:shd w:val="clear" w:color="auto" w:fill="C6EFCE"/>
            <w:noWrap/>
            <w:hideMark/>
          </w:tcPr>
          <w:p w14:paraId="7A99E3CF" w14:textId="77777777" w:rsidR="00647F09" w:rsidRPr="000A27B3" w:rsidRDefault="00647F0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715" w:type="dxa"/>
            <w:tcBorders>
              <w:top w:val="nil"/>
              <w:left w:val="nil"/>
              <w:bottom w:val="single" w:sz="4" w:space="0" w:color="auto"/>
              <w:right w:val="single" w:sz="4" w:space="0" w:color="auto"/>
            </w:tcBorders>
            <w:shd w:val="clear" w:color="auto" w:fill="C6EFCE"/>
            <w:noWrap/>
          </w:tcPr>
          <w:p w14:paraId="7CC5876A" w14:textId="77777777"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Echipamentele de monitorizare a calității aerului, radioactivității și zgomotului vor fi achiziționate și puse în funcțiune. </w:t>
            </w:r>
          </w:p>
          <w:p w14:paraId="40E8DA3B" w14:textId="01AD8DC0"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Echipamentele vor asigura colectarea, transmiterea, stocarea și raportarea datelor privind concentrațiile de poluanți în mediu. </w:t>
            </w:r>
          </w:p>
          <w:p w14:paraId="4008D27D" w14:textId="0580E50B" w:rsidR="00647F09" w:rsidRPr="000A27B3" w:rsidRDefault="00647F0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Achiziționarea echipamentelor de monitorizare a calității aerului va avea loc numai după adoptarea Programului Național de Control al Poluării Atmosferice (care face parte din componenta de transport sustenabil a Planului Național de Redresare și Reziliență și se estimează că va fi adoptat în iunie 2022), pe baza nevoilor prevăzute în program. </w:t>
            </w:r>
          </w:p>
        </w:tc>
      </w:tr>
    </w:tbl>
    <w:p w14:paraId="1E370554" w14:textId="77777777" w:rsidR="00647F09" w:rsidRPr="009F1DC7" w:rsidRDefault="00647F09">
      <w:pPr>
        <w:spacing w:before="120" w:after="120" w:line="240" w:lineRule="auto"/>
        <w:jc w:val="both"/>
        <w:rPr>
          <w:rFonts w:ascii="Times New Roman" w:hAnsi="Times New Roman" w:cs="Times New Roman"/>
          <w:noProof/>
          <w:sz w:val="24"/>
          <w:szCs w:val="24"/>
        </w:rPr>
        <w:sectPr w:rsidR="00647F09" w:rsidRPr="009F1DC7">
          <w:headerReference w:type="even" r:id="rId72"/>
          <w:headerReference w:type="default" r:id="rId73"/>
          <w:footerReference w:type="even" r:id="rId74"/>
          <w:footerReference w:type="default" r:id="rId75"/>
          <w:headerReference w:type="first" r:id="rId76"/>
          <w:footerReference w:type="first" r:id="rId77"/>
          <w:pgSz w:w="16839" w:h="11907" w:orient="landscape"/>
          <w:pgMar w:top="1417" w:right="1134" w:bottom="1417" w:left="1134" w:header="709" w:footer="709" w:gutter="0"/>
          <w:cols w:space="720"/>
          <w:docGrid w:linePitch="360"/>
        </w:sectPr>
      </w:pPr>
    </w:p>
    <w:p w14:paraId="37108325" w14:textId="77777777" w:rsidR="00271EF8" w:rsidRPr="000A27B3" w:rsidRDefault="00271EF8" w:rsidP="00271EF8">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4: Transport sustenabil</w:t>
      </w:r>
    </w:p>
    <w:p w14:paraId="0F83EB80" w14:textId="77777777" w:rsidR="00271EF8" w:rsidRPr="000A27B3" w:rsidRDefault="00271EF8">
      <w:pPr>
        <w:spacing w:before="100" w:beforeAutospacing="1" w:after="100" w:afterAutospacing="1" w:line="240" w:lineRule="auto"/>
        <w:jc w:val="both"/>
        <w:rPr>
          <w:rFonts w:ascii="Times New Roman" w:eastAsia="Times New Roman" w:hAnsi="Times New Roman" w:cs="Times New Roman"/>
          <w:noProof/>
          <w:sz w:val="24"/>
        </w:rPr>
      </w:pPr>
      <w:r>
        <w:rPr>
          <w:rFonts w:ascii="Times New Roman" w:hAnsi="Times New Roman"/>
          <w:noProof/>
          <w:sz w:val="24"/>
        </w:rPr>
        <w:t>Această componentă a planului de redresare și reziliență abordează mai multe provocări legate de transportul sustenabil pentru a promova o mobilitate inteligentă, sigură și incluzivă în România. Aceasta ar trebui analizată în coroborare cu componenta 10 „Fondul local”, care include măsuri complementare pentru mobilitatea urbană durabilă.</w:t>
      </w:r>
    </w:p>
    <w:p w14:paraId="52EE44CC" w14:textId="77777777" w:rsidR="00271EF8" w:rsidRPr="000A27B3" w:rsidRDefault="00271EF8">
      <w:pPr>
        <w:spacing w:before="100" w:beforeAutospacing="1" w:after="100" w:afterAutospacing="1" w:line="240" w:lineRule="auto"/>
        <w:jc w:val="both"/>
        <w:rPr>
          <w:rFonts w:ascii="Times New Roman" w:eastAsia="Times New Roman" w:hAnsi="Times New Roman" w:cs="Times New Roman"/>
          <w:noProof/>
          <w:sz w:val="24"/>
          <w:szCs w:val="24"/>
        </w:rPr>
      </w:pPr>
      <w:r>
        <w:rPr>
          <w:rFonts w:ascii="Times New Roman" w:hAnsi="Times New Roman"/>
          <w:noProof/>
          <w:sz w:val="24"/>
        </w:rPr>
        <w:t>Obiectivul acestei componente este de a spori sustenabilitatea sectorului transporturilor din România prin sprijinirea tranziției verzi și digitale a sectorului. Printre reformele care sprijină investițiile se numără modificări ale reglementărilor pentru a stimula transportul rutier cu emisii zero, a îmbunătăți guvernanța companiilor de stat din sectoarele transporturilor, a îmbunătăți siguranța rutieră, a promova transportul public curat, a promova transferul modal către transportul feroviar și către transportul pe căile navigabile interioare.</w:t>
      </w:r>
    </w:p>
    <w:p w14:paraId="19D221E6" w14:textId="77777777" w:rsidR="00271EF8" w:rsidRPr="000A27B3" w:rsidRDefault="00271EF8">
      <w:pPr>
        <w:spacing w:before="100" w:beforeAutospacing="1" w:after="100" w:afterAutospacing="1" w:line="240" w:lineRule="auto"/>
        <w:jc w:val="both"/>
        <w:rPr>
          <w:rFonts w:ascii="Times New Roman" w:eastAsia="Times New Roman" w:hAnsi="Times New Roman" w:cs="Times New Roman"/>
          <w:noProof/>
          <w:sz w:val="24"/>
        </w:rPr>
      </w:pPr>
      <w:r>
        <w:rPr>
          <w:rFonts w:ascii="Times New Roman" w:hAnsi="Times New Roman"/>
          <w:noProof/>
          <w:sz w:val="24"/>
        </w:rPr>
        <w:t>Reformele și investițiile vor contribui la punerea în aplicare a recomandărilor specifice țării care au fost transmise României în 2019 și 2020, cu privire la următoarele necesități: (i) „să avanseze finanțarea proiectelor de investiții publice mature și să promoveze investițiile private pentru a favoriza redresarea economică” și „să direcționeze cu prioritate investițiile către tranziția verde și digitală, în special către transportul durabil,” (recomandarea specifică 3 din 2020), „ținând seama de disparitățile regionale” (recomandarea specifică 4 din 2019); (ii) „să îmbunătățească procesul de pregătire și stabilire a priorităților în ceea ce privește proiectele mari și să se accelereze punerea în aplicare a acestora” (recomandarea specifică 4 din 2019).</w:t>
      </w:r>
    </w:p>
    <w:p w14:paraId="2D6B3B97" w14:textId="77777777" w:rsidR="00271EF8" w:rsidRPr="000A27B3" w:rsidRDefault="00271EF8">
      <w:pPr>
        <w:spacing w:before="100" w:beforeAutospacing="1" w:after="100" w:afterAutospacing="1" w:line="240" w:lineRule="auto"/>
        <w:jc w:val="both"/>
        <w:rPr>
          <w:rFonts w:ascii="Times New Roman" w:eastAsia="Times New Roman" w:hAnsi="Times New Roman" w:cs="Times New Roman"/>
          <w:noProof/>
          <w:sz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DNSH (2021/C58/01). Investițiile în infrastructura rutieră se concentrează pe rețeaua centrală TEN-T, contribuie la coeziunea economică și socială și sunt însoțite de reforme semnificative pentru decarbonizarea transportului rutier, dezvoltarea infrastructurii pentru combustibili alternativi, îmbunătățirea siguranței rutiere și promovarea transportului public curat și a transferului modal.</w:t>
      </w:r>
    </w:p>
    <w:p w14:paraId="05D9CAD4" w14:textId="77777777" w:rsidR="00271EF8" w:rsidRPr="000A27B3" w:rsidRDefault="00271EF8">
      <w:pPr>
        <w:keepNext/>
        <w:spacing w:before="120" w:after="120" w:line="240" w:lineRule="auto"/>
        <w:jc w:val="both"/>
        <w:outlineLvl w:val="1"/>
        <w:rPr>
          <w:rFonts w:ascii="Times New Roman" w:eastAsiaTheme="majorEastAsia" w:hAnsi="Times New Roman" w:cs="Times New Roman"/>
          <w:bCs/>
          <w:i/>
          <w:noProof/>
          <w:sz w:val="24"/>
          <w:szCs w:val="24"/>
        </w:rPr>
      </w:pPr>
      <w:r>
        <w:rPr>
          <w:rFonts w:ascii="Times New Roman" w:hAnsi="Times New Roman"/>
          <w:b/>
          <w:noProof/>
          <w:sz w:val="24"/>
        </w:rPr>
        <w:t xml:space="preserve">D.1. </w:t>
      </w:r>
      <w:r>
        <w:rPr>
          <w:noProof/>
        </w:rPr>
        <w:tab/>
      </w:r>
      <w:r>
        <w:rPr>
          <w:rFonts w:ascii="Times New Roman" w:hAnsi="Times New Roman"/>
          <w:b/>
          <w:noProof/>
          <w:sz w:val="24"/>
        </w:rPr>
        <w:t>Descrierea reformelor și a investițiilor pentru care se prevede acordarea sprijinului financiar nerambursabil</w:t>
      </w:r>
    </w:p>
    <w:p w14:paraId="0F46D89F"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Reforma 1. Transport sustenabil, decarbonizare și siguranță rutieră</w:t>
      </w:r>
    </w:p>
    <w:p w14:paraId="2BF108AE"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Reforma vizează sprijinirea tranziției către o mobilitate sustenabilă și inteligentă prin dezvoltarea și îmbunătățirea cadrului strategic, juridic și operațional al sistemului de transport din România. Reforma propusă este legată de măsurile de mobilitate urbană durabilă incluse în componenta „Fondul local”, astfel încât să asigure complementaritatea și sinergiile cu măsurile luate la nivel local.</w:t>
      </w:r>
    </w:p>
    <w:p w14:paraId="58E6C889" w14:textId="77777777" w:rsidR="00271EF8" w:rsidRPr="000A27B3" w:rsidRDefault="00271EF8">
      <w:pPr>
        <w:suppressAutoHyphens/>
        <w:autoSpaceDN w:val="0"/>
        <w:spacing w:after="0"/>
        <w:jc w:val="both"/>
        <w:textAlignment w:val="baseline"/>
        <w:rPr>
          <w:rFonts w:ascii="Times New Roman" w:eastAsia="Calibri" w:hAnsi="Times New Roman" w:cs="Times New Roman"/>
          <w:noProof/>
          <w:sz w:val="24"/>
        </w:rPr>
      </w:pPr>
      <w:r>
        <w:rPr>
          <w:rFonts w:ascii="Times New Roman" w:hAnsi="Times New Roman"/>
          <w:noProof/>
          <w:sz w:val="24"/>
        </w:rPr>
        <w:t>Reforma include:</w:t>
      </w:r>
    </w:p>
    <w:p w14:paraId="28A81AFE" w14:textId="77777777" w:rsidR="00271EF8" w:rsidRPr="000A27B3" w:rsidRDefault="00271EF8">
      <w:pPr>
        <w:suppressAutoHyphens/>
        <w:autoSpaceDN w:val="0"/>
        <w:spacing w:before="240" w:after="0"/>
        <w:jc w:val="both"/>
        <w:textAlignment w:val="baseline"/>
        <w:rPr>
          <w:rFonts w:ascii="Times New Roman" w:eastAsia="NSimSun" w:hAnsi="Times New Roman" w:cs="Times New Roman"/>
          <w:noProof/>
          <w:kern w:val="3"/>
          <w:sz w:val="24"/>
          <w:szCs w:val="24"/>
          <w:u w:val="single"/>
        </w:rPr>
      </w:pPr>
      <w:r>
        <w:rPr>
          <w:rFonts w:ascii="Times New Roman" w:hAnsi="Times New Roman"/>
          <w:noProof/>
          <w:sz w:val="24"/>
          <w:u w:val="single"/>
        </w:rPr>
        <w:t>1.1 Decarbonizarea rutieră în conformitate cu principiul „poluatorul plătește”</w:t>
      </w:r>
    </w:p>
    <w:p w14:paraId="54205957" w14:textId="77777777" w:rsidR="00271EF8" w:rsidRPr="000A27B3" w:rsidRDefault="00271EF8">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 pachet legislativ va pune în aplicare un nou sistem de impozitare conform principiului „poluatorul plătește” și altor principii de impozitare ecologică. Pachetul va include (i) </w:t>
      </w:r>
      <w:bookmarkStart w:id="2" w:name="_heading=h.um529hne8n3e"/>
      <w:bookmarkEnd w:id="2"/>
      <w:r>
        <w:rPr>
          <w:rFonts w:ascii="Times New Roman" w:hAnsi="Times New Roman"/>
          <w:noProof/>
          <w:sz w:val="24"/>
        </w:rPr>
        <w:t xml:space="preserve">taxarea în funcție de distanță pentru vehiculele grele de marfă (camioane și altele) și (ii) </w:t>
      </w:r>
      <w:bookmarkStart w:id="3" w:name="_heading=h.a0s3zsloix7z"/>
      <w:bookmarkEnd w:id="3"/>
      <w:r>
        <w:rPr>
          <w:rFonts w:ascii="Times New Roman" w:hAnsi="Times New Roman"/>
          <w:noProof/>
          <w:sz w:val="24"/>
        </w:rPr>
        <w:t>scheme de stimulare a reînnoirii parcului auto (în special autoturisme / autobuze / autocare), prin scheme de casare, combinate cu măsuri de taxe de proprietate pentru cele mai poluante vehicule de pasageri. Noul sistem de taxare va fi implementat în mod nediscriminatoriu.</w:t>
      </w:r>
    </w:p>
    <w:p w14:paraId="78103AFD"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Ministerul Transporturilor și Infrastructurii va realiza o analiză pentru a defini mai specific nivelul de taxare, în special pentru traficul greu, cu stimulente specifice pentru vehicule electrice/hibride, inclusiv pentru vehicule ușoare, calendarul introducerii graduale a acestor taxe, categoriile de vehicule care vor fi incluse în sistemul de taxare, nivelul de poluare al vehiculelor de pasageri, categoriile de drumuri și nivelul de acoperire al rețelei integrate de drumuri naționale din România. Veniturile suplimentare generate ar trebui utilizate pentru întreținerea rețelei rutiere și pentru noi investiții în transportul sustenabil.</w:t>
      </w:r>
    </w:p>
    <w:p w14:paraId="21B3FAB1"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Reforma vizează, de asemenea, depășirea cu cel puțin 3 puncte procentuale a țintelor minime privind achizițiile de vehiculele publice nepoluante stabilite în Directiva UE privind vehiculele nepoluante.</w:t>
      </w:r>
    </w:p>
    <w:p w14:paraId="10A518AB"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Pachetul legislativ va include măsuri de stimulare a utilizării vehiculelor cu emisii zero și a programelor de reînnoire a parcului auto de către persoane fizice, companii private și instituții publice, contribuind la o creștere cu cel puțin 100 % a numărului de vehicule cu emisii zero înmatriculate în România în comparație cu valoarea inițială din 2020 și la casarea a 250 000 de vehicule poluante (cu standard de emisii EURO 3 sau inferior) până la 30 iunie 2026.</w:t>
      </w:r>
    </w:p>
    <w:p w14:paraId="28B00CB9"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Un element important care contribuie la sustenabilitatea transporturilor, în special în ceea ce privește reducerea poluării atmosferice în zonele urbane și la nivelul întregii țări, este Programul Național de Control al Poluării Atmosferice (PNCPA), care ar fi trebuit prezentat Comisiei până în aprilie 2019 în temeiul Directivei (UE) 2016/2284, autoritățile române precizând că acesta va fi aprobat până la 30 iunie 2022</w:t>
      </w:r>
      <w:bookmarkStart w:id="4" w:name="_Ref82526087"/>
      <w:r w:rsidRPr="000A27B3">
        <w:rPr>
          <w:rFonts w:ascii="Times New Roman" w:eastAsia="Calibri" w:hAnsi="Times New Roman" w:cs="Times New Roman"/>
          <w:noProof/>
          <w:sz w:val="24"/>
          <w:vertAlign w:val="superscript"/>
          <w:lang w:val="en-GB"/>
        </w:rPr>
        <w:footnoteReference w:id="2"/>
      </w:r>
      <w:bookmarkEnd w:id="4"/>
      <w:r>
        <w:rPr>
          <w:rFonts w:ascii="Times New Roman" w:hAnsi="Times New Roman"/>
          <w:noProof/>
          <w:sz w:val="24"/>
        </w:rPr>
        <w:t>.</w:t>
      </w:r>
    </w:p>
    <w:p w14:paraId="04E4DC51"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Pachetul legislativ aprobat de Parlamentul României va intra în vigoare până la 30 iunie 2024, iar sistemului de taxare va fi pe deplin operațional până la 30 iunie 2026.</w:t>
      </w:r>
    </w:p>
    <w:p w14:paraId="5AE4D15D" w14:textId="77777777" w:rsidR="00271EF8" w:rsidRPr="000A27B3" w:rsidRDefault="00271EF8">
      <w:pPr>
        <w:suppressAutoHyphens/>
        <w:autoSpaceDN w:val="0"/>
        <w:spacing w:before="240" w:after="0"/>
        <w:jc w:val="both"/>
        <w:textAlignment w:val="baseline"/>
        <w:rPr>
          <w:rFonts w:ascii="Times New Roman" w:eastAsia="NSimSun" w:hAnsi="Times New Roman" w:cs="Times New Roman"/>
          <w:noProof/>
          <w:kern w:val="3"/>
          <w:sz w:val="24"/>
          <w:szCs w:val="24"/>
          <w:u w:val="single"/>
        </w:rPr>
      </w:pPr>
      <w:r>
        <w:rPr>
          <w:rFonts w:ascii="Times New Roman" w:hAnsi="Times New Roman"/>
          <w:noProof/>
          <w:sz w:val="24"/>
          <w:u w:val="single"/>
        </w:rPr>
        <w:t>1.2 Infrastructura pentru combustibili alternativi</w:t>
      </w:r>
    </w:p>
    <w:p w14:paraId="1740B0A2" w14:textId="158FD7B0" w:rsidR="00271EF8" w:rsidRPr="000A27B3" w:rsidRDefault="00271EF8">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Obiectivul acestei reforme este de a dezvolta infrastructura pentru combustibili alternativi pentru vehiculele rutiere, în special se vor instala puncte de reîncărcare suplimentare pentru vehicule electrice, astfel încât să se ajungă la cel puțin 22 415 de puncte de reîncărcare până la 30 iunie 2026. </w:t>
      </w:r>
    </w:p>
    <w:p w14:paraId="27C4F425" w14:textId="0F59D658" w:rsidR="00271EF8" w:rsidRPr="000A27B3" w:rsidRDefault="00271EF8">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Investiția sprijinită de MRR constă în finanțarea a cel puțin 7 683 de puncte de reîncărcare pentru vehicule electrice, dintre care 6 600 de puncte de reîncărcare de înaltă putere (permițând transferul de energie electrică către un vehicul electric cu o putere mai mare de 22 kW) și 1</w:t>
      </w:r>
      <w:r w:rsidR="008F1E27">
        <w:rPr>
          <w:rFonts w:ascii="Times New Roman" w:hAnsi="Times New Roman"/>
          <w:noProof/>
          <w:sz w:val="24"/>
        </w:rPr>
        <w:t> </w:t>
      </w:r>
      <w:r>
        <w:rPr>
          <w:rFonts w:ascii="Times New Roman" w:hAnsi="Times New Roman"/>
          <w:noProof/>
          <w:sz w:val="24"/>
        </w:rPr>
        <w:t>083</w:t>
      </w:r>
      <w:r w:rsidR="008F1E27">
        <w:rPr>
          <w:rFonts w:ascii="Times New Roman" w:hAnsi="Times New Roman"/>
          <w:noProof/>
          <w:sz w:val="24"/>
        </w:rPr>
        <w:t> </w:t>
      </w:r>
      <w:r>
        <w:rPr>
          <w:rFonts w:ascii="Times New Roman" w:hAnsi="Times New Roman"/>
          <w:noProof/>
          <w:sz w:val="24"/>
        </w:rPr>
        <w:t>de puncte de putere normală (permițând transferul de energie electrică către un vehicul electric cu o putere mai mică sau egală cu 22 kW, excluzând dispozitivele cu o putere mai mică sau egală cu 3,7 kW).</w:t>
      </w:r>
    </w:p>
    <w:p w14:paraId="49D6F93F" w14:textId="5C332102" w:rsidR="00271EF8" w:rsidRPr="000A27B3" w:rsidRDefault="00271EF8">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În ceea ce privește accesibilitatea publică, cele 5 600 de puncte de reîncărcare electrică incluse în componenta „Fondul local” vor fi accesibile publicului, în conformitate cu articolul 2 punctul 7 din Directiva 2014/94/UE, iar 2 083 de puncte (83 de puncte în cadrul componentei „Fondul local” și 2 000 de puncte în cadrul componentei „Valul renovării”) vor fi puncte de reîncărcare semipublice/private.</w:t>
      </w:r>
    </w:p>
    <w:p w14:paraId="5724BC81"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finaliza până la 30 iunie 2026.</w:t>
      </w:r>
    </w:p>
    <w:p w14:paraId="376079CE" w14:textId="77777777" w:rsidR="00271EF8" w:rsidRPr="000A27B3" w:rsidRDefault="00271EF8">
      <w:pPr>
        <w:suppressAutoHyphens/>
        <w:autoSpaceDN w:val="0"/>
        <w:spacing w:before="240" w:after="0"/>
        <w:jc w:val="both"/>
        <w:textAlignment w:val="baseline"/>
        <w:rPr>
          <w:rFonts w:ascii="Times New Roman" w:eastAsia="NSimSun" w:hAnsi="Times New Roman" w:cs="Times New Roman"/>
          <w:noProof/>
          <w:kern w:val="3"/>
          <w:sz w:val="24"/>
          <w:szCs w:val="24"/>
          <w:u w:val="single"/>
        </w:rPr>
      </w:pPr>
      <w:r>
        <w:rPr>
          <w:rFonts w:ascii="Times New Roman" w:hAnsi="Times New Roman"/>
          <w:noProof/>
          <w:sz w:val="24"/>
          <w:u w:val="single"/>
        </w:rPr>
        <w:t xml:space="preserve">1.3 Siguranță rutieră </w:t>
      </w:r>
    </w:p>
    <w:p w14:paraId="0B2D9E9E"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Reforma constă într-o Strategie națională de siguranță rutieră care va include următoarele noi măsuri:</w:t>
      </w:r>
    </w:p>
    <w:p w14:paraId="702AD183"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1. Inspecția de siguranță: se va optimiza evaluarea tehnică pentru determinarea gradului de siguranță rutieră; implementarea și dezvoltarea activității de expertiză tehnică auto; înființarea de laboratoare de cercetare și de expertiză care să acopere metodologiile de monitorizare, inspecție și testare a vehiculelor pe toată durata de viață a acestora;</w:t>
      </w:r>
    </w:p>
    <w:p w14:paraId="35B47EAF"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2. Dezvoltarea unor baze de date privind elementele de siguranță rutieră, în cadrul stațiilor de inspecție și al unităților de reparații pentru vehicule; dezvoltarea metodologiei pentru culegerea datelor și a bazei de culegere a datelor primare pentru analiza indicatorilor-cheie privind siguranța rutieră;</w:t>
      </w:r>
    </w:p>
    <w:p w14:paraId="686CCF39"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3. Introducerea unor limite de viteză mai stricte pe tronsoanele periculoase și intensificarea executării sancțiunilor aplicate pentru încălcări;</w:t>
      </w:r>
    </w:p>
    <w:p w14:paraId="31569AC5"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4. Strategia privind eliminarea punctelor negre (hotspoturi) de pe rețeaua de drumuri naționale și autostrăzi. Cele 267 de puncte negre în materie de siguranță (hotspoturi) identificate vor fi eliminate până în 2030, iar cele 129 dintre acestea care sunt sprijinite în cadrul planului vor fi eliminate până la 30 iunie 2026.</w:t>
      </w:r>
    </w:p>
    <w:p w14:paraId="627C41F8"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Această reformă este va fi implementată prin intermediul legislației secundare și al intrării în vigoare a măsurilor de executare conexe. Aceste măsuri vin în completarea măsurilor privind siguranța rutieră în zonele urbane incluse în componenta „Fondul local”.</w:t>
      </w:r>
    </w:p>
    <w:p w14:paraId="53FBAF18"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finaliza până la 31 decembrie 2022.</w:t>
      </w:r>
    </w:p>
    <w:p w14:paraId="79790A0D" w14:textId="77777777" w:rsidR="00271EF8" w:rsidRPr="000A27B3" w:rsidRDefault="00271EF8">
      <w:pPr>
        <w:suppressAutoHyphens/>
        <w:autoSpaceDN w:val="0"/>
        <w:spacing w:before="240" w:after="0"/>
        <w:jc w:val="both"/>
        <w:textAlignment w:val="baseline"/>
        <w:rPr>
          <w:rFonts w:ascii="Times New Roman" w:eastAsia="NSimSun" w:hAnsi="Times New Roman" w:cs="Times New Roman"/>
          <w:noProof/>
          <w:kern w:val="3"/>
          <w:sz w:val="24"/>
          <w:szCs w:val="24"/>
          <w:u w:val="single"/>
        </w:rPr>
      </w:pPr>
      <w:r>
        <w:rPr>
          <w:rFonts w:ascii="Times New Roman" w:hAnsi="Times New Roman"/>
          <w:noProof/>
          <w:sz w:val="24"/>
          <w:u w:val="single"/>
        </w:rPr>
        <w:t>1.4 Strategia și pachetul legislativ privind sistemele de transport inteligente (STI)</w:t>
      </w:r>
    </w:p>
    <w:p w14:paraId="338388DD"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reforme este de a dezvolta sistemul de transport inteligent pentru a spori eficiența și siguranța transporturilor cu ajutorul digitalizării informațiilor legate de transporturi.</w:t>
      </w:r>
    </w:p>
    <w:p w14:paraId="58264EBD"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Reforma va fi implementată prin crearea unui document strategic privind sistemele de transport inteligente (STI), care va fi aprobat de Guvernul României. Strategia STI se va dezvolta în corelare cu politicile de transport intermodal pentru a servi nevoilor de operare eficientă în nodurile multimodale. </w:t>
      </w:r>
    </w:p>
    <w:p w14:paraId="50A79B4D"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finaliza până la 30 iunie 2022.</w:t>
      </w:r>
    </w:p>
    <w:p w14:paraId="48FDAF5D" w14:textId="77777777" w:rsidR="00271EF8" w:rsidRPr="000A27B3" w:rsidRDefault="00271EF8">
      <w:pPr>
        <w:suppressAutoHyphens/>
        <w:autoSpaceDN w:val="0"/>
        <w:spacing w:before="240" w:after="0"/>
        <w:jc w:val="both"/>
        <w:textAlignment w:val="baseline"/>
        <w:rPr>
          <w:rFonts w:ascii="Times New Roman" w:eastAsia="NSimSun" w:hAnsi="Times New Roman" w:cs="Times New Roman"/>
          <w:noProof/>
          <w:kern w:val="3"/>
          <w:sz w:val="24"/>
          <w:szCs w:val="24"/>
          <w:u w:val="single"/>
        </w:rPr>
      </w:pPr>
      <w:r>
        <w:rPr>
          <w:rFonts w:ascii="Times New Roman" w:hAnsi="Times New Roman"/>
          <w:noProof/>
          <w:sz w:val="24"/>
          <w:u w:val="single"/>
        </w:rPr>
        <w:t>1.5 Dezvoltarea infrastructurii feroviare și managementul traficului feroviar</w:t>
      </w:r>
    </w:p>
    <w:p w14:paraId="473D6D2F"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Obiectivul acestei reforme este de a consolida eficiența și competitivitatea transportului feroviar din România. </w:t>
      </w:r>
    </w:p>
    <w:p w14:paraId="1A927B38"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Strategia include obiective de modernizare și dezvoltare necesare pentru a răspunde nevoilor actuale și viitoare de mobilitate a populației și a mărfurilor, precum și cerințelor identificate în ceea ce privește creșterea competitivității transportului feroviar. Totodată, sunt prevăzute acțiuni de modernizare a exploatării infrastructurii feroviare pentru a se asigura creșterea performanțelor circulației trenurilor și eficientizarea exploatării în scopul limitării costurilor transportului feroviar.</w:t>
      </w:r>
    </w:p>
    <w:p w14:paraId="008DD057"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Reforma include „Strategia de dezvoltare a infrastructurii feroviare 2021-2025”, aprobată la sfârșitul anului 2020. Aceasta include ansamblul acțiunilor de întreținere, reparații și reînnoiri necesare pentru reabilitarea infrastructurii existente și menținerea acesteia la parametrii de performanță necesari pentru susținerea unui transport feroviar competitiv la nivel național. </w:t>
      </w:r>
    </w:p>
    <w:p w14:paraId="5B7E4789"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Măsura include Planul de investiții 2020-2030, care acordă prioritate investițiilor feroviare în implementarea TEN-T și a Sistemului european de management al traficului feroviar (ERTMS), cu un mecanism care să prevadă indicatori și criterii clare pentru prioritizarea investițiilor în infrastructura feroviară, precum și mecanismele instituționale necesare pentru implementarea acestui mecanism și pentru pregătirea proiectelor de investiții.</w:t>
      </w:r>
    </w:p>
    <w:p w14:paraId="168B39E0"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Măsura include, de asemenea, o strategie și un plan de acțiune pentru implementarea ERTMS în perioada 2025-2030, incluzând: măsuri clare pentru implementarea și certificarea ERTMS pentru rețeaua centrală TEN-T pe termen mediu și lung (orizontul 2030); actorii responsabili; bugetul estimat; măsuri privind capacitatea administrativă la nivel național a organismelor responsabile, astfel încât acestea să gestioneze integral procesul de certificare pentru toate sectoarele avute în vedere în timpul construcției lor, asigurându-se astfel operaționalizarea deplină.</w:t>
      </w:r>
    </w:p>
    <w:p w14:paraId="763802EA"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finaliza până la 31 decembrie 2025.</w:t>
      </w:r>
    </w:p>
    <w:p w14:paraId="5DD4C238" w14:textId="77777777" w:rsidR="00271EF8" w:rsidRPr="000A27B3" w:rsidRDefault="00271EF8">
      <w:pPr>
        <w:suppressAutoHyphens/>
        <w:autoSpaceDN w:val="0"/>
        <w:spacing w:before="240" w:after="0"/>
        <w:jc w:val="both"/>
        <w:textAlignment w:val="baseline"/>
        <w:rPr>
          <w:rFonts w:ascii="Times New Roman" w:eastAsia="NSimSun" w:hAnsi="Times New Roman" w:cs="Times New Roman"/>
          <w:noProof/>
          <w:kern w:val="3"/>
          <w:sz w:val="24"/>
          <w:szCs w:val="24"/>
          <w:u w:val="single"/>
        </w:rPr>
      </w:pPr>
      <w:r>
        <w:rPr>
          <w:rFonts w:ascii="Times New Roman" w:hAnsi="Times New Roman"/>
          <w:noProof/>
          <w:sz w:val="24"/>
          <w:u w:val="single"/>
        </w:rPr>
        <w:t>1.6 Strategia privind transportul naval și integrarea cu alte moduri de transport</w:t>
      </w:r>
    </w:p>
    <w:p w14:paraId="462BB7E2"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reforme este de a dezvolta în continuare transportul naval (căi navigabile interioare și porturi) în România, în conformitate cu Strategia UE privind mobilitatea sustenabilă și inteligentă.</w:t>
      </w:r>
    </w:p>
    <w:p w14:paraId="163A3544"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Măsura include adoptarea Strategiei privind transportul naval și planificarea măsurilor de intervenție pentru dezvoltarea sectorului, integrate cu alte moduri de transport, precum și elaborarea și aprobarea planului de acțiune pentru punerea în aplicare a strategiei.</w:t>
      </w:r>
    </w:p>
    <w:p w14:paraId="521A3536"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Se va efectua o analiză a situației actuale a căilor navigabile din România (atât căile navigabile interioare, cât și căile maritime) și a situației actuale a porturilor românești în ceea ce privește infrastructura, cu accent pe modalitățile de îmbunătățire a performanței de mediu a navelor și a porturilor, ținând seama de cerințele aplicabile la nivelul UE, cum ar fi Directiva 2014/94/UE privind instalarea infrastructurii pentru combustibili alternativi. Strategia ar trebui să aibă în vedere măsuri de ecologizare a tuturor operațiunilor portuare (emisii, zgomot, poluare). Pentru a promova navigabilitatea Dunării într-un mod durabil, se va dezvolta o abordare care să combine infrastructura durabilă, combustibilii alternativi și digitalizarea, ținând seama totodată de sensibilitatea ecologică a Dunării. Se vor face propuneri de modificare a cadrului juridic și instituțional cu privire la modul de gestionare a infrastructurii de transport naval, cu următoarele obiective: integrarea transportului naval cu alte moduri de transport, reducerea impactului asupra mediului al porturilor (maritime și interioare) și al transportului naval, elaborarea de planuri de dezvoltare a porturilor intermodale și creșterea durabilă a transportului de mărfuri pe Dunăre cu 15 % până în 2026.</w:t>
      </w:r>
    </w:p>
    <w:p w14:paraId="52784BB5"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finaliza până la 30 iunie 2023.</w:t>
      </w:r>
    </w:p>
    <w:p w14:paraId="6BFD3897"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Investiția 1. Modernizarea și reînnoirea infrastructurii feroviare</w:t>
      </w:r>
    </w:p>
    <w:p w14:paraId="6C70F0E3" w14:textId="48BDE99E" w:rsidR="00271EF8" w:rsidRPr="000A27B3" w:rsidRDefault="00271EF8">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Obiectivul acestei investiții este de a „moderniza” liniile de cale ferată (inclusiv înlocuire șină, traversă, substrat, electrificare, consolidare/construire de poduri/podețe, ERTMS nivelul 2) în conformitate cu standardele TEN-T, precum și de a „reînnoi” (înlocuire șină, traversă, piatră spartă astfel încât să se aducă linia la viteza constructivă) și de a electrifica anumite tronsoane feroviare. În plus, sunt prevăzute unsprezece investiții cu beneficii rapide („quick wins”) pentru eliminarea restricțiilor de viteză pe liniile de căi ferate, creșterea vitezei trenurilor și sporirea siguranței feroviare. Proiectele de tip „quick wins” vor fi implementate pentru a asigura viabilitatea transportului feroviar în lungul coridoarelor TEN-T până la momentul modernizării acestora. În total, investiția va avea drept rezultat: 315 km linii de cale ferată modernizate cu o capacitate crescută cu 30 % și cu ERTMS 2 instalat; 2 426 km (2 163 km proiecte de tip „quick wins” cu linie simplă + 263 km cu linie nouă) de linii de cale ferată reînnoite cu o creștere a vitezei de 15 % (ajungând la o viteză medie de minimum 100 km/h).</w:t>
      </w:r>
    </w:p>
    <w:p w14:paraId="43D6345E"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Investiția include, de asemenea, un portofoliu de 17 proiecte de centralizare electronică a căror implementare se va realiza prin Planul Național de Redresare și Reziliență, cu o distribuție spațială echilibrată în România, care vor duce la secțiuni de cale ferată cu adevărat integrate în coridoarele TEN-T. Cele 17 proiecte de centralizare electronică vor rezolva problemele legate de capacitate pentru 111 stații feroviare cu o lungime totală de peste 973 km. În consecință, se estimează o creștere a volumelor de trafic cu 10-15 %. În plus, proiectele de centralizare electronică propuse vor elimina blocajele rutiere de la trecerile la nivel cu calea ferată prin reducerea semnificativă a timpului de așteptare.</w:t>
      </w:r>
    </w:p>
    <w:p w14:paraId="0BA3D664"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Se preconizează că această măsură nu prejudiciază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proiectele vor respecta pe deplin rezultatele și condițiile stabilite în evaluarea impactului asupra mediului care trebuie finalizată în conformitate cu Directiva 2011/92/UE, precum și evaluările relevante în contextul Directivei 2000/60/CE și al Directivei 92/43/CEE a Consiliului, inclusiv punerea în aplicare a măsurilor de atenuare necesare. Acest lucru asigură faptul că investiția nu are un impact semnificativ sau ireversibil asupra corpurilor de apă afectate și nu produce efecte negative semnificative asupra habitatelor și speciilor protejate.</w:t>
      </w:r>
    </w:p>
    <w:p w14:paraId="27645E72"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investițiilor se finalizează până la 30 iunie 2026, cu 50 % din lucrări finalizate până la 31 decembrie 2024.</w:t>
      </w:r>
    </w:p>
    <w:p w14:paraId="50880405"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Investiția 2. Material rulant feroviar</w:t>
      </w:r>
    </w:p>
    <w:p w14:paraId="0D0F0E09"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în material rulant feroviar cu emisii zero și modernizat este de a crește calitatea serviciilor de transport feroviar public de călători și astfel de a crește cota de piața a acestui tip de transport sustenabil în detrimentul transportului rutier printr-un transfer modal.</w:t>
      </w:r>
    </w:p>
    <w:p w14:paraId="159A170F"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Noul material rulant feroviar va fi pus gratuit la dispoziția operatorilor de transport feroviar de călători, în baza contractelor de servicii publice atribuite în deplină conformitate cu Regulamentul (CE) nr. 1370/2007.</w:t>
      </w:r>
    </w:p>
    <w:p w14:paraId="53735F3C"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2026.</w:t>
      </w:r>
    </w:p>
    <w:p w14:paraId="0C1950E6" w14:textId="77777777" w:rsidR="00271EF8" w:rsidRPr="000A27B3" w:rsidRDefault="00271EF8">
      <w:pPr>
        <w:rPr>
          <w:rFonts w:ascii="Times New Roman" w:hAnsi="Times New Roman" w:cs="Times New Roman"/>
          <w:b/>
          <w:noProof/>
          <w:sz w:val="24"/>
          <w:szCs w:val="24"/>
          <w:u w:val="single"/>
        </w:rPr>
      </w:pPr>
      <w:r>
        <w:rPr>
          <w:noProof/>
        </w:rPr>
        <w:br w:type="page"/>
      </w:r>
    </w:p>
    <w:p w14:paraId="424141B3" w14:textId="77777777" w:rsidR="00271EF8" w:rsidRPr="009F1DC7" w:rsidRDefault="00271EF8">
      <w:pPr>
        <w:spacing w:before="120" w:after="120" w:line="240" w:lineRule="auto"/>
        <w:jc w:val="both"/>
        <w:rPr>
          <w:rFonts w:ascii="Times New Roman" w:hAnsi="Times New Roman" w:cs="Times New Roman"/>
          <w:b/>
          <w:noProof/>
          <w:sz w:val="24"/>
          <w:szCs w:val="24"/>
          <w:u w:val="single"/>
          <w:lang w:val="fr-FR"/>
        </w:rPr>
        <w:sectPr w:rsidR="00271EF8" w:rsidRPr="009F1DC7" w:rsidSect="00ED6412">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cols w:space="708"/>
          <w:docGrid w:linePitch="360"/>
        </w:sectPr>
      </w:pPr>
    </w:p>
    <w:p w14:paraId="5C824811" w14:textId="77777777" w:rsidR="00271EF8" w:rsidRPr="000A27B3" w:rsidRDefault="00271EF8">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D.2. </w:t>
      </w:r>
      <w:r>
        <w:rPr>
          <w:noProof/>
        </w:rPr>
        <w:tab/>
      </w:r>
      <w:r>
        <w:rPr>
          <w:rFonts w:ascii="Times New Roman" w:hAnsi="Times New Roman"/>
          <w:b/>
          <w:noProof/>
          <w:sz w:val="24"/>
        </w:rPr>
        <w:t>Jaloane, ținte, indicatori și calendarul de monitorizare și implementare aplicabile sprijinului financiar nerambursabil</w:t>
      </w:r>
    </w:p>
    <w:tbl>
      <w:tblPr>
        <w:tblW w:w="15310" w:type="dxa"/>
        <w:jc w:val="center"/>
        <w:tblLayout w:type="fixed"/>
        <w:tblCellMar>
          <w:left w:w="28" w:type="dxa"/>
          <w:right w:w="28" w:type="dxa"/>
        </w:tblCellMar>
        <w:tblLook w:val="04A0" w:firstRow="1" w:lastRow="0" w:firstColumn="1" w:lastColumn="0" w:noHBand="0" w:noVBand="1"/>
      </w:tblPr>
      <w:tblGrid>
        <w:gridCol w:w="674"/>
        <w:gridCol w:w="2013"/>
        <w:gridCol w:w="1075"/>
        <w:gridCol w:w="1744"/>
        <w:gridCol w:w="1745"/>
        <w:gridCol w:w="941"/>
        <w:gridCol w:w="1043"/>
        <w:gridCol w:w="960"/>
        <w:gridCol w:w="822"/>
        <w:gridCol w:w="602"/>
        <w:gridCol w:w="3691"/>
      </w:tblGrid>
      <w:tr w:rsidR="000A27B3" w:rsidRPr="000A27B3" w14:paraId="24DB79B4" w14:textId="77777777" w:rsidTr="00974FAA">
        <w:trPr>
          <w:trHeight w:val="302"/>
          <w:tblHeader/>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139E6D"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4B184CD"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409811" w14:textId="04809ADB"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8F1E27">
              <w:rPr>
                <w:rFonts w:ascii="Times New Roman" w:hAnsi="Times New Roman"/>
                <w:b/>
                <w:noProof/>
                <w:sz w:val="24"/>
              </w:rPr>
              <w:br/>
            </w:r>
            <w:r>
              <w:rPr>
                <w:rFonts w:ascii="Times New Roman" w:hAnsi="Times New Roman"/>
                <w:b/>
                <w:noProof/>
                <w:sz w:val="24"/>
              </w:rPr>
              <w:t>țintă</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16BE15"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8719C5"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4EF49B5E"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294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8F94848"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2E56B18C" w14:textId="2B26A23A"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424" w:type="dxa"/>
            <w:gridSpan w:val="2"/>
            <w:tcBorders>
              <w:top w:val="single" w:sz="4" w:space="0" w:color="auto"/>
              <w:left w:val="nil"/>
              <w:bottom w:val="single" w:sz="4" w:space="0" w:color="auto"/>
              <w:right w:val="single" w:sz="4" w:space="0" w:color="auto"/>
            </w:tcBorders>
            <w:shd w:val="clear" w:color="auto" w:fill="BDD7EE"/>
            <w:vAlign w:val="center"/>
            <w:hideMark/>
          </w:tcPr>
          <w:p w14:paraId="4EE614F6"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w:t>
            </w:r>
          </w:p>
          <w:p w14:paraId="6BBEF7AF" w14:textId="6B17A59E"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pentru atingerea jaloanelor/</w:t>
            </w:r>
            <w:r w:rsidR="00974FAA">
              <w:rPr>
                <w:rFonts w:ascii="Times New Roman" w:hAnsi="Times New Roman"/>
                <w:b/>
                <w:noProof/>
                <w:sz w:val="24"/>
              </w:rPr>
              <w:br/>
            </w:r>
            <w:r>
              <w:rPr>
                <w:rFonts w:ascii="Times New Roman" w:hAnsi="Times New Roman"/>
                <w:b/>
                <w:noProof/>
                <w:sz w:val="24"/>
              </w:rPr>
              <w:t xml:space="preserve">țintelor </w:t>
            </w:r>
          </w:p>
        </w:tc>
        <w:tc>
          <w:tcPr>
            <w:tcW w:w="36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30D802"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2CB0513E" w14:textId="77777777" w:rsidTr="00974FAA">
        <w:trPr>
          <w:trHeight w:val="456"/>
          <w:tblHeader/>
          <w:jc w:val="center"/>
        </w:trPr>
        <w:tc>
          <w:tcPr>
            <w:tcW w:w="674" w:type="dxa"/>
            <w:vMerge/>
            <w:tcBorders>
              <w:top w:val="single" w:sz="4" w:space="0" w:color="auto"/>
              <w:left w:val="single" w:sz="4" w:space="0" w:color="auto"/>
              <w:bottom w:val="single" w:sz="4" w:space="0" w:color="auto"/>
              <w:right w:val="single" w:sz="4" w:space="0" w:color="auto"/>
            </w:tcBorders>
            <w:hideMark/>
          </w:tcPr>
          <w:p w14:paraId="12D8B1FB" w14:textId="77777777" w:rsidR="00271EF8" w:rsidRPr="009F1DC7" w:rsidRDefault="00271EF8">
            <w:pPr>
              <w:spacing w:after="0" w:line="240" w:lineRule="auto"/>
              <w:jc w:val="center"/>
              <w:rPr>
                <w:rFonts w:ascii="Times New Roman" w:eastAsia="Times New Roman" w:hAnsi="Times New Roman" w:cs="Times New Roman"/>
                <w:b/>
                <w:noProof/>
                <w:sz w:val="24"/>
                <w:szCs w:val="24"/>
                <w:lang w:eastAsia="en-GB"/>
              </w:rPr>
            </w:pPr>
          </w:p>
        </w:tc>
        <w:tc>
          <w:tcPr>
            <w:tcW w:w="2013" w:type="dxa"/>
            <w:vMerge/>
            <w:tcBorders>
              <w:top w:val="single" w:sz="4" w:space="0" w:color="auto"/>
              <w:left w:val="single" w:sz="4" w:space="0" w:color="auto"/>
              <w:bottom w:val="single" w:sz="4" w:space="0" w:color="auto"/>
              <w:right w:val="single" w:sz="4" w:space="0" w:color="auto"/>
            </w:tcBorders>
            <w:hideMark/>
          </w:tcPr>
          <w:p w14:paraId="1E309785" w14:textId="77777777" w:rsidR="00271EF8" w:rsidRPr="009F1DC7" w:rsidRDefault="00271EF8">
            <w:pPr>
              <w:spacing w:after="0" w:line="240" w:lineRule="auto"/>
              <w:jc w:val="both"/>
              <w:rPr>
                <w:rFonts w:ascii="Times New Roman" w:eastAsia="Times New Roman" w:hAnsi="Times New Roman" w:cs="Times New Roman"/>
                <w:b/>
                <w:noProof/>
                <w:sz w:val="24"/>
                <w:szCs w:val="24"/>
                <w:lang w:eastAsia="en-GB"/>
              </w:rPr>
            </w:pPr>
          </w:p>
        </w:tc>
        <w:tc>
          <w:tcPr>
            <w:tcW w:w="1075" w:type="dxa"/>
            <w:vMerge/>
            <w:tcBorders>
              <w:top w:val="single" w:sz="4" w:space="0" w:color="auto"/>
              <w:left w:val="single" w:sz="4" w:space="0" w:color="auto"/>
              <w:bottom w:val="single" w:sz="4" w:space="0" w:color="auto"/>
              <w:right w:val="single" w:sz="4" w:space="0" w:color="auto"/>
            </w:tcBorders>
            <w:hideMark/>
          </w:tcPr>
          <w:p w14:paraId="493178AC" w14:textId="77777777" w:rsidR="00271EF8" w:rsidRPr="009F1DC7" w:rsidRDefault="00271EF8">
            <w:pPr>
              <w:spacing w:after="0" w:line="240" w:lineRule="auto"/>
              <w:jc w:val="center"/>
              <w:rPr>
                <w:rFonts w:ascii="Times New Roman" w:eastAsia="Times New Roman" w:hAnsi="Times New Roman" w:cs="Times New Roman"/>
                <w:b/>
                <w:noProof/>
                <w:sz w:val="24"/>
                <w:szCs w:val="24"/>
                <w:lang w:eastAsia="en-GB"/>
              </w:rPr>
            </w:pPr>
          </w:p>
        </w:tc>
        <w:tc>
          <w:tcPr>
            <w:tcW w:w="1744" w:type="dxa"/>
            <w:vMerge/>
            <w:tcBorders>
              <w:top w:val="single" w:sz="4" w:space="0" w:color="auto"/>
              <w:left w:val="single" w:sz="4" w:space="0" w:color="auto"/>
              <w:bottom w:val="single" w:sz="4" w:space="0" w:color="auto"/>
              <w:right w:val="single" w:sz="4" w:space="0" w:color="auto"/>
            </w:tcBorders>
            <w:hideMark/>
          </w:tcPr>
          <w:p w14:paraId="09EF3089" w14:textId="77777777" w:rsidR="00271EF8" w:rsidRPr="009F1DC7" w:rsidRDefault="00271EF8">
            <w:pPr>
              <w:spacing w:after="0" w:line="240" w:lineRule="auto"/>
              <w:jc w:val="both"/>
              <w:rPr>
                <w:rFonts w:ascii="Times New Roman" w:eastAsia="Times New Roman" w:hAnsi="Times New Roman" w:cs="Times New Roman"/>
                <w:b/>
                <w:noProof/>
                <w:sz w:val="24"/>
                <w:szCs w:val="24"/>
                <w:lang w:eastAsia="en-GB"/>
              </w:rPr>
            </w:pPr>
          </w:p>
        </w:tc>
        <w:tc>
          <w:tcPr>
            <w:tcW w:w="1745" w:type="dxa"/>
            <w:vMerge/>
            <w:tcBorders>
              <w:top w:val="single" w:sz="4" w:space="0" w:color="auto"/>
              <w:left w:val="single" w:sz="4" w:space="0" w:color="auto"/>
              <w:bottom w:val="single" w:sz="4" w:space="0" w:color="auto"/>
              <w:right w:val="single" w:sz="4" w:space="0" w:color="auto"/>
            </w:tcBorders>
            <w:hideMark/>
          </w:tcPr>
          <w:p w14:paraId="3825A746" w14:textId="77777777" w:rsidR="00271EF8" w:rsidRPr="009F1DC7" w:rsidRDefault="00271EF8">
            <w:pPr>
              <w:spacing w:after="0" w:line="240" w:lineRule="auto"/>
              <w:jc w:val="both"/>
              <w:rPr>
                <w:rFonts w:ascii="Times New Roman" w:eastAsia="Times New Roman" w:hAnsi="Times New Roman" w:cs="Times New Roman"/>
                <w:b/>
                <w:noProof/>
                <w:sz w:val="24"/>
                <w:szCs w:val="24"/>
                <w:lang w:eastAsia="en-GB"/>
              </w:rPr>
            </w:pPr>
          </w:p>
        </w:tc>
        <w:tc>
          <w:tcPr>
            <w:tcW w:w="941" w:type="dxa"/>
            <w:tcBorders>
              <w:top w:val="nil"/>
              <w:left w:val="single" w:sz="4" w:space="0" w:color="auto"/>
              <w:bottom w:val="single" w:sz="4" w:space="0" w:color="auto"/>
              <w:right w:val="single" w:sz="4" w:space="0" w:color="auto"/>
            </w:tcBorders>
            <w:shd w:val="clear" w:color="auto" w:fill="BDD7EE"/>
            <w:vAlign w:val="center"/>
            <w:hideMark/>
          </w:tcPr>
          <w:p w14:paraId="178F086A"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w:t>
            </w:r>
          </w:p>
          <w:p w14:paraId="65429822"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w:t>
            </w:r>
          </w:p>
          <w:p w14:paraId="46D33115"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w:t>
            </w:r>
          </w:p>
        </w:tc>
        <w:tc>
          <w:tcPr>
            <w:tcW w:w="1043" w:type="dxa"/>
            <w:tcBorders>
              <w:top w:val="nil"/>
              <w:left w:val="nil"/>
              <w:bottom w:val="single" w:sz="4" w:space="0" w:color="auto"/>
              <w:right w:val="single" w:sz="4" w:space="0" w:color="auto"/>
            </w:tcBorders>
            <w:shd w:val="clear" w:color="auto" w:fill="BDD7EE"/>
            <w:vAlign w:val="center"/>
            <w:hideMark/>
          </w:tcPr>
          <w:p w14:paraId="68A3E849" w14:textId="37E8E923" w:rsidR="00271EF8" w:rsidRPr="000A27B3" w:rsidRDefault="00271EF8" w:rsidP="008F034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960" w:type="dxa"/>
            <w:tcBorders>
              <w:top w:val="nil"/>
              <w:left w:val="nil"/>
              <w:bottom w:val="single" w:sz="4" w:space="0" w:color="auto"/>
              <w:right w:val="single" w:sz="4" w:space="0" w:color="auto"/>
            </w:tcBorders>
            <w:shd w:val="clear" w:color="auto" w:fill="BDD7EE"/>
            <w:vAlign w:val="center"/>
            <w:hideMark/>
          </w:tcPr>
          <w:p w14:paraId="73132935" w14:textId="77777777" w:rsidR="00271EF8" w:rsidRPr="000A27B3" w:rsidRDefault="00271EF8">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822" w:type="dxa"/>
            <w:tcBorders>
              <w:top w:val="nil"/>
              <w:left w:val="nil"/>
              <w:bottom w:val="single" w:sz="4" w:space="0" w:color="auto"/>
              <w:right w:val="single" w:sz="4" w:space="0" w:color="auto"/>
            </w:tcBorders>
            <w:shd w:val="clear" w:color="auto" w:fill="BDD7EE"/>
            <w:vAlign w:val="center"/>
            <w:hideMark/>
          </w:tcPr>
          <w:p w14:paraId="4120DDA6"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602" w:type="dxa"/>
            <w:tcBorders>
              <w:top w:val="nil"/>
              <w:left w:val="nil"/>
              <w:bottom w:val="single" w:sz="4" w:space="0" w:color="auto"/>
              <w:right w:val="single" w:sz="4" w:space="0" w:color="auto"/>
            </w:tcBorders>
            <w:shd w:val="clear" w:color="auto" w:fill="BDD7EE"/>
            <w:vAlign w:val="center"/>
            <w:hideMark/>
          </w:tcPr>
          <w:p w14:paraId="24E40BD6"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691" w:type="dxa"/>
            <w:vMerge/>
            <w:tcBorders>
              <w:top w:val="single" w:sz="4" w:space="0" w:color="auto"/>
              <w:bottom w:val="single" w:sz="4" w:space="0" w:color="auto"/>
              <w:right w:val="single" w:sz="4" w:space="0" w:color="auto"/>
            </w:tcBorders>
            <w:hideMark/>
          </w:tcPr>
          <w:p w14:paraId="5BA6E51C" w14:textId="77777777" w:rsidR="00271EF8" w:rsidRPr="000A27B3" w:rsidRDefault="00271EF8">
            <w:pPr>
              <w:spacing w:after="0" w:line="240" w:lineRule="auto"/>
              <w:jc w:val="both"/>
              <w:rPr>
                <w:rFonts w:ascii="Times New Roman" w:eastAsia="Times New Roman" w:hAnsi="Times New Roman" w:cs="Times New Roman"/>
                <w:b/>
                <w:noProof/>
                <w:sz w:val="24"/>
                <w:szCs w:val="24"/>
                <w:lang w:val="en-GB" w:eastAsia="en-GB"/>
              </w:rPr>
            </w:pPr>
          </w:p>
        </w:tc>
      </w:tr>
      <w:tr w:rsidR="000A27B3" w:rsidRPr="000A27B3" w14:paraId="41FE9AC4"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03298AD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59</w:t>
            </w:r>
          </w:p>
        </w:tc>
        <w:tc>
          <w:tcPr>
            <w:tcW w:w="2013" w:type="dxa"/>
            <w:tcBorders>
              <w:top w:val="single" w:sz="4" w:space="0" w:color="auto"/>
              <w:left w:val="nil"/>
              <w:bottom w:val="single" w:sz="4" w:space="0" w:color="auto"/>
              <w:right w:val="single" w:sz="4" w:space="0" w:color="auto"/>
            </w:tcBorders>
            <w:shd w:val="clear" w:color="auto" w:fill="C6EFCE"/>
            <w:noWrap/>
          </w:tcPr>
          <w:p w14:paraId="6BC059B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4D3E5B6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Decarbonizarea rutieră în conformitate cu principiul „poluatorul plătește”</w:t>
            </w:r>
          </w:p>
        </w:tc>
        <w:tc>
          <w:tcPr>
            <w:tcW w:w="1075" w:type="dxa"/>
            <w:tcBorders>
              <w:top w:val="single" w:sz="4" w:space="0" w:color="auto"/>
              <w:left w:val="nil"/>
              <w:bottom w:val="single" w:sz="4" w:space="0" w:color="auto"/>
              <w:right w:val="single" w:sz="4" w:space="0" w:color="auto"/>
            </w:tcBorders>
            <w:shd w:val="clear" w:color="auto" w:fill="C6EFCE"/>
            <w:noWrap/>
          </w:tcPr>
          <w:p w14:paraId="6C458FD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43AC8DB0" w14:textId="43385BB2"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vigoare a legislației ce vizează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w:t>
            </w:r>
          </w:p>
        </w:tc>
        <w:tc>
          <w:tcPr>
            <w:tcW w:w="1745" w:type="dxa"/>
            <w:tcBorders>
              <w:top w:val="single" w:sz="4" w:space="0" w:color="auto"/>
              <w:left w:val="nil"/>
              <w:bottom w:val="single" w:sz="4" w:space="0" w:color="auto"/>
              <w:right w:val="single" w:sz="4" w:space="0" w:color="auto"/>
            </w:tcBorders>
            <w:shd w:val="clear" w:color="auto" w:fill="C6EFCE"/>
            <w:noWrap/>
          </w:tcPr>
          <w:p w14:paraId="4DC47D91" w14:textId="1ECE1C0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Dispoziție legislativă care indică intrarea în vigoare a legislației </w:t>
            </w:r>
          </w:p>
        </w:tc>
        <w:tc>
          <w:tcPr>
            <w:tcW w:w="941" w:type="dxa"/>
            <w:tcBorders>
              <w:top w:val="single" w:sz="4" w:space="0" w:color="auto"/>
              <w:left w:val="nil"/>
              <w:bottom w:val="single" w:sz="4" w:space="0" w:color="auto"/>
              <w:right w:val="single" w:sz="4" w:space="0" w:color="auto"/>
            </w:tcBorders>
            <w:shd w:val="clear" w:color="auto" w:fill="C6EFCE"/>
            <w:noWrap/>
          </w:tcPr>
          <w:p w14:paraId="0611FB59"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7AE4265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1DA10EB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46BD394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644BFDC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525303EC"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Pachetul legislativ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w:t>
            </w:r>
          </w:p>
          <w:p w14:paraId="55CA45A8"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Noul sistem de taxare pentru vehicule va include:</w:t>
            </w:r>
          </w:p>
          <w:p w14:paraId="4BDF1E77"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szCs w:val="24"/>
              </w:rPr>
            </w:pPr>
            <w:r>
              <w:rPr>
                <w:rFonts w:ascii="Times New Roman" w:hAnsi="Times New Roman"/>
                <w:noProof/>
                <w:sz w:val="24"/>
              </w:rPr>
              <w:t>nivelul specific al taxelor în funcție de distanța parcursă și criterii clare pentru taxarea vehiculelor grele în conformitate cu principiul „poluatorul plătește”;</w:t>
            </w:r>
          </w:p>
          <w:p w14:paraId="49A08C4D"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rPr>
            </w:pPr>
            <w:r>
              <w:rPr>
                <w:rFonts w:ascii="Times New Roman" w:hAnsi="Times New Roman"/>
                <w:noProof/>
                <w:sz w:val="24"/>
              </w:rPr>
              <w:t>stimulente pentru vehicule și moduri de transport nepoluante/cu emisii scăzute;</w:t>
            </w:r>
          </w:p>
          <w:p w14:paraId="2F335458"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szCs w:val="24"/>
              </w:rPr>
            </w:pPr>
            <w:r>
              <w:rPr>
                <w:rFonts w:ascii="Times New Roman" w:hAnsi="Times New Roman"/>
                <w:noProof/>
                <w:sz w:val="24"/>
              </w:rPr>
              <w:t>un sistem de descurajare a utilizării celor mai poluante vehicule, inclusiv prin măsuri fiscale/financiare, prin intermediul nivelurilor taxelor de proprietate pentru cele mai poluante vehicule de pasageri;</w:t>
            </w:r>
          </w:p>
          <w:p w14:paraId="5F377CCC"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szCs w:val="24"/>
              </w:rPr>
            </w:pPr>
            <w:r>
              <w:rPr>
                <w:rFonts w:ascii="Times New Roman" w:hAnsi="Times New Roman"/>
                <w:noProof/>
                <w:sz w:val="24"/>
              </w:rPr>
              <w:t>utilizarea veniturilor pentru a sprijini întreținerea drumurilor și noi investiții în transportul sustenabil;</w:t>
            </w:r>
          </w:p>
          <w:p w14:paraId="6EBB8D3A"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szCs w:val="24"/>
              </w:rPr>
            </w:pPr>
            <w:r>
              <w:rPr>
                <w:rFonts w:ascii="Times New Roman" w:hAnsi="Times New Roman"/>
                <w:noProof/>
                <w:sz w:val="24"/>
              </w:rPr>
              <w:t>transferul a 10 % din traficul rutier (călători și mărfuri) către transportul feroviar între 2020 și 2026;</w:t>
            </w:r>
          </w:p>
          <w:p w14:paraId="2C25D239"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szCs w:val="24"/>
              </w:rPr>
            </w:pPr>
            <w:r>
              <w:rPr>
                <w:rFonts w:ascii="Times New Roman" w:hAnsi="Times New Roman"/>
                <w:noProof/>
                <w:sz w:val="24"/>
              </w:rPr>
              <w:t>calendarul pentru operaționalizarea deplină a sistemului de taxare până în T2-2026.</w:t>
            </w:r>
          </w:p>
        </w:tc>
      </w:tr>
      <w:tr w:rsidR="000A27B3" w:rsidRPr="000A27B3" w14:paraId="79495FC7"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5F8424A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60</w:t>
            </w:r>
          </w:p>
        </w:tc>
        <w:tc>
          <w:tcPr>
            <w:tcW w:w="2013" w:type="dxa"/>
            <w:tcBorders>
              <w:top w:val="single" w:sz="4" w:space="0" w:color="auto"/>
              <w:left w:val="nil"/>
              <w:bottom w:val="single" w:sz="4" w:space="0" w:color="auto"/>
              <w:right w:val="single" w:sz="4" w:space="0" w:color="auto"/>
            </w:tcBorders>
            <w:shd w:val="clear" w:color="auto" w:fill="C6EFCE"/>
            <w:noWrap/>
          </w:tcPr>
          <w:p w14:paraId="6B7FC1A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1F354EC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Decarbonizarea rutieră în conformitate cu principiul „poluatorul plătește”</w:t>
            </w:r>
          </w:p>
        </w:tc>
        <w:tc>
          <w:tcPr>
            <w:tcW w:w="1075" w:type="dxa"/>
            <w:tcBorders>
              <w:top w:val="single" w:sz="4" w:space="0" w:color="auto"/>
              <w:left w:val="nil"/>
              <w:bottom w:val="single" w:sz="4" w:space="0" w:color="auto"/>
              <w:right w:val="single" w:sz="4" w:space="0" w:color="auto"/>
            </w:tcBorders>
            <w:shd w:val="clear" w:color="auto" w:fill="C6EFCE"/>
            <w:noWrap/>
          </w:tcPr>
          <w:p w14:paraId="5B1D099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04055D51" w14:textId="6415FC6D"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vigoare a legislației ce vizează stimularea utilizării de vehicule nepoluante și programe de reînnoire a parcului auto de către utilizatori casnici, companii private și instituții publice</w:t>
            </w:r>
          </w:p>
        </w:tc>
        <w:tc>
          <w:tcPr>
            <w:tcW w:w="1745" w:type="dxa"/>
            <w:tcBorders>
              <w:top w:val="single" w:sz="4" w:space="0" w:color="auto"/>
              <w:left w:val="nil"/>
              <w:bottom w:val="single" w:sz="4" w:space="0" w:color="auto"/>
              <w:right w:val="single" w:sz="4" w:space="0" w:color="auto"/>
            </w:tcBorders>
            <w:shd w:val="clear" w:color="auto" w:fill="C6EFCE"/>
            <w:noWrap/>
          </w:tcPr>
          <w:p w14:paraId="5CD9AB24" w14:textId="214223DB"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legislativă care indică intrarea în vigoare a legislației ce vizează stimularea utilizării de vehicule nepoluante și programe de reînnoire a parcului auto</w:t>
            </w:r>
          </w:p>
        </w:tc>
        <w:tc>
          <w:tcPr>
            <w:tcW w:w="941" w:type="dxa"/>
            <w:tcBorders>
              <w:top w:val="single" w:sz="4" w:space="0" w:color="auto"/>
              <w:left w:val="nil"/>
              <w:bottom w:val="single" w:sz="4" w:space="0" w:color="auto"/>
              <w:right w:val="single" w:sz="4" w:space="0" w:color="auto"/>
            </w:tcBorders>
            <w:shd w:val="clear" w:color="auto" w:fill="C6EFCE"/>
            <w:noWrap/>
          </w:tcPr>
          <w:p w14:paraId="25875F31"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555BAFD8"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3975D187"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77F3FCA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662FD5D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691" w:type="dxa"/>
            <w:tcBorders>
              <w:top w:val="single" w:sz="4" w:space="0" w:color="auto"/>
              <w:left w:val="nil"/>
              <w:bottom w:val="single" w:sz="4" w:space="0" w:color="auto"/>
              <w:right w:val="single" w:sz="4" w:space="0" w:color="auto"/>
            </w:tcBorders>
            <w:shd w:val="clear" w:color="auto" w:fill="C6EFCE"/>
            <w:noWrap/>
          </w:tcPr>
          <w:p w14:paraId="542AECF9" w14:textId="01665C1C"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Legislația va include stimulente financiare și fiscale pentru a asigura:</w:t>
            </w:r>
          </w:p>
          <w:p w14:paraId="0DD1E6D3"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rPr>
            </w:pPr>
            <w:r>
              <w:rPr>
                <w:rFonts w:ascii="Times New Roman" w:hAnsi="Times New Roman"/>
                <w:noProof/>
                <w:sz w:val="24"/>
              </w:rPr>
              <w:t>creșterea cu cel puțin 100 % a numărului de vehicule cu emisii zero până în 2025 față de valoarea inițială din anul 2020;</w:t>
            </w:r>
          </w:p>
          <w:p w14:paraId="4890E260" w14:textId="77777777" w:rsidR="00271EF8" w:rsidRPr="000A27B3" w:rsidRDefault="00271EF8" w:rsidP="00271EF8">
            <w:pPr>
              <w:pStyle w:val="ListParagraph"/>
              <w:numPr>
                <w:ilvl w:val="0"/>
                <w:numId w:val="8"/>
              </w:numPr>
              <w:spacing w:after="0" w:line="240" w:lineRule="auto"/>
              <w:ind w:left="165" w:hanging="141"/>
              <w:jc w:val="both"/>
              <w:rPr>
                <w:rFonts w:ascii="Times New Roman" w:eastAsia="Times New Roman" w:hAnsi="Times New Roman" w:cs="Times New Roman"/>
                <w:noProof/>
                <w:sz w:val="24"/>
              </w:rPr>
            </w:pPr>
            <w:r>
              <w:rPr>
                <w:rFonts w:ascii="Times New Roman" w:hAnsi="Times New Roman"/>
                <w:noProof/>
                <w:sz w:val="24"/>
              </w:rPr>
              <w:t>casarea a cel puțin 250 000 de vehicule poluante (cu standard de emisii EURO 3 sau inferior) între 2022 și T2 2026.</w:t>
            </w:r>
          </w:p>
        </w:tc>
      </w:tr>
      <w:tr w:rsidR="000A27B3" w:rsidRPr="000A27B3" w14:paraId="6B6994A5"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0EEC4C8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61</w:t>
            </w:r>
          </w:p>
        </w:tc>
        <w:tc>
          <w:tcPr>
            <w:tcW w:w="2013" w:type="dxa"/>
            <w:tcBorders>
              <w:top w:val="single" w:sz="4" w:space="0" w:color="auto"/>
              <w:left w:val="nil"/>
              <w:bottom w:val="single" w:sz="4" w:space="0" w:color="auto"/>
              <w:right w:val="single" w:sz="4" w:space="0" w:color="auto"/>
            </w:tcBorders>
            <w:shd w:val="clear" w:color="auto" w:fill="C6EFCE"/>
            <w:noWrap/>
          </w:tcPr>
          <w:p w14:paraId="1A3FCA6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1C44AD9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Decarbonizarea rutieră în conformitate cu principiul „poluatorul plătește”</w:t>
            </w:r>
          </w:p>
        </w:tc>
        <w:tc>
          <w:tcPr>
            <w:tcW w:w="1075" w:type="dxa"/>
            <w:tcBorders>
              <w:top w:val="single" w:sz="4" w:space="0" w:color="auto"/>
              <w:left w:val="nil"/>
              <w:bottom w:val="single" w:sz="4" w:space="0" w:color="auto"/>
              <w:right w:val="single" w:sz="4" w:space="0" w:color="auto"/>
            </w:tcBorders>
            <w:shd w:val="clear" w:color="auto" w:fill="C6EFCE"/>
            <w:noWrap/>
          </w:tcPr>
          <w:p w14:paraId="11C3F0A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24F3904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Vehicule noi nepoluante achiziționate de către entități publice, cu cel puțin 3 % peste pragurile din Directiva privind vehiculele nepoluante</w:t>
            </w:r>
          </w:p>
        </w:tc>
        <w:tc>
          <w:tcPr>
            <w:tcW w:w="1745" w:type="dxa"/>
            <w:tcBorders>
              <w:top w:val="single" w:sz="4" w:space="0" w:color="auto"/>
              <w:left w:val="nil"/>
              <w:bottom w:val="single" w:sz="4" w:space="0" w:color="auto"/>
              <w:right w:val="single" w:sz="4" w:space="0" w:color="auto"/>
            </w:tcBorders>
            <w:shd w:val="clear" w:color="auto" w:fill="C6EFCE"/>
            <w:noWrap/>
          </w:tcPr>
          <w:p w14:paraId="2EF3DA2D"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5C05C205"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Procentaj (%)</w:t>
            </w:r>
          </w:p>
          <w:p w14:paraId="63F11334"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327AA67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2651887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3</w:t>
            </w:r>
          </w:p>
        </w:tc>
        <w:tc>
          <w:tcPr>
            <w:tcW w:w="822" w:type="dxa"/>
            <w:tcBorders>
              <w:top w:val="single" w:sz="4" w:space="0" w:color="auto"/>
              <w:left w:val="nil"/>
              <w:bottom w:val="single" w:sz="4" w:space="0" w:color="auto"/>
              <w:right w:val="single" w:sz="4" w:space="0" w:color="auto"/>
            </w:tcBorders>
            <w:shd w:val="clear" w:color="auto" w:fill="C6EFCE"/>
            <w:noWrap/>
          </w:tcPr>
          <w:p w14:paraId="20EBFCA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1848E6A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691" w:type="dxa"/>
            <w:tcBorders>
              <w:top w:val="single" w:sz="4" w:space="0" w:color="auto"/>
              <w:left w:val="nil"/>
              <w:bottom w:val="single" w:sz="4" w:space="0" w:color="auto"/>
              <w:right w:val="single" w:sz="4" w:space="0" w:color="auto"/>
            </w:tcBorders>
            <w:shd w:val="clear" w:color="auto" w:fill="C6EFCE"/>
            <w:noWrap/>
          </w:tcPr>
          <w:p w14:paraId="3FC4F61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Ținta se referă la procentajul vehiculelor nepoluante din numărul total de vehicule achiziționate de instituțiile publice. Se urmărește depășirea cu cel puțin 3 puncte procentuale a țintelor minime privind achizițiile publice referitoare la ponderea vehiculelor nepoluante din numărul total de vehicule pe categorii, astfel cum sunt stabilite în Directiva privind vehiculele nepoluante [Directiva (UE) 2019/1161 a Parlamentului European și a Consiliului din 20 iunie 2019 de modificare a Directivei 2009/33/CE] în perioada 2021-2025. </w:t>
            </w:r>
          </w:p>
          <w:p w14:paraId="0221F2BB"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Pentru claritate, aceasta ar însemna o țintă de cel puțin 21,7 % pentru vehicule ușoare, 9 % pentru vehicule grele și 27 % pentru autobuze, având în vedere că țintele minime privind achizițiile publice stabilite pentru România în Directiva privind vehiculele nepoluante sunt: 18,7 % pentru vehicule ușoare, 6 % pentru vehicule grele și 24 % pentru autobuze.</w:t>
            </w:r>
          </w:p>
        </w:tc>
      </w:tr>
      <w:tr w:rsidR="000A27B3" w:rsidRPr="000A27B3" w14:paraId="0CCD035D"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4C787E4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62</w:t>
            </w:r>
          </w:p>
        </w:tc>
        <w:tc>
          <w:tcPr>
            <w:tcW w:w="2013" w:type="dxa"/>
            <w:tcBorders>
              <w:top w:val="single" w:sz="4" w:space="0" w:color="auto"/>
              <w:left w:val="nil"/>
              <w:bottom w:val="single" w:sz="4" w:space="0" w:color="auto"/>
              <w:right w:val="single" w:sz="4" w:space="0" w:color="auto"/>
            </w:tcBorders>
            <w:shd w:val="clear" w:color="auto" w:fill="C6EFCE"/>
            <w:noWrap/>
          </w:tcPr>
          <w:p w14:paraId="4591F9D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0C2B350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Decarbonizarea rutieră în conformitate cu principiul „poluatorul plătește”</w:t>
            </w:r>
          </w:p>
        </w:tc>
        <w:tc>
          <w:tcPr>
            <w:tcW w:w="1075" w:type="dxa"/>
            <w:tcBorders>
              <w:top w:val="single" w:sz="4" w:space="0" w:color="auto"/>
              <w:left w:val="nil"/>
              <w:bottom w:val="single" w:sz="4" w:space="0" w:color="auto"/>
              <w:right w:val="single" w:sz="4" w:space="0" w:color="auto"/>
            </w:tcBorders>
            <w:shd w:val="clear" w:color="auto" w:fill="C6EFCE"/>
            <w:noWrap/>
          </w:tcPr>
          <w:p w14:paraId="709D3729" w14:textId="77777777" w:rsidR="00271EF8" w:rsidRPr="000A27B3" w:rsidRDefault="00271EF8">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5A5A0AE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Autovehicule poluante casate (cu standard de emisii EURO 3 sau inferior)</w:t>
            </w:r>
          </w:p>
        </w:tc>
        <w:tc>
          <w:tcPr>
            <w:tcW w:w="1745" w:type="dxa"/>
            <w:tcBorders>
              <w:top w:val="single" w:sz="4" w:space="0" w:color="auto"/>
              <w:left w:val="nil"/>
              <w:bottom w:val="single" w:sz="4" w:space="0" w:color="auto"/>
              <w:right w:val="single" w:sz="4" w:space="0" w:color="auto"/>
            </w:tcBorders>
            <w:shd w:val="clear" w:color="auto" w:fill="C6EFCE"/>
            <w:noWrap/>
          </w:tcPr>
          <w:p w14:paraId="4B60B55A"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581A267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043" w:type="dxa"/>
            <w:tcBorders>
              <w:top w:val="single" w:sz="4" w:space="0" w:color="auto"/>
              <w:left w:val="nil"/>
              <w:bottom w:val="single" w:sz="4" w:space="0" w:color="auto"/>
              <w:right w:val="single" w:sz="4" w:space="0" w:color="auto"/>
            </w:tcBorders>
            <w:shd w:val="clear" w:color="auto" w:fill="C6EFCE"/>
            <w:noWrap/>
          </w:tcPr>
          <w:p w14:paraId="7E41BAB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3AA47CA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250 000</w:t>
            </w:r>
          </w:p>
        </w:tc>
        <w:tc>
          <w:tcPr>
            <w:tcW w:w="822" w:type="dxa"/>
            <w:tcBorders>
              <w:top w:val="single" w:sz="4" w:space="0" w:color="auto"/>
              <w:left w:val="nil"/>
              <w:bottom w:val="single" w:sz="4" w:space="0" w:color="auto"/>
              <w:right w:val="single" w:sz="4" w:space="0" w:color="auto"/>
            </w:tcBorders>
            <w:shd w:val="clear" w:color="auto" w:fill="C6EFCE"/>
            <w:noWrap/>
          </w:tcPr>
          <w:p w14:paraId="535011A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41C10EF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26685D38" w14:textId="0EC70F32"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250 000 de vehicule poluante (cu standard de emisii EURO 3 sau inferior) mai vechi de 15</w:t>
            </w:r>
            <w:r w:rsidR="00974FAA">
              <w:rPr>
                <w:rFonts w:ascii="Times New Roman" w:hAnsi="Times New Roman"/>
                <w:noProof/>
                <w:sz w:val="24"/>
              </w:rPr>
              <w:t> </w:t>
            </w:r>
            <w:r>
              <w:rPr>
                <w:rFonts w:ascii="Times New Roman" w:hAnsi="Times New Roman"/>
                <w:noProof/>
                <w:sz w:val="24"/>
              </w:rPr>
              <w:t>ani vor fi casate între 2022 și jumătatea anului 2026.</w:t>
            </w:r>
          </w:p>
        </w:tc>
      </w:tr>
      <w:tr w:rsidR="000A27B3" w:rsidRPr="000A27B3" w14:paraId="414E733D"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006CE5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63</w:t>
            </w:r>
          </w:p>
        </w:tc>
        <w:tc>
          <w:tcPr>
            <w:tcW w:w="2013" w:type="dxa"/>
            <w:tcBorders>
              <w:top w:val="single" w:sz="4" w:space="0" w:color="auto"/>
              <w:left w:val="nil"/>
              <w:bottom w:val="single" w:sz="4" w:space="0" w:color="auto"/>
              <w:right w:val="single" w:sz="4" w:space="0" w:color="auto"/>
            </w:tcBorders>
            <w:shd w:val="clear" w:color="auto" w:fill="C6EFCE"/>
            <w:noWrap/>
          </w:tcPr>
          <w:p w14:paraId="1026CB5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3B541D2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Decarbonizarea rutieră în conformitate cu principiul „poluatorul plătește”</w:t>
            </w:r>
          </w:p>
        </w:tc>
        <w:tc>
          <w:tcPr>
            <w:tcW w:w="1075" w:type="dxa"/>
            <w:tcBorders>
              <w:top w:val="single" w:sz="4" w:space="0" w:color="auto"/>
              <w:left w:val="nil"/>
              <w:bottom w:val="single" w:sz="4" w:space="0" w:color="auto"/>
              <w:right w:val="single" w:sz="4" w:space="0" w:color="auto"/>
            </w:tcBorders>
            <w:shd w:val="clear" w:color="auto" w:fill="C6EFCE"/>
            <w:noWrap/>
          </w:tcPr>
          <w:p w14:paraId="24F02D4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2D04CB4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Creșterea numărului de vehicule cu emisii zero </w:t>
            </w:r>
          </w:p>
        </w:tc>
        <w:tc>
          <w:tcPr>
            <w:tcW w:w="1745" w:type="dxa"/>
            <w:tcBorders>
              <w:top w:val="single" w:sz="4" w:space="0" w:color="auto"/>
              <w:left w:val="nil"/>
              <w:bottom w:val="single" w:sz="4" w:space="0" w:color="auto"/>
              <w:right w:val="single" w:sz="4" w:space="0" w:color="auto"/>
            </w:tcBorders>
            <w:shd w:val="clear" w:color="auto" w:fill="C6EFCE"/>
            <w:noWrap/>
          </w:tcPr>
          <w:p w14:paraId="2BF7A3F6"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5659D22F"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Număr</w:t>
            </w:r>
          </w:p>
          <w:p w14:paraId="4EE1294B"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2EFA026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483A1EC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29 500</w:t>
            </w:r>
          </w:p>
        </w:tc>
        <w:tc>
          <w:tcPr>
            <w:tcW w:w="822" w:type="dxa"/>
            <w:tcBorders>
              <w:top w:val="single" w:sz="4" w:space="0" w:color="auto"/>
              <w:left w:val="nil"/>
              <w:bottom w:val="single" w:sz="4" w:space="0" w:color="auto"/>
              <w:right w:val="single" w:sz="4" w:space="0" w:color="auto"/>
            </w:tcBorders>
            <w:shd w:val="clear" w:color="auto" w:fill="C6EFCE"/>
            <w:noWrap/>
          </w:tcPr>
          <w:p w14:paraId="78BC76F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602" w:type="dxa"/>
            <w:tcBorders>
              <w:top w:val="single" w:sz="4" w:space="0" w:color="auto"/>
              <w:left w:val="nil"/>
              <w:bottom w:val="single" w:sz="4" w:space="0" w:color="auto"/>
              <w:right w:val="single" w:sz="4" w:space="0" w:color="auto"/>
            </w:tcBorders>
            <w:shd w:val="clear" w:color="auto" w:fill="C6EFCE"/>
            <w:noWrap/>
          </w:tcPr>
          <w:p w14:paraId="712CA90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595EA1A7"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Ținta se referă la creșterea numărului de vehicule cu emisii zero (electrice și hidrogen, astfel cum sunt definite în Directiva 2014/94/UE privind infrastructura pentru combustibili alternativi) (M1 - autoturisme, N1 - vehicule utilitare ușoare; N2 și N3 - vehicule grele, pe baza standardelor CEE-ONU) înmatriculate în România între sfârșitul anului 2020 și sfârșitul anului 2025. Datele oficiale pentru sfârșitul anului 2025 se raportează de Institutul Național de Statistică până la sfârșitul T1-2026 către Observatorul european al combustibililor alternativi, în scopul monitorizării.</w:t>
            </w:r>
          </w:p>
          <w:p w14:paraId="1E6C7197" w14:textId="77777777" w:rsidR="00271EF8" w:rsidRPr="009F1DC7" w:rsidRDefault="00271EF8">
            <w:pPr>
              <w:spacing w:after="0" w:line="240" w:lineRule="auto"/>
              <w:jc w:val="both"/>
              <w:rPr>
                <w:rFonts w:ascii="Times New Roman" w:eastAsia="Times New Roman" w:hAnsi="Times New Roman" w:cs="Times New Roman"/>
                <w:noProof/>
                <w:sz w:val="24"/>
                <w:lang w:eastAsia="en-GB"/>
              </w:rPr>
            </w:pPr>
          </w:p>
        </w:tc>
      </w:tr>
      <w:tr w:rsidR="000A27B3" w:rsidRPr="000A27B3" w14:paraId="254DA8A8"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9A7CCA3" w14:textId="77777777" w:rsidR="00271EF8" w:rsidRPr="000A27B3" w:rsidRDefault="00271EF8">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64</w:t>
            </w:r>
          </w:p>
        </w:tc>
        <w:tc>
          <w:tcPr>
            <w:tcW w:w="2013" w:type="dxa"/>
            <w:tcBorders>
              <w:top w:val="single" w:sz="4" w:space="0" w:color="auto"/>
              <w:left w:val="nil"/>
              <w:bottom w:val="single" w:sz="4" w:space="0" w:color="auto"/>
              <w:right w:val="single" w:sz="4" w:space="0" w:color="auto"/>
            </w:tcBorders>
            <w:shd w:val="clear" w:color="auto" w:fill="C6EFCE"/>
            <w:noWrap/>
          </w:tcPr>
          <w:p w14:paraId="3562957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 Infrastructura pentru combustibili alternativi</w:t>
            </w:r>
          </w:p>
        </w:tc>
        <w:tc>
          <w:tcPr>
            <w:tcW w:w="1075" w:type="dxa"/>
            <w:tcBorders>
              <w:top w:val="single" w:sz="4" w:space="0" w:color="auto"/>
              <w:left w:val="nil"/>
              <w:bottom w:val="single" w:sz="4" w:space="0" w:color="auto"/>
              <w:right w:val="single" w:sz="4" w:space="0" w:color="auto"/>
            </w:tcBorders>
            <w:shd w:val="clear" w:color="auto" w:fill="C6EFCE"/>
            <w:noWrap/>
          </w:tcPr>
          <w:p w14:paraId="220D6AB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77C40947"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Puncte de reîncărcare pentru vehicule electrice instalate la nivel național</w:t>
            </w:r>
          </w:p>
        </w:tc>
        <w:tc>
          <w:tcPr>
            <w:tcW w:w="1745" w:type="dxa"/>
            <w:tcBorders>
              <w:top w:val="single" w:sz="4" w:space="0" w:color="auto"/>
              <w:left w:val="nil"/>
              <w:bottom w:val="single" w:sz="4" w:space="0" w:color="auto"/>
              <w:right w:val="single" w:sz="4" w:space="0" w:color="auto"/>
            </w:tcBorders>
            <w:shd w:val="clear" w:color="auto" w:fill="C6EFCE"/>
            <w:noWrap/>
          </w:tcPr>
          <w:p w14:paraId="36A4F356"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7117FE8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043" w:type="dxa"/>
            <w:tcBorders>
              <w:top w:val="single" w:sz="4" w:space="0" w:color="auto"/>
              <w:left w:val="nil"/>
              <w:bottom w:val="single" w:sz="4" w:space="0" w:color="auto"/>
              <w:right w:val="single" w:sz="4" w:space="0" w:color="auto"/>
            </w:tcBorders>
            <w:shd w:val="clear" w:color="auto" w:fill="C6EFCE"/>
            <w:noWrap/>
          </w:tcPr>
          <w:p w14:paraId="408CB4D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1 836</w:t>
            </w:r>
          </w:p>
        </w:tc>
        <w:tc>
          <w:tcPr>
            <w:tcW w:w="960" w:type="dxa"/>
            <w:tcBorders>
              <w:top w:val="single" w:sz="4" w:space="0" w:color="auto"/>
              <w:left w:val="nil"/>
              <w:bottom w:val="single" w:sz="4" w:space="0" w:color="auto"/>
              <w:right w:val="single" w:sz="4" w:space="0" w:color="auto"/>
            </w:tcBorders>
            <w:shd w:val="clear" w:color="auto" w:fill="C6EFCE"/>
            <w:noWrap/>
          </w:tcPr>
          <w:p w14:paraId="7103A673" w14:textId="4EE83F9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22 415</w:t>
            </w:r>
          </w:p>
        </w:tc>
        <w:tc>
          <w:tcPr>
            <w:tcW w:w="822" w:type="dxa"/>
            <w:tcBorders>
              <w:top w:val="single" w:sz="4" w:space="0" w:color="auto"/>
              <w:left w:val="nil"/>
              <w:bottom w:val="single" w:sz="4" w:space="0" w:color="auto"/>
              <w:right w:val="single" w:sz="4" w:space="0" w:color="auto"/>
            </w:tcBorders>
            <w:shd w:val="clear" w:color="auto" w:fill="C6EFCE"/>
            <w:noWrap/>
          </w:tcPr>
          <w:p w14:paraId="3415890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3935D5B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6153911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Ținta națională privind punctele de reîncărcare electrică pentru vehiculele rutiere cu emisii zero constă în:</w:t>
            </w:r>
          </w:p>
          <w:p w14:paraId="5DF2C6A5" w14:textId="77777777" w:rsidR="00271EF8" w:rsidRPr="000A27B3" w:rsidRDefault="00271EF8" w:rsidP="00271EF8">
            <w:pPr>
              <w:pStyle w:val="ListParagraph"/>
              <w:numPr>
                <w:ilvl w:val="0"/>
                <w:numId w:val="37"/>
              </w:numPr>
              <w:spacing w:after="0" w:line="240" w:lineRule="auto"/>
              <w:ind w:left="250" w:hanging="250"/>
              <w:jc w:val="both"/>
              <w:rPr>
                <w:rFonts w:ascii="Times New Roman" w:eastAsia="Times New Roman" w:hAnsi="Times New Roman" w:cs="Times New Roman"/>
                <w:noProof/>
                <w:sz w:val="24"/>
              </w:rPr>
            </w:pPr>
            <w:r>
              <w:rPr>
                <w:rFonts w:ascii="Times New Roman" w:hAnsi="Times New Roman"/>
                <w:noProof/>
                <w:sz w:val="24"/>
              </w:rPr>
              <w:t>1 836 de puncte de reîncărcare deja existente;</w:t>
            </w:r>
          </w:p>
          <w:p w14:paraId="45BBA239" w14:textId="314D22B1" w:rsidR="00271EF8" w:rsidRPr="000A27B3" w:rsidRDefault="00271EF8" w:rsidP="00271EF8">
            <w:pPr>
              <w:pStyle w:val="ListParagraph"/>
              <w:numPr>
                <w:ilvl w:val="0"/>
                <w:numId w:val="37"/>
              </w:numPr>
              <w:spacing w:after="0" w:line="240" w:lineRule="auto"/>
              <w:ind w:left="250" w:hanging="250"/>
              <w:jc w:val="both"/>
              <w:rPr>
                <w:rFonts w:ascii="Times New Roman" w:eastAsia="Times New Roman" w:hAnsi="Times New Roman" w:cs="Times New Roman"/>
                <w:noProof/>
                <w:sz w:val="24"/>
              </w:rPr>
            </w:pPr>
            <w:r>
              <w:rPr>
                <w:rFonts w:ascii="Times New Roman" w:hAnsi="Times New Roman"/>
                <w:noProof/>
                <w:sz w:val="24"/>
              </w:rPr>
              <w:t>2 896 de puncte de reîncărcare de înaltă putere (cel puțin 50kW) (din care 264 de puncte de reîncărcare electrică sunt propuse prin proiectele de dezvoltare a rețelei de autostrăzi finanțate de MRR) vor fi instalate pe rețeaua de drumuri naționale/autostrăzi, conform strategiei CNAIR privind instalarea de stații de reîncărcare pentru vehicule electrice pe rețeaua TEN</w:t>
            </w:r>
            <w:r w:rsidR="00974FAA">
              <w:rPr>
                <w:rFonts w:ascii="Times New Roman" w:hAnsi="Times New Roman"/>
                <w:noProof/>
                <w:sz w:val="24"/>
              </w:rPr>
              <w:t>­</w:t>
            </w:r>
            <w:r>
              <w:rPr>
                <w:rFonts w:ascii="Times New Roman" w:hAnsi="Times New Roman"/>
                <w:noProof/>
                <w:sz w:val="24"/>
              </w:rPr>
              <w:t>T din România, până în 2030;</w:t>
            </w:r>
          </w:p>
          <w:p w14:paraId="4A4B4F54" w14:textId="5C55C75E" w:rsidR="00271EF8" w:rsidRPr="000A27B3" w:rsidRDefault="00271EF8" w:rsidP="00271EF8">
            <w:pPr>
              <w:pStyle w:val="ListParagraph"/>
              <w:numPr>
                <w:ilvl w:val="0"/>
                <w:numId w:val="37"/>
              </w:numPr>
              <w:spacing w:after="0" w:line="240" w:lineRule="auto"/>
              <w:ind w:left="250" w:hanging="250"/>
              <w:jc w:val="both"/>
              <w:rPr>
                <w:rFonts w:ascii="Times New Roman" w:eastAsia="Times New Roman" w:hAnsi="Times New Roman" w:cs="Times New Roman"/>
                <w:noProof/>
                <w:sz w:val="24"/>
                <w:szCs w:val="24"/>
              </w:rPr>
            </w:pPr>
            <w:r>
              <w:rPr>
                <w:rFonts w:ascii="Times New Roman" w:hAnsi="Times New Roman"/>
                <w:noProof/>
                <w:sz w:val="24"/>
              </w:rPr>
              <w:t>5 683 de puncte de reîncărcare finanțate prin componenta „Fondul local” de Ministerul Dezvoltării (5 600 de puncte de încărcare de înaltă putere și 83 de puncte de reîncărcare de putere normală), defalcate după cum urmează:</w:t>
            </w:r>
          </w:p>
          <w:p w14:paraId="462F3590" w14:textId="41CAB5C9" w:rsidR="00271EF8" w:rsidRPr="008D088D" w:rsidRDefault="00271EF8" w:rsidP="00271EF8">
            <w:pPr>
              <w:pStyle w:val="ListParagraph"/>
              <w:numPr>
                <w:ilvl w:val="0"/>
                <w:numId w:val="36"/>
              </w:numPr>
              <w:spacing w:after="0" w:line="240" w:lineRule="auto"/>
              <w:ind w:left="392" w:hanging="250"/>
              <w:jc w:val="both"/>
              <w:rPr>
                <w:rFonts w:ascii="Times New Roman" w:hAnsi="Times New Roman"/>
                <w:noProof/>
                <w:sz w:val="24"/>
              </w:rPr>
            </w:pPr>
            <w:r>
              <w:rPr>
                <w:rFonts w:ascii="Times New Roman" w:hAnsi="Times New Roman"/>
                <w:noProof/>
                <w:sz w:val="24"/>
              </w:rPr>
              <w:t>puncte de reîncărcare în municipiile reședință de județ: 1 697;</w:t>
            </w:r>
          </w:p>
          <w:p w14:paraId="1C26AC4F" w14:textId="088D4C52" w:rsidR="00271EF8" w:rsidRPr="008D088D" w:rsidRDefault="00271EF8" w:rsidP="00271EF8">
            <w:pPr>
              <w:pStyle w:val="ListParagraph"/>
              <w:numPr>
                <w:ilvl w:val="0"/>
                <w:numId w:val="36"/>
              </w:numPr>
              <w:spacing w:after="0" w:line="240" w:lineRule="auto"/>
              <w:ind w:left="392" w:hanging="250"/>
              <w:jc w:val="both"/>
              <w:rPr>
                <w:rFonts w:ascii="Times New Roman" w:hAnsi="Times New Roman"/>
                <w:noProof/>
                <w:sz w:val="24"/>
              </w:rPr>
            </w:pPr>
            <w:r>
              <w:rPr>
                <w:rFonts w:ascii="Times New Roman" w:hAnsi="Times New Roman"/>
                <w:noProof/>
                <w:sz w:val="24"/>
              </w:rPr>
              <w:t>puncte de reîncărcare în alte municipii: 796;</w:t>
            </w:r>
          </w:p>
          <w:p w14:paraId="12AD01C2" w14:textId="2FB59020" w:rsidR="00271EF8" w:rsidRPr="008D088D" w:rsidRDefault="00271EF8" w:rsidP="00271EF8">
            <w:pPr>
              <w:pStyle w:val="ListParagraph"/>
              <w:numPr>
                <w:ilvl w:val="0"/>
                <w:numId w:val="36"/>
              </w:numPr>
              <w:spacing w:after="0" w:line="240" w:lineRule="auto"/>
              <w:ind w:left="392" w:hanging="250"/>
              <w:jc w:val="both"/>
              <w:rPr>
                <w:rFonts w:ascii="Times New Roman" w:hAnsi="Times New Roman"/>
                <w:noProof/>
                <w:sz w:val="24"/>
              </w:rPr>
            </w:pPr>
            <w:r>
              <w:rPr>
                <w:rFonts w:ascii="Times New Roman" w:hAnsi="Times New Roman"/>
                <w:noProof/>
                <w:sz w:val="24"/>
              </w:rPr>
              <w:t xml:space="preserve">puncte de reîncărcare în orașe: 679; </w:t>
            </w:r>
          </w:p>
          <w:p w14:paraId="122925A7" w14:textId="36AAAFDA" w:rsidR="00271EF8" w:rsidRPr="008D088D" w:rsidRDefault="00271EF8" w:rsidP="00271EF8">
            <w:pPr>
              <w:pStyle w:val="ListParagraph"/>
              <w:numPr>
                <w:ilvl w:val="0"/>
                <w:numId w:val="36"/>
              </w:numPr>
              <w:spacing w:after="0" w:line="240" w:lineRule="auto"/>
              <w:ind w:left="392" w:hanging="250"/>
              <w:jc w:val="both"/>
              <w:rPr>
                <w:rFonts w:ascii="Times New Roman" w:hAnsi="Times New Roman"/>
                <w:noProof/>
                <w:sz w:val="24"/>
              </w:rPr>
            </w:pPr>
            <w:r>
              <w:rPr>
                <w:rFonts w:ascii="Times New Roman" w:hAnsi="Times New Roman"/>
                <w:noProof/>
                <w:sz w:val="24"/>
              </w:rPr>
              <w:t>puncte de reîncărcare în zone rurale: 2 428.</w:t>
            </w:r>
          </w:p>
          <w:p w14:paraId="4F9637A8" w14:textId="77777777" w:rsidR="00271EF8" w:rsidRPr="000A27B3" w:rsidRDefault="00271EF8" w:rsidP="00271EF8">
            <w:pPr>
              <w:pStyle w:val="ListParagraph"/>
              <w:numPr>
                <w:ilvl w:val="0"/>
                <w:numId w:val="37"/>
              </w:numPr>
              <w:spacing w:after="0" w:line="240" w:lineRule="auto"/>
              <w:ind w:left="250" w:hanging="250"/>
              <w:jc w:val="both"/>
              <w:rPr>
                <w:rFonts w:ascii="Times New Roman" w:eastAsia="Times New Roman" w:hAnsi="Times New Roman" w:cs="Times New Roman"/>
                <w:noProof/>
                <w:sz w:val="24"/>
                <w:szCs w:val="24"/>
              </w:rPr>
            </w:pPr>
            <w:r>
              <w:rPr>
                <w:rFonts w:ascii="Times New Roman" w:hAnsi="Times New Roman"/>
                <w:noProof/>
                <w:sz w:val="24"/>
              </w:rPr>
              <w:t>2 000 de puncte de reîncărcare finanțate prin componenta „Valul renovării” de Ministerul Dezvoltării (1 000 de puncte de încărcare de înaltă putere și 1 000 de puncte de încărcare de putere normală);</w:t>
            </w:r>
          </w:p>
          <w:p w14:paraId="50E20684" w14:textId="77777777" w:rsidR="00271EF8" w:rsidRPr="000A27B3" w:rsidRDefault="00271EF8" w:rsidP="00271EF8">
            <w:pPr>
              <w:pStyle w:val="ListParagraph"/>
              <w:numPr>
                <w:ilvl w:val="0"/>
                <w:numId w:val="37"/>
              </w:numPr>
              <w:spacing w:after="0" w:line="240" w:lineRule="auto"/>
              <w:ind w:left="250" w:hanging="250"/>
              <w:jc w:val="both"/>
              <w:rPr>
                <w:rFonts w:ascii="Times New Roman" w:eastAsia="Times New Roman" w:hAnsi="Times New Roman" w:cs="Times New Roman"/>
                <w:noProof/>
                <w:sz w:val="24"/>
                <w:szCs w:val="24"/>
              </w:rPr>
            </w:pPr>
            <w:r>
              <w:rPr>
                <w:rFonts w:ascii="Times New Roman" w:hAnsi="Times New Roman"/>
                <w:noProof/>
                <w:sz w:val="24"/>
              </w:rPr>
              <w:t>cel puțin 10 000 de puncte de reîncărcare de putere înaltă și normală finanțate din surse naționale, alte fonduri UE (inclusiv politica de coeziune) și/sau surse private (inclusiv prin concesiuni).</w:t>
            </w:r>
          </w:p>
          <w:p w14:paraId="0A20D1A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Aceste puncte de reîncărcare vor fi situate în zonele stabilite în planurile urbanistice generale/planurile de mobilitate urbană durabilă ca zone pentru locuințe / zone mixte / zone de servicii / zone comerciale / zone de transport (cât mai aproape de locuitori – pentru a limita nevoile de călătorie). Aceste puncte de reîncărcare vor fi situate, de asemenea, în puncte multimodale pentru a încuraja navetiștii să utilizeze transportul public.</w:t>
            </w:r>
          </w:p>
          <w:p w14:paraId="28184D3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Punctele de reîncărcare vor fi instalate:</w:t>
            </w:r>
          </w:p>
          <w:p w14:paraId="4755E98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85-95 % în zone accesibile publicului/semipublice;</w:t>
            </w:r>
          </w:p>
          <w:p w14:paraId="45ECB7A2"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5-15 % în clădiri private.</w:t>
            </w:r>
          </w:p>
        </w:tc>
      </w:tr>
      <w:tr w:rsidR="000A27B3" w:rsidRPr="000A27B3" w14:paraId="72326C74"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2F4BF09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65</w:t>
            </w:r>
          </w:p>
        </w:tc>
        <w:tc>
          <w:tcPr>
            <w:tcW w:w="2013" w:type="dxa"/>
            <w:tcBorders>
              <w:top w:val="single" w:sz="4" w:space="0" w:color="auto"/>
              <w:left w:val="nil"/>
              <w:bottom w:val="single" w:sz="4" w:space="0" w:color="auto"/>
              <w:right w:val="single" w:sz="4" w:space="0" w:color="auto"/>
            </w:tcBorders>
            <w:shd w:val="clear" w:color="auto" w:fill="C6EFCE"/>
            <w:noWrap/>
          </w:tcPr>
          <w:p w14:paraId="0F5A06E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0BC8C12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Siguranță rutieră</w:t>
            </w:r>
          </w:p>
        </w:tc>
        <w:tc>
          <w:tcPr>
            <w:tcW w:w="1075" w:type="dxa"/>
            <w:tcBorders>
              <w:top w:val="single" w:sz="4" w:space="0" w:color="auto"/>
              <w:left w:val="nil"/>
              <w:bottom w:val="single" w:sz="4" w:space="0" w:color="auto"/>
              <w:right w:val="single" w:sz="4" w:space="0" w:color="auto"/>
            </w:tcBorders>
            <w:shd w:val="clear" w:color="auto" w:fill="C6EFCE"/>
            <w:noWrap/>
          </w:tcPr>
          <w:p w14:paraId="2FA62C0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14F44AA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naționale privind siguranța rutieră</w:t>
            </w:r>
          </w:p>
        </w:tc>
        <w:tc>
          <w:tcPr>
            <w:tcW w:w="1745" w:type="dxa"/>
            <w:tcBorders>
              <w:top w:val="single" w:sz="4" w:space="0" w:color="auto"/>
              <w:left w:val="nil"/>
              <w:bottom w:val="single" w:sz="4" w:space="0" w:color="auto"/>
              <w:right w:val="single" w:sz="4" w:space="0" w:color="auto"/>
            </w:tcBorders>
            <w:shd w:val="clear" w:color="auto" w:fill="C6EFCE"/>
            <w:noWrap/>
          </w:tcPr>
          <w:p w14:paraId="7AE1E74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prin Hotărâre de Guvern (legislație secundară) și implementării</w:t>
            </w:r>
          </w:p>
        </w:tc>
        <w:tc>
          <w:tcPr>
            <w:tcW w:w="941" w:type="dxa"/>
            <w:tcBorders>
              <w:top w:val="single" w:sz="4" w:space="0" w:color="auto"/>
              <w:left w:val="nil"/>
              <w:bottom w:val="single" w:sz="4" w:space="0" w:color="auto"/>
              <w:right w:val="single" w:sz="4" w:space="0" w:color="auto"/>
            </w:tcBorders>
            <w:shd w:val="clear" w:color="auto" w:fill="C6EFCE"/>
            <w:noWrap/>
          </w:tcPr>
          <w:p w14:paraId="47716D9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658751D7"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135B8039"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3852B96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589EEB0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691" w:type="dxa"/>
            <w:tcBorders>
              <w:top w:val="single" w:sz="4" w:space="0" w:color="auto"/>
              <w:left w:val="nil"/>
              <w:bottom w:val="single" w:sz="4" w:space="0" w:color="auto"/>
              <w:right w:val="single" w:sz="4" w:space="0" w:color="auto"/>
            </w:tcBorders>
            <w:shd w:val="clear" w:color="auto" w:fill="C6EFCE"/>
            <w:noWrap/>
          </w:tcPr>
          <w:p w14:paraId="63AB19C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Strategia Națională de Siguranță Rutieră pentru perioada 2021-2030 va implementa normele și liniile directoare ale UE astfel cum sunt prezentate în Cadrul de politică al UE privind siguranța rutieră 2021-2030 și în „viziunea zero”, care vizează reducerea până în 2050 a deceselor în accidente rutiere până aproape de zero. Ca obiectiv intermediar, România își asumă obiectivul UE de reducere a numărului de victime (răniți sau decedați) cu 50 % față de nivelul de referință din 2019 până în 2030.</w:t>
            </w:r>
          </w:p>
          <w:p w14:paraId="36089D8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Strategia se va adresa în mod integrat și multidisciplinar tuturor actorilor implicați în asigurarea siguranței rutiere și va include:</w:t>
            </w:r>
          </w:p>
          <w:p w14:paraId="0390A475"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punerea în aplicare a normelor care reglementează conformitatea, sancțiuni mai aspre pentru încălcarea legii;</w:t>
            </w:r>
          </w:p>
          <w:p w14:paraId="5F01D081"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 xml:space="preserve">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 </w:t>
            </w:r>
          </w:p>
          <w:p w14:paraId="63A8C0F3"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reducerea punctelor negre/hotspoturi atât în mediile urbane, cât și în cele interurbane, inclusiv un plan specific de investiții pentru a reduce cu 129 numărul de puncte negre/hotspoturi până în T2-2026, comparativ cu cele 267 de puncte negre/hotspoturi inițiale din 2021;</w:t>
            </w:r>
          </w:p>
          <w:p w14:paraId="5BFF0D2E"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eliminarea treptată din registrul național a vehiculelor vechi/deficitare, intensificarea inspecțiilor și a controalelor în materie de siguranță;</w:t>
            </w:r>
          </w:p>
          <w:p w14:paraId="62A994EC"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educație și formare, campanii de informare;</w:t>
            </w:r>
          </w:p>
          <w:p w14:paraId="1EC2FB33"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integrarea sistemului legislativ și reforma sistemelor de transport inteligente (STI).</w:t>
            </w:r>
          </w:p>
          <w:p w14:paraId="392BA8B9" w14:textId="77777777" w:rsidR="00271EF8" w:rsidRPr="000A27B3" w:rsidRDefault="00271EF8">
            <w:pPr>
              <w:suppressAutoHyphens/>
              <w:autoSpaceDN w:val="0"/>
              <w:spacing w:after="0" w:line="240" w:lineRule="auto"/>
              <w:jc w:val="both"/>
              <w:textAlignment w:val="baseline"/>
              <w:rPr>
                <w:rFonts w:ascii="Liberation Serif" w:eastAsia="Times New Roman" w:hAnsi="Liberation Serif" w:cs="Arial"/>
                <w:noProof/>
                <w:kern w:val="3"/>
                <w:sz w:val="24"/>
                <w:szCs w:val="24"/>
              </w:rPr>
            </w:pPr>
            <w:r>
              <w:rPr>
                <w:rFonts w:ascii="Times New Roman" w:hAnsi="Times New Roman"/>
                <w:noProof/>
                <w:sz w:val="24"/>
              </w:rPr>
              <w:t xml:space="preserve">Guvernul României va aproba un document strategic pentru sistemele de transport inteligente (STI). Strategia STI se va dezvolta în corelare cu politicile de transport intermodal pentru a servi nevoilor de operare eficientă în nodurile multimodale. </w:t>
            </w:r>
          </w:p>
          <w:p w14:paraId="5AF488D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Entitatea responsabilă cu monitorizarea implementării Strategiei de siguranță rutieră și indicatorii-cheie de performanță vor fi clar definiți și operaționali.</w:t>
            </w:r>
          </w:p>
        </w:tc>
      </w:tr>
      <w:tr w:rsidR="000A27B3" w:rsidRPr="000A27B3" w14:paraId="05ACF4E3"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1377A1DE"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66</w:t>
            </w:r>
          </w:p>
        </w:tc>
        <w:tc>
          <w:tcPr>
            <w:tcW w:w="2013" w:type="dxa"/>
            <w:tcBorders>
              <w:top w:val="single" w:sz="4" w:space="0" w:color="auto"/>
              <w:left w:val="nil"/>
              <w:bottom w:val="single" w:sz="4" w:space="0" w:color="auto"/>
              <w:right w:val="single" w:sz="4" w:space="0" w:color="auto"/>
            </w:tcBorders>
            <w:shd w:val="clear" w:color="auto" w:fill="C6EFCE"/>
            <w:noWrap/>
          </w:tcPr>
          <w:p w14:paraId="6F8981B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0942089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Siguranță rutieră</w:t>
            </w:r>
          </w:p>
        </w:tc>
        <w:tc>
          <w:tcPr>
            <w:tcW w:w="1075" w:type="dxa"/>
            <w:tcBorders>
              <w:top w:val="single" w:sz="4" w:space="0" w:color="auto"/>
              <w:left w:val="nil"/>
              <w:bottom w:val="single" w:sz="4" w:space="0" w:color="auto"/>
              <w:right w:val="single" w:sz="4" w:space="0" w:color="auto"/>
            </w:tcBorders>
            <w:shd w:val="clear" w:color="auto" w:fill="C6EFCE"/>
            <w:noWrap/>
          </w:tcPr>
          <w:p w14:paraId="454FA0C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1AD7E709" w14:textId="328D91CA"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vigoare a legislației privind siguranța rutieră – legislația privind monitorizarea, asigurarea respectării și sancțiunile aplicabile pentru încălcarea normele de siguranță rutieră</w:t>
            </w:r>
          </w:p>
        </w:tc>
        <w:tc>
          <w:tcPr>
            <w:tcW w:w="1745" w:type="dxa"/>
            <w:tcBorders>
              <w:top w:val="single" w:sz="4" w:space="0" w:color="auto"/>
              <w:left w:val="nil"/>
              <w:bottom w:val="single" w:sz="4" w:space="0" w:color="auto"/>
              <w:right w:val="single" w:sz="4" w:space="0" w:color="auto"/>
            </w:tcBorders>
            <w:shd w:val="clear" w:color="auto" w:fill="C6EFCE"/>
            <w:noWrap/>
          </w:tcPr>
          <w:p w14:paraId="67C6F798" w14:textId="548AA61D"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legislativă care indică intrarea în vigoare a legislației privind siguranța rutieră</w:t>
            </w:r>
          </w:p>
        </w:tc>
        <w:tc>
          <w:tcPr>
            <w:tcW w:w="941" w:type="dxa"/>
            <w:tcBorders>
              <w:top w:val="single" w:sz="4" w:space="0" w:color="auto"/>
              <w:left w:val="nil"/>
              <w:bottom w:val="single" w:sz="4" w:space="0" w:color="auto"/>
              <w:right w:val="single" w:sz="4" w:space="0" w:color="auto"/>
            </w:tcBorders>
            <w:shd w:val="clear" w:color="auto" w:fill="C6EFCE"/>
            <w:noWrap/>
          </w:tcPr>
          <w:p w14:paraId="57156C5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6BE9410E"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6E71A9EC"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1990BC0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608ACED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691" w:type="dxa"/>
            <w:tcBorders>
              <w:top w:val="single" w:sz="4" w:space="0" w:color="auto"/>
              <w:left w:val="nil"/>
              <w:bottom w:val="single" w:sz="4" w:space="0" w:color="auto"/>
              <w:right w:val="single" w:sz="4" w:space="0" w:color="auto"/>
            </w:tcBorders>
            <w:shd w:val="clear" w:color="auto" w:fill="C6EFCE"/>
            <w:noWrap/>
          </w:tcPr>
          <w:p w14:paraId="482D9D3E" w14:textId="77777777" w:rsidR="00271EF8" w:rsidRPr="000A27B3" w:rsidRDefault="00271EF8">
            <w:pPr>
              <w:spacing w:after="0" w:line="240" w:lineRule="auto"/>
              <w:jc w:val="both"/>
              <w:rPr>
                <w:rFonts w:ascii="Times New Roman" w:hAnsi="Times New Roman" w:cs="Times New Roman"/>
                <w:noProof/>
                <w:sz w:val="24"/>
                <w:szCs w:val="24"/>
                <w:shd w:val="clear" w:color="auto" w:fill="C6EFCE"/>
              </w:rPr>
            </w:pPr>
            <w:r>
              <w:rPr>
                <w:rFonts w:ascii="Times New Roman" w:hAnsi="Times New Roman"/>
                <w:noProof/>
                <w:sz w:val="24"/>
                <w:shd w:val="clear" w:color="auto" w:fill="C6EFCE"/>
              </w:rPr>
              <w:t xml:space="preserve">Se vor introduce următoarele modificări legislative pentru promovarea siguranței rutiere: </w:t>
            </w:r>
          </w:p>
          <w:p w14:paraId="18F62187"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punerea în aplicare a normelor care reglementează conformitatea, sancțiuni mai aspre pentru încălcarea legii;</w:t>
            </w:r>
          </w:p>
          <w:p w14:paraId="3570EEE4"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monitorizarea încălcărilor legislației rutiere prin mijloace automate (camere video, senzori);</w:t>
            </w:r>
          </w:p>
          <w:p w14:paraId="4889792B"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pentru utilizatorii vulnerabili;</w:t>
            </w:r>
          </w:p>
          <w:p w14:paraId="5CFA4661" w14:textId="77777777" w:rsidR="00271EF8" w:rsidRPr="000A27B3" w:rsidRDefault="00271EF8" w:rsidP="00271EF8">
            <w:pPr>
              <w:pStyle w:val="ListParagraph"/>
              <w:numPr>
                <w:ilvl w:val="0"/>
                <w:numId w:val="33"/>
              </w:numPr>
              <w:spacing w:after="0" w:line="240" w:lineRule="auto"/>
              <w:ind w:left="250" w:hanging="218"/>
              <w:jc w:val="both"/>
              <w:rPr>
                <w:rFonts w:ascii="Times New Roman" w:hAnsi="Times New Roman" w:cs="Times New Roman"/>
                <w:noProof/>
                <w:sz w:val="24"/>
                <w:szCs w:val="24"/>
              </w:rPr>
            </w:pPr>
            <w:r>
              <w:rPr>
                <w:rFonts w:ascii="Times New Roman" w:hAnsi="Times New Roman"/>
                <w:noProof/>
                <w:sz w:val="24"/>
              </w:rPr>
              <w:t>eliminarea treptată din registrul național a vehiculelor vechi/deficitare, intensificarea inspecțiilor și a controalelor în materie de siguranță.</w:t>
            </w:r>
          </w:p>
          <w:p w14:paraId="086AD653"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hd w:val="clear" w:color="auto" w:fill="C6EFCE"/>
              </w:rPr>
              <w:t xml:space="preserve"> Obiectivul general pentru siguranța rutieră vizează reducerea până în 2030 cu 50 % a deceselor în accidente rutiere față de nivelurile din 2019, în conformitate cu Cadrul de politică al UE privind siguranța rutieră 2021-2030.</w:t>
            </w:r>
          </w:p>
        </w:tc>
      </w:tr>
      <w:tr w:rsidR="000A27B3" w:rsidRPr="000A27B3" w14:paraId="61CF9BA5"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573B6DE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67</w:t>
            </w:r>
          </w:p>
        </w:tc>
        <w:tc>
          <w:tcPr>
            <w:tcW w:w="2013" w:type="dxa"/>
            <w:tcBorders>
              <w:top w:val="single" w:sz="4" w:space="0" w:color="auto"/>
              <w:left w:val="nil"/>
              <w:bottom w:val="single" w:sz="4" w:space="0" w:color="auto"/>
              <w:right w:val="single" w:sz="4" w:space="0" w:color="auto"/>
            </w:tcBorders>
            <w:shd w:val="clear" w:color="auto" w:fill="C6EFCE"/>
            <w:noWrap/>
          </w:tcPr>
          <w:p w14:paraId="1DF4DF3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 Siguranță rutieră</w:t>
            </w:r>
          </w:p>
        </w:tc>
        <w:tc>
          <w:tcPr>
            <w:tcW w:w="1075" w:type="dxa"/>
            <w:tcBorders>
              <w:top w:val="single" w:sz="4" w:space="0" w:color="auto"/>
              <w:left w:val="nil"/>
              <w:bottom w:val="single" w:sz="4" w:space="0" w:color="auto"/>
              <w:right w:val="single" w:sz="4" w:space="0" w:color="auto"/>
            </w:tcBorders>
            <w:shd w:val="clear" w:color="auto" w:fill="C6EFCE"/>
            <w:noWrap/>
          </w:tcPr>
          <w:p w14:paraId="5622EFDB"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15587FF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Echipamente instalate și funcționale pentru a îmbunătăți respectarea limitelor de viteză și a normelor de siguranță rutieră</w:t>
            </w:r>
          </w:p>
        </w:tc>
        <w:tc>
          <w:tcPr>
            <w:tcW w:w="1745" w:type="dxa"/>
            <w:tcBorders>
              <w:top w:val="single" w:sz="4" w:space="0" w:color="auto"/>
              <w:left w:val="nil"/>
              <w:bottom w:val="single" w:sz="4" w:space="0" w:color="auto"/>
              <w:right w:val="single" w:sz="4" w:space="0" w:color="auto"/>
            </w:tcBorders>
            <w:shd w:val="clear" w:color="auto" w:fill="C6EFCE"/>
            <w:noWrap/>
          </w:tcPr>
          <w:p w14:paraId="7F323E02"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4581C8A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043" w:type="dxa"/>
            <w:tcBorders>
              <w:top w:val="single" w:sz="4" w:space="0" w:color="auto"/>
              <w:left w:val="nil"/>
              <w:bottom w:val="single" w:sz="4" w:space="0" w:color="auto"/>
              <w:right w:val="single" w:sz="4" w:space="0" w:color="auto"/>
            </w:tcBorders>
            <w:shd w:val="clear" w:color="auto" w:fill="C6EFCE"/>
            <w:noWrap/>
          </w:tcPr>
          <w:p w14:paraId="1EFBF80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4365F47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1 800</w:t>
            </w:r>
          </w:p>
        </w:tc>
        <w:tc>
          <w:tcPr>
            <w:tcW w:w="822" w:type="dxa"/>
            <w:tcBorders>
              <w:top w:val="single" w:sz="4" w:space="0" w:color="auto"/>
              <w:left w:val="nil"/>
              <w:bottom w:val="single" w:sz="4" w:space="0" w:color="auto"/>
              <w:right w:val="single" w:sz="4" w:space="0" w:color="auto"/>
            </w:tcBorders>
            <w:shd w:val="clear" w:color="auto" w:fill="C6EFCE"/>
            <w:noWrap/>
          </w:tcPr>
          <w:p w14:paraId="3960324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3A74A3D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691" w:type="dxa"/>
            <w:tcBorders>
              <w:top w:val="single" w:sz="4" w:space="0" w:color="auto"/>
              <w:left w:val="nil"/>
              <w:bottom w:val="single" w:sz="4" w:space="0" w:color="auto"/>
              <w:right w:val="single" w:sz="4" w:space="0" w:color="auto"/>
            </w:tcBorders>
            <w:shd w:val="clear" w:color="auto" w:fill="C6EFCE"/>
            <w:noWrap/>
          </w:tcPr>
          <w:p w14:paraId="27BEE3E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1 000 de sisteme de verificare a vitezei, 300 de radare mobile și 500 de camere video vor fi instalate și funcționale.</w:t>
            </w:r>
          </w:p>
          <w:p w14:paraId="6139B223"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Sistemele de verificare a vitezei sunt infrastructuri de siguranță rutieră care constau în construcții de limitare a vitezei vehiculelor. Radarele mobile sunt utilizate de poliția rutieră în funcție de sectoarele în care s-au înregistrat cele mai multe nerespectări ale vitezei, iar camerele video servesc drept înregistrare automată a încălcărilor legislației rutiere. </w:t>
            </w:r>
          </w:p>
          <w:p w14:paraId="7D73E2C5"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Acestea vor fi poziționate cu prioritate în cele 267 de puncte negre/hotspoturi identificate.</w:t>
            </w:r>
          </w:p>
        </w:tc>
      </w:tr>
      <w:tr w:rsidR="000A27B3" w:rsidRPr="000A27B3" w14:paraId="75024041"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493015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68</w:t>
            </w:r>
          </w:p>
        </w:tc>
        <w:tc>
          <w:tcPr>
            <w:tcW w:w="2013" w:type="dxa"/>
            <w:tcBorders>
              <w:top w:val="single" w:sz="4" w:space="0" w:color="auto"/>
              <w:left w:val="nil"/>
              <w:bottom w:val="single" w:sz="4" w:space="0" w:color="auto"/>
              <w:right w:val="single" w:sz="4" w:space="0" w:color="auto"/>
            </w:tcBorders>
            <w:shd w:val="clear" w:color="auto" w:fill="C6EFCE"/>
            <w:noWrap/>
          </w:tcPr>
          <w:p w14:paraId="46A7AF9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r>
              <w:rPr>
                <w:noProof/>
              </w:rPr>
              <w:t xml:space="preserve"> </w:t>
            </w:r>
            <w:r>
              <w:rPr>
                <w:noProof/>
              </w:rPr>
              <w:br/>
            </w:r>
            <w:r>
              <w:rPr>
                <w:rFonts w:ascii="Times New Roman" w:hAnsi="Times New Roman"/>
                <w:noProof/>
                <w:sz w:val="24"/>
              </w:rPr>
              <w:t>Siguranță rutieră</w:t>
            </w:r>
          </w:p>
        </w:tc>
        <w:tc>
          <w:tcPr>
            <w:tcW w:w="1075" w:type="dxa"/>
            <w:tcBorders>
              <w:top w:val="single" w:sz="4" w:space="0" w:color="auto"/>
              <w:left w:val="nil"/>
              <w:bottom w:val="single" w:sz="4" w:space="0" w:color="auto"/>
              <w:right w:val="single" w:sz="4" w:space="0" w:color="auto"/>
            </w:tcBorders>
            <w:shd w:val="clear" w:color="auto" w:fill="C6EFCE"/>
            <w:noWrap/>
          </w:tcPr>
          <w:p w14:paraId="2A07077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6AB57BF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Reducerea numărului de victime ale accidentelor rutiere (persoane grav rănite și decese) cu 25 % față de nivelul de referință din 2019</w:t>
            </w:r>
          </w:p>
        </w:tc>
        <w:tc>
          <w:tcPr>
            <w:tcW w:w="1745" w:type="dxa"/>
            <w:tcBorders>
              <w:top w:val="single" w:sz="4" w:space="0" w:color="auto"/>
              <w:left w:val="nil"/>
              <w:bottom w:val="single" w:sz="4" w:space="0" w:color="auto"/>
              <w:right w:val="single" w:sz="4" w:space="0" w:color="auto"/>
            </w:tcBorders>
            <w:shd w:val="clear" w:color="auto" w:fill="C6EFCE"/>
            <w:noWrap/>
          </w:tcPr>
          <w:p w14:paraId="4F61FE4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7D660A64"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Procentaj (%)</w:t>
            </w:r>
          </w:p>
          <w:p w14:paraId="4EA99B88"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5BC09E5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100</w:t>
            </w:r>
          </w:p>
        </w:tc>
        <w:tc>
          <w:tcPr>
            <w:tcW w:w="960" w:type="dxa"/>
            <w:tcBorders>
              <w:top w:val="single" w:sz="4" w:space="0" w:color="auto"/>
              <w:left w:val="nil"/>
              <w:bottom w:val="single" w:sz="4" w:space="0" w:color="auto"/>
              <w:right w:val="single" w:sz="4" w:space="0" w:color="auto"/>
            </w:tcBorders>
            <w:shd w:val="clear" w:color="auto" w:fill="C6EFCE"/>
            <w:noWrap/>
          </w:tcPr>
          <w:p w14:paraId="0786C1E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75</w:t>
            </w:r>
          </w:p>
        </w:tc>
        <w:tc>
          <w:tcPr>
            <w:tcW w:w="822" w:type="dxa"/>
            <w:tcBorders>
              <w:top w:val="single" w:sz="4" w:space="0" w:color="auto"/>
              <w:left w:val="nil"/>
              <w:bottom w:val="single" w:sz="4" w:space="0" w:color="auto"/>
              <w:right w:val="single" w:sz="4" w:space="0" w:color="auto"/>
            </w:tcBorders>
            <w:shd w:val="clear" w:color="auto" w:fill="C6EFCE"/>
            <w:noWrap/>
          </w:tcPr>
          <w:p w14:paraId="57C9760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602" w:type="dxa"/>
            <w:tcBorders>
              <w:top w:val="single" w:sz="4" w:space="0" w:color="auto"/>
              <w:left w:val="nil"/>
              <w:bottom w:val="single" w:sz="4" w:space="0" w:color="auto"/>
              <w:right w:val="single" w:sz="4" w:space="0" w:color="auto"/>
            </w:tcBorders>
            <w:shd w:val="clear" w:color="auto" w:fill="C6EFCE"/>
            <w:noWrap/>
          </w:tcPr>
          <w:p w14:paraId="66C21D2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3FE5FC0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Ținta se referă la o reducere cu cel puțin 25 % a numărului anual de victime ale accidentelor rutiere (persoane grav rănite și decese) în 2025 față de nivelul de referință din 2019 la nivelul întregii țări, prin intermediul reformei siguranței rutiere, al planului de acțiune cuprinzător și al investițiilor în domeniul siguranței rutiere sprijinite în cadrul Planului de redresare și reziliență al României. Datele oficiale pentru sfârșitul anului 2025 se raportează de Institutul Național de Statistică până la sfârșitul T1-2026.</w:t>
            </w:r>
          </w:p>
        </w:tc>
      </w:tr>
      <w:tr w:rsidR="000A27B3" w:rsidRPr="000A27B3" w14:paraId="013C3612"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267E1C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69</w:t>
            </w:r>
          </w:p>
        </w:tc>
        <w:tc>
          <w:tcPr>
            <w:tcW w:w="2013" w:type="dxa"/>
            <w:tcBorders>
              <w:top w:val="single" w:sz="4" w:space="0" w:color="auto"/>
              <w:left w:val="nil"/>
              <w:bottom w:val="single" w:sz="4" w:space="0" w:color="auto"/>
              <w:right w:val="single" w:sz="4" w:space="0" w:color="auto"/>
            </w:tcBorders>
            <w:shd w:val="clear" w:color="auto" w:fill="C6EFCE"/>
            <w:noWrap/>
          </w:tcPr>
          <w:p w14:paraId="164DFD0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r>
              <w:rPr>
                <w:noProof/>
              </w:rPr>
              <w:t xml:space="preserve"> </w:t>
            </w:r>
            <w:r>
              <w:rPr>
                <w:noProof/>
              </w:rPr>
              <w:br/>
            </w:r>
            <w:r>
              <w:rPr>
                <w:rFonts w:ascii="Times New Roman" w:hAnsi="Times New Roman"/>
                <w:noProof/>
                <w:sz w:val="24"/>
              </w:rPr>
              <w:t xml:space="preserve"> Dezvoltarea infrastructurii feroviare și managementul traficului feroviar</w:t>
            </w:r>
          </w:p>
        </w:tc>
        <w:tc>
          <w:tcPr>
            <w:tcW w:w="1075" w:type="dxa"/>
            <w:tcBorders>
              <w:top w:val="single" w:sz="4" w:space="0" w:color="auto"/>
              <w:left w:val="nil"/>
              <w:bottom w:val="single" w:sz="4" w:space="0" w:color="auto"/>
              <w:right w:val="single" w:sz="4" w:space="0" w:color="auto"/>
            </w:tcBorders>
            <w:shd w:val="clear" w:color="auto" w:fill="C6EFCE"/>
            <w:noWrap/>
          </w:tcPr>
          <w:p w14:paraId="48F14FC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6C8F969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de dezvoltare a infrastructurii feroviare 2021-2025 și aplicarea planului de acțiune</w:t>
            </w:r>
          </w:p>
        </w:tc>
        <w:tc>
          <w:tcPr>
            <w:tcW w:w="1745" w:type="dxa"/>
            <w:tcBorders>
              <w:top w:val="single" w:sz="4" w:space="0" w:color="auto"/>
              <w:left w:val="nil"/>
              <w:bottom w:val="single" w:sz="4" w:space="0" w:color="auto"/>
              <w:right w:val="single" w:sz="4" w:space="0" w:color="auto"/>
            </w:tcBorders>
            <w:shd w:val="clear" w:color="auto" w:fill="C6EFCE"/>
            <w:noWrap/>
          </w:tcPr>
          <w:p w14:paraId="5B91B36A" w14:textId="41405E6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de dezvoltare a infrastructurii feroviare prin Hotărârea Guvernului nr. 985/2020 (legislație secundară), adoptarea planului de acțiune și începerea implementării</w:t>
            </w:r>
          </w:p>
        </w:tc>
        <w:tc>
          <w:tcPr>
            <w:tcW w:w="941" w:type="dxa"/>
            <w:tcBorders>
              <w:top w:val="single" w:sz="4" w:space="0" w:color="auto"/>
              <w:left w:val="nil"/>
              <w:bottom w:val="single" w:sz="4" w:space="0" w:color="auto"/>
              <w:right w:val="single" w:sz="4" w:space="0" w:color="auto"/>
            </w:tcBorders>
            <w:shd w:val="clear" w:color="auto" w:fill="C6EFCE"/>
            <w:noWrap/>
          </w:tcPr>
          <w:p w14:paraId="7F9CD421"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3E82E209"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3E264A69"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5E01817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7AD1DFC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2021</w:t>
            </w:r>
          </w:p>
        </w:tc>
        <w:tc>
          <w:tcPr>
            <w:tcW w:w="3691" w:type="dxa"/>
            <w:tcBorders>
              <w:top w:val="single" w:sz="4" w:space="0" w:color="auto"/>
              <w:left w:val="nil"/>
              <w:bottom w:val="single" w:sz="4" w:space="0" w:color="auto"/>
              <w:right w:val="single" w:sz="4" w:space="0" w:color="auto"/>
            </w:tcBorders>
            <w:shd w:val="clear" w:color="auto" w:fill="C6EFCE"/>
            <w:noWrap/>
          </w:tcPr>
          <w:p w14:paraId="608355D9"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Strategia și planul de acțiune aprobate vor identifica autoritățile responsabile/actorii responsabili, termenele de implementare, alocările financiare și indicatorii asumați. În același timp, ministrul transporturilor și infrastructurii, împreună cu CNCF CFR SA, vor defini un mecanism care să prevadă indicatori și criterii clare pentru prioritizarea investițiilor în infrastructura feroviară, precum și mecanismele instituționale necesare pentru implementarea acestui mecanism și pentru pregătirea proiectelor de investiții.</w:t>
            </w:r>
          </w:p>
          <w:p w14:paraId="29813D4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planului de acțiune pentru dezvoltarea infrastructurii feroviare 2021-2025, care va include:</w:t>
            </w:r>
          </w:p>
          <w:p w14:paraId="5E187F4B"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un sistem cu indicatori pentru prioritizarea investițiilor;</w:t>
            </w:r>
          </w:p>
          <w:p w14:paraId="6CD84A6B"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o structură responsabilă cu pregătirea proiectului;</w:t>
            </w:r>
          </w:p>
          <w:p w14:paraId="40ABD379"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măsuri de creștere a traficului de marfă feroviar cu cel puțin 25 % până în 2026 față de 2020;</w:t>
            </w:r>
          </w:p>
          <w:p w14:paraId="1ADC9250" w14:textId="77777777" w:rsidR="00271EF8" w:rsidRPr="000A27B3" w:rsidRDefault="00271EF8" w:rsidP="00271EF8">
            <w:pPr>
              <w:pStyle w:val="ListParagraph"/>
              <w:numPr>
                <w:ilvl w:val="0"/>
                <w:numId w:val="33"/>
              </w:numPr>
              <w:spacing w:after="0" w:line="240" w:lineRule="auto"/>
              <w:ind w:left="250" w:hanging="218"/>
              <w:jc w:val="both"/>
              <w:rPr>
                <w:rFonts w:ascii="Times New Roman" w:hAnsi="Times New Roman" w:cs="Times New Roman"/>
                <w:noProof/>
                <w:sz w:val="24"/>
                <w:szCs w:val="24"/>
              </w:rPr>
            </w:pPr>
            <w:r>
              <w:rPr>
                <w:rFonts w:ascii="Times New Roman" w:hAnsi="Times New Roman"/>
                <w:noProof/>
                <w:sz w:val="24"/>
              </w:rPr>
              <w:t>măsuri specifice în vederea atingerii unui obiectiv de creștere a numărului de călători din transportul feroviar cu o medie de 25 % față de nivelul de referință din 2021;</w:t>
            </w:r>
          </w:p>
          <w:p w14:paraId="1AE5DA3C"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măsuri de creștere a utilizării materialului rulant nou achiziționat;</w:t>
            </w:r>
          </w:p>
          <w:p w14:paraId="7EF1FB19"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măsuri de transfer al călătorilor de la transportul cu autobuze/microbuze la transportul feroviar pe rutele de navetă.</w:t>
            </w:r>
          </w:p>
          <w:p w14:paraId="243ADCFA"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Ministerul Transporturilor și Infrastructurii va aproba, de asemenea, Planul investițional pentru dezvoltarea infrastructurii de transport pe perioada 2020-2030, care va prioritiza investițiile feroviare și operaționalizarea ERTMS în conformitate cu Planul de redresare și reziliență, actualizând astfel Strategia de dezvoltare a infrastructurii feroviare ținând seama de toate sursele de finanțare disponibile.</w:t>
            </w:r>
          </w:p>
        </w:tc>
      </w:tr>
      <w:tr w:rsidR="000A27B3" w:rsidRPr="000A27B3" w14:paraId="7F6111C1"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7DF2FC7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70</w:t>
            </w:r>
          </w:p>
        </w:tc>
        <w:tc>
          <w:tcPr>
            <w:tcW w:w="2013" w:type="dxa"/>
            <w:tcBorders>
              <w:top w:val="single" w:sz="4" w:space="0" w:color="auto"/>
              <w:left w:val="nil"/>
              <w:bottom w:val="single" w:sz="4" w:space="0" w:color="auto"/>
              <w:right w:val="single" w:sz="4" w:space="0" w:color="auto"/>
            </w:tcBorders>
            <w:shd w:val="clear" w:color="auto" w:fill="C6EFCE"/>
            <w:noWrap/>
          </w:tcPr>
          <w:p w14:paraId="6DCB8C3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r>
              <w:rPr>
                <w:noProof/>
              </w:rPr>
              <w:t xml:space="preserve"> </w:t>
            </w:r>
            <w:r>
              <w:rPr>
                <w:noProof/>
              </w:rPr>
              <w:br/>
            </w:r>
            <w:r>
              <w:rPr>
                <w:rFonts w:ascii="Times New Roman" w:hAnsi="Times New Roman"/>
                <w:noProof/>
                <w:sz w:val="24"/>
              </w:rPr>
              <w:t xml:space="preserve"> Dezvoltarea infrastructurii feroviare și managementul traficului feroviar</w:t>
            </w:r>
          </w:p>
        </w:tc>
        <w:tc>
          <w:tcPr>
            <w:tcW w:w="1075" w:type="dxa"/>
            <w:tcBorders>
              <w:top w:val="single" w:sz="4" w:space="0" w:color="auto"/>
              <w:left w:val="nil"/>
              <w:bottom w:val="single" w:sz="4" w:space="0" w:color="auto"/>
              <w:right w:val="single" w:sz="4" w:space="0" w:color="auto"/>
            </w:tcBorders>
            <w:shd w:val="clear" w:color="auto" w:fill="C6EFCE"/>
            <w:noWrap/>
          </w:tcPr>
          <w:p w14:paraId="34CDECA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5AFD573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Publicarea și implementarea planului național de acțiune privind Sistemul european de management al traficului feroviar (ERTMS)</w:t>
            </w:r>
          </w:p>
        </w:tc>
        <w:tc>
          <w:tcPr>
            <w:tcW w:w="1745" w:type="dxa"/>
            <w:tcBorders>
              <w:top w:val="single" w:sz="4" w:space="0" w:color="auto"/>
              <w:left w:val="nil"/>
              <w:bottom w:val="single" w:sz="4" w:space="0" w:color="auto"/>
              <w:right w:val="single" w:sz="4" w:space="0" w:color="auto"/>
            </w:tcBorders>
            <w:shd w:val="clear" w:color="auto" w:fill="C6EFCE"/>
            <w:noWrap/>
          </w:tcPr>
          <w:p w14:paraId="4408369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și implementarea planului</w:t>
            </w:r>
          </w:p>
        </w:tc>
        <w:tc>
          <w:tcPr>
            <w:tcW w:w="941" w:type="dxa"/>
            <w:tcBorders>
              <w:top w:val="single" w:sz="4" w:space="0" w:color="auto"/>
              <w:left w:val="nil"/>
              <w:bottom w:val="single" w:sz="4" w:space="0" w:color="auto"/>
              <w:right w:val="single" w:sz="4" w:space="0" w:color="auto"/>
            </w:tcBorders>
            <w:shd w:val="clear" w:color="auto" w:fill="C6EFCE"/>
            <w:noWrap/>
          </w:tcPr>
          <w:p w14:paraId="0A24307B"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2964936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1278DE5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41F79C3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533071D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691" w:type="dxa"/>
            <w:tcBorders>
              <w:top w:val="single" w:sz="4" w:space="0" w:color="auto"/>
              <w:left w:val="nil"/>
              <w:bottom w:val="single" w:sz="4" w:space="0" w:color="auto"/>
              <w:right w:val="single" w:sz="4" w:space="0" w:color="auto"/>
            </w:tcBorders>
            <w:shd w:val="clear" w:color="auto" w:fill="C6EFCE"/>
            <w:noWrap/>
          </w:tcPr>
          <w:p w14:paraId="048C6E7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Jalonul se referă la implementarea unui nou plan de acțiune ERTMS până în 2025. </w:t>
            </w:r>
          </w:p>
          <w:p w14:paraId="1A75D26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Planul de acțiune va include:</w:t>
            </w:r>
          </w:p>
          <w:p w14:paraId="351460E0" w14:textId="77777777" w:rsidR="00271EF8" w:rsidRPr="000A27B3" w:rsidRDefault="00271EF8" w:rsidP="00271EF8">
            <w:pPr>
              <w:pStyle w:val="ListParagraph"/>
              <w:numPr>
                <w:ilvl w:val="0"/>
                <w:numId w:val="34"/>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etape clare pentru implementarea și certificarea ERTMS pentru rețeaua centrală TEN-T pe termen mediu (2025) și lung (orizontul 2030);</w:t>
            </w:r>
          </w:p>
          <w:p w14:paraId="69D54D76" w14:textId="77777777" w:rsidR="00271EF8" w:rsidRPr="000A27B3" w:rsidRDefault="00271EF8" w:rsidP="00271EF8">
            <w:pPr>
              <w:pStyle w:val="ListParagraph"/>
              <w:numPr>
                <w:ilvl w:val="0"/>
                <w:numId w:val="34"/>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actorii responsabili;</w:t>
            </w:r>
          </w:p>
          <w:p w14:paraId="37098AC6" w14:textId="77777777" w:rsidR="00271EF8" w:rsidRPr="000A27B3" w:rsidRDefault="00271EF8" w:rsidP="00271EF8">
            <w:pPr>
              <w:pStyle w:val="ListParagraph"/>
              <w:numPr>
                <w:ilvl w:val="0"/>
                <w:numId w:val="34"/>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estimările bugetare;</w:t>
            </w:r>
          </w:p>
          <w:p w14:paraId="041D9EC8" w14:textId="77777777" w:rsidR="00271EF8" w:rsidRPr="000A27B3" w:rsidRDefault="00271EF8" w:rsidP="00271EF8">
            <w:pPr>
              <w:pStyle w:val="ListParagraph"/>
              <w:numPr>
                <w:ilvl w:val="0"/>
                <w:numId w:val="34"/>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măsuri privind capacitatea administrativă la nivel național a organelor notificate, astfel încât acestea să gestioneze integral procesul de certificare ERTMS pentru toate sectoarele avute în vedere în timpul construcției lor, asigurându-se astfel operaționalizarea deplină.</w:t>
            </w:r>
          </w:p>
        </w:tc>
      </w:tr>
      <w:tr w:rsidR="000A27B3" w:rsidRPr="000A27B3" w14:paraId="505B9FC1"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49F314AB"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71</w:t>
            </w:r>
          </w:p>
        </w:tc>
        <w:tc>
          <w:tcPr>
            <w:tcW w:w="2013" w:type="dxa"/>
            <w:tcBorders>
              <w:top w:val="single" w:sz="4" w:space="0" w:color="auto"/>
              <w:left w:val="nil"/>
              <w:bottom w:val="single" w:sz="4" w:space="0" w:color="auto"/>
              <w:right w:val="single" w:sz="4" w:space="0" w:color="auto"/>
            </w:tcBorders>
            <w:shd w:val="clear" w:color="auto" w:fill="C6EFCE"/>
            <w:noWrap/>
          </w:tcPr>
          <w:p w14:paraId="0D6CD23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Transport sustenabil, decarbonizare și siguranță rutieră /</w:t>
            </w:r>
          </w:p>
          <w:p w14:paraId="22C8752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Strategia privind transportul naval</w:t>
            </w:r>
          </w:p>
        </w:tc>
        <w:tc>
          <w:tcPr>
            <w:tcW w:w="1075" w:type="dxa"/>
            <w:tcBorders>
              <w:top w:val="single" w:sz="4" w:space="0" w:color="auto"/>
              <w:left w:val="nil"/>
              <w:bottom w:val="single" w:sz="4" w:space="0" w:color="auto"/>
              <w:right w:val="single" w:sz="4" w:space="0" w:color="auto"/>
            </w:tcBorders>
            <w:shd w:val="clear" w:color="auto" w:fill="C6EFCE"/>
            <w:noWrap/>
          </w:tcPr>
          <w:p w14:paraId="7F41FF7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21F3B827" w14:textId="07AAA51B"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privind transportul naval</w:t>
            </w:r>
          </w:p>
        </w:tc>
        <w:tc>
          <w:tcPr>
            <w:tcW w:w="1745" w:type="dxa"/>
            <w:tcBorders>
              <w:top w:val="single" w:sz="4" w:space="0" w:color="auto"/>
              <w:left w:val="nil"/>
              <w:bottom w:val="single" w:sz="4" w:space="0" w:color="auto"/>
              <w:right w:val="single" w:sz="4" w:space="0" w:color="auto"/>
            </w:tcBorders>
            <w:shd w:val="clear" w:color="auto" w:fill="C6EFCE"/>
            <w:noWrap/>
          </w:tcPr>
          <w:p w14:paraId="1DEC845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Aprobarea Strategiei privind transportul naval de către guvern</w:t>
            </w:r>
          </w:p>
        </w:tc>
        <w:tc>
          <w:tcPr>
            <w:tcW w:w="941" w:type="dxa"/>
            <w:tcBorders>
              <w:top w:val="single" w:sz="4" w:space="0" w:color="auto"/>
              <w:left w:val="nil"/>
              <w:bottom w:val="single" w:sz="4" w:space="0" w:color="auto"/>
              <w:right w:val="single" w:sz="4" w:space="0" w:color="auto"/>
            </w:tcBorders>
            <w:shd w:val="clear" w:color="auto" w:fill="C6EFCE"/>
            <w:noWrap/>
          </w:tcPr>
          <w:p w14:paraId="159CCA3B"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3B06F2C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149BAE3B"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3377D84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17B153F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08EF16B5"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Elaborarea și aprobarea Strategiei privind transportul naval</w:t>
            </w:r>
          </w:p>
          <w:p w14:paraId="5746C76A"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Elaborarea și aprobarea planului de acțiuni pentru implementarea Strategiei privind transportul naval </w:t>
            </w:r>
          </w:p>
          <w:p w14:paraId="515D070C"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Elaborarea și aprobarea unui ghid de prioritizare a investițiilor în domeniul naval</w:t>
            </w:r>
          </w:p>
          <w:p w14:paraId="78E43385"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Strategia privind transportul naval va include:</w:t>
            </w:r>
          </w:p>
          <w:p w14:paraId="65995F30"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analiza situației actuale a căilor navigabile românești (atât căile navigabile interioare, cât și căile maritime) și a situației actuale a porturilor românești în ceea ce privește infrastructura; analiza proiectelor din sectorul naval românesc; analiza tendințelor viitoare și a scenariilor pentru 2027, 2030, 2035 și 2050. Analiza se va concentra asupra modalităților de îmbunătățire a performanței de mediu a navelor și a porturilor, ținând seama de cerințele aplicabile la nivelul UE, cum ar fi Directiva 2014/94/UE privind instalarea infrastructurii pentru combustibili alternativi; deși ar trebui să acorde importanță furnizării de combustibili ecologici pentru nave (în special prin alimentarea cu energie electrică de la mal), strategia ar trebui să aibă în vedere măsuri de ecologizare a tuturor operațiunilor portuare (emisii, zgomot, poluare). Pentru a promova navigabilitatea Dunării într-un mod durabil, este necesară o abordare care să combine infrastructura durabilă, combustibilii alternativi și digitalizarea, ținând seama totodată de sensibilitatea ecologică a Dunării. </w:t>
            </w:r>
          </w:p>
          <w:p w14:paraId="47E5A79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vor face propuneri de modificare a cadrului juridic și instituțional cu privire la modul de gestionare a infrastructurii de transport naval, cu următoarele obiective: integrarea transportului naval cu alte moduri de transport, pregătirea planurilor de dezvoltare a porturilor intermodale și creșterea durabilă a transportului de mărfuri pe Dunăre cu 15 % între sfârșitul anului 2022 și sfârșitul anului 2026.</w:t>
            </w:r>
          </w:p>
        </w:tc>
      </w:tr>
      <w:tr w:rsidR="000A27B3" w:rsidRPr="000A27B3" w14:paraId="7F530EF3"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660C7CA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72</w:t>
            </w:r>
          </w:p>
        </w:tc>
        <w:tc>
          <w:tcPr>
            <w:tcW w:w="2013" w:type="dxa"/>
            <w:tcBorders>
              <w:top w:val="single" w:sz="4" w:space="0" w:color="auto"/>
              <w:left w:val="nil"/>
              <w:bottom w:val="single" w:sz="4" w:space="0" w:color="auto"/>
              <w:right w:val="single" w:sz="4" w:space="0" w:color="auto"/>
            </w:tcBorders>
            <w:shd w:val="clear" w:color="auto" w:fill="C6EFCE"/>
            <w:noWrap/>
          </w:tcPr>
          <w:p w14:paraId="08175F8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Modernizarea și reînnoirea infrastructurii feroviare </w:t>
            </w:r>
          </w:p>
        </w:tc>
        <w:tc>
          <w:tcPr>
            <w:tcW w:w="1075" w:type="dxa"/>
            <w:tcBorders>
              <w:top w:val="single" w:sz="4" w:space="0" w:color="auto"/>
              <w:left w:val="nil"/>
              <w:bottom w:val="single" w:sz="4" w:space="0" w:color="auto"/>
              <w:right w:val="single" w:sz="4" w:space="0" w:color="auto"/>
            </w:tcBorders>
            <w:shd w:val="clear" w:color="auto" w:fill="C6EFCE"/>
            <w:noWrap/>
          </w:tcPr>
          <w:p w14:paraId="03B86263"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53A3271C"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50 % din lucrările legate de modernizarea și reînnoirea infrastructurii feroviare</w:t>
            </w:r>
          </w:p>
          <w:p w14:paraId="3520516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745" w:type="dxa"/>
            <w:tcBorders>
              <w:top w:val="single" w:sz="4" w:space="0" w:color="auto"/>
              <w:left w:val="nil"/>
              <w:bottom w:val="single" w:sz="4" w:space="0" w:color="auto"/>
              <w:right w:val="single" w:sz="4" w:space="0" w:color="auto"/>
            </w:tcBorders>
            <w:shd w:val="clear" w:color="auto" w:fill="C6EFCE"/>
            <w:noWrap/>
          </w:tcPr>
          <w:p w14:paraId="33DF123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941" w:type="dxa"/>
            <w:tcBorders>
              <w:top w:val="single" w:sz="4" w:space="0" w:color="auto"/>
              <w:left w:val="nil"/>
              <w:bottom w:val="single" w:sz="4" w:space="0" w:color="auto"/>
              <w:right w:val="single" w:sz="4" w:space="0" w:color="auto"/>
            </w:tcBorders>
            <w:shd w:val="clear" w:color="auto" w:fill="C6EFCE"/>
            <w:noWrap/>
          </w:tcPr>
          <w:p w14:paraId="0FCB8EB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0F2FEE09"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3CCB8F09"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683B15D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3DC20DE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691" w:type="dxa"/>
            <w:tcBorders>
              <w:top w:val="single" w:sz="4" w:space="0" w:color="auto"/>
              <w:left w:val="nil"/>
              <w:bottom w:val="single" w:sz="4" w:space="0" w:color="auto"/>
              <w:right w:val="single" w:sz="4" w:space="0" w:color="auto"/>
            </w:tcBorders>
            <w:shd w:val="clear" w:color="auto" w:fill="C6EFCE"/>
            <w:noWrap/>
          </w:tcPr>
          <w:p w14:paraId="589C6295"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Ținta se referă la atribuirea contractelor cu întreprinderile câștigătoare pentru 50 % din lucrările de construcție și supraveghere a căilor ferate, după cum urmează: </w:t>
            </w:r>
          </w:p>
          <w:p w14:paraId="027EDE27"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Modernizarea, electrificarea liniilor de cale ferată, ERTMS pe tronsonul Arad – Timișoara – Caransebeș;</w:t>
            </w:r>
          </w:p>
          <w:p w14:paraId="581D207C" w14:textId="661380D2"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Modernizare, electrificarea liniilor de cale ferată, ERTMS pe tronsonul Cluj-Napoca – Episcopia Bihor.</w:t>
            </w:r>
          </w:p>
          <w:p w14:paraId="3085B67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Investițiile de reînnoire acoperă următoarele linii:</w:t>
            </w:r>
          </w:p>
          <w:p w14:paraId="14B5D5C4"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București – Pitești – includere în TEN-T;</w:t>
            </w:r>
          </w:p>
          <w:p w14:paraId="1ED66E36"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Reșița – Voiteni – legătură cu coridorul rețelei centrale TEN-T.</w:t>
            </w:r>
          </w:p>
          <w:p w14:paraId="234ED55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va include, de asemenea, o serie de proiecte de tip „quick wins” pentru eliminarea restricțiilor și a limitărilor de viteză pe următoarele tronsoane:</w:t>
            </w:r>
          </w:p>
          <w:p w14:paraId="225AA47A"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București – Craiova;</w:t>
            </w:r>
          </w:p>
          <w:p w14:paraId="0A648F33"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Arad – Oradea;</w:t>
            </w:r>
          </w:p>
          <w:p w14:paraId="4ED657D1"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Sibiu – Copșa Mică;</w:t>
            </w:r>
          </w:p>
          <w:p w14:paraId="0FF3C0EC"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Oradea – Satu Mare – Halmeu;</w:t>
            </w:r>
          </w:p>
          <w:p w14:paraId="153CE8F7"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Apahida – Dej – Baia Mare – Satu Mare;</w:t>
            </w:r>
          </w:p>
          <w:p w14:paraId="5CC20D4B"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Dej – Beclean – Ilva Mică;</w:t>
            </w:r>
          </w:p>
          <w:p w14:paraId="1B84CD9D"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Adjud – Siculeni;</w:t>
            </w:r>
          </w:p>
          <w:p w14:paraId="50D0D1EE"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Filiași – Tg. Jiu – Petroșani – Simeria;</w:t>
            </w:r>
          </w:p>
          <w:p w14:paraId="761285C1"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Pitești – Slatina – Craiova;</w:t>
            </w:r>
          </w:p>
          <w:p w14:paraId="3FA22557"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Coșlariu – Teiuș – Cluj-Napoca;</w:t>
            </w:r>
          </w:p>
          <w:p w14:paraId="4A7F478E"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Tecuci – Bârlad – Vaslui – Iași.</w:t>
            </w:r>
          </w:p>
          <w:p w14:paraId="0FE90155"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Procedura de licitație se va desfășura în conformitate cu Legea 98/2016 și cu modificările ulterioare ale acesteia, care au transpus directiva europeană relevantă, și anume Directiva 2014/24/UE. </w:t>
            </w:r>
          </w:p>
          <w:p w14:paraId="78E4DF2F"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Atribuirea contractelor se va face în urma unor licitații deschise și concurențiale și a aprobării autorizațiilor relevante, însoțite de evaluări ale impactului asupra mediului (inclusiv evaluările necesare în temeiul Directivei-cadru privind apa) și avize de evaluare corespunzătoare (prevăzute în cadrul Directivei privind habitatele), emise și încorporate în proiectarea investițiilor, și se va asigura conformitatea cu Orientările tehnice DNSH (2021/C58/01).</w:t>
            </w:r>
          </w:p>
        </w:tc>
      </w:tr>
      <w:tr w:rsidR="000A27B3" w:rsidRPr="000A27B3" w14:paraId="1ECAF93C"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0716A4D"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73</w:t>
            </w:r>
          </w:p>
        </w:tc>
        <w:tc>
          <w:tcPr>
            <w:tcW w:w="2013" w:type="dxa"/>
            <w:tcBorders>
              <w:top w:val="single" w:sz="4" w:space="0" w:color="auto"/>
              <w:left w:val="nil"/>
              <w:bottom w:val="single" w:sz="4" w:space="0" w:color="auto"/>
              <w:right w:val="single" w:sz="4" w:space="0" w:color="auto"/>
            </w:tcBorders>
            <w:shd w:val="clear" w:color="auto" w:fill="C6EFCE"/>
            <w:noWrap/>
          </w:tcPr>
          <w:p w14:paraId="0A07E6B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Modernizarea și reînnoirea infrastructurii feroviare </w:t>
            </w:r>
          </w:p>
        </w:tc>
        <w:tc>
          <w:tcPr>
            <w:tcW w:w="1075" w:type="dxa"/>
            <w:tcBorders>
              <w:top w:val="single" w:sz="4" w:space="0" w:color="auto"/>
              <w:left w:val="nil"/>
              <w:bottom w:val="single" w:sz="4" w:space="0" w:color="auto"/>
              <w:right w:val="single" w:sz="4" w:space="0" w:color="auto"/>
            </w:tcBorders>
            <w:shd w:val="clear" w:color="auto" w:fill="C6EFCE"/>
            <w:noWrap/>
          </w:tcPr>
          <w:p w14:paraId="6C2AACAE"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3C2F83E0"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100 % din lucrările legate de modernizarea și reînnoirea infrastructurii feroviare</w:t>
            </w:r>
          </w:p>
        </w:tc>
        <w:tc>
          <w:tcPr>
            <w:tcW w:w="1745" w:type="dxa"/>
            <w:tcBorders>
              <w:top w:val="single" w:sz="4" w:space="0" w:color="auto"/>
              <w:left w:val="nil"/>
              <w:bottom w:val="single" w:sz="4" w:space="0" w:color="auto"/>
              <w:right w:val="single" w:sz="4" w:space="0" w:color="auto"/>
            </w:tcBorders>
            <w:shd w:val="clear" w:color="auto" w:fill="C6EFCE"/>
            <w:noWrap/>
          </w:tcPr>
          <w:p w14:paraId="05E2FB2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941" w:type="dxa"/>
            <w:tcBorders>
              <w:top w:val="single" w:sz="4" w:space="0" w:color="auto"/>
              <w:left w:val="nil"/>
              <w:bottom w:val="single" w:sz="4" w:space="0" w:color="auto"/>
              <w:right w:val="single" w:sz="4" w:space="0" w:color="auto"/>
            </w:tcBorders>
            <w:shd w:val="clear" w:color="auto" w:fill="C6EFCE"/>
            <w:noWrap/>
          </w:tcPr>
          <w:p w14:paraId="6FCA95CE"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49E20356"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7EA6CBB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5FE109C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57413EC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7D11710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Ținta se referă la semnarea contractelor cu întreprinderile câștigătoare pentru: </w:t>
            </w:r>
          </w:p>
          <w:p w14:paraId="212A814C"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Modernizarea, electrificarea liniilor de cale ferată, ERTMS pe tronsonul Arad – Timișoara – Caransebeș;</w:t>
            </w:r>
          </w:p>
          <w:p w14:paraId="35884B9B" w14:textId="0355DF66"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Modernizarea, electrificarea liniilor de cale ferată, ERTMS pe tronsonul Cluj-Napoca – Episcopia Bihor.</w:t>
            </w:r>
          </w:p>
          <w:p w14:paraId="48C9567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Investițiile de reînnoire acoperă următoarele linii:</w:t>
            </w:r>
          </w:p>
          <w:p w14:paraId="6F0624C9"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București – Pitești – includere în TEN-T;</w:t>
            </w:r>
          </w:p>
          <w:p w14:paraId="59BE16E6"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Reșița – Voiteni – legătură cu coridorul rețelei centrale TEN-T.</w:t>
            </w:r>
          </w:p>
          <w:p w14:paraId="6C81545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va include, de asemenea, proiecte de tip „quick wins” pentru eliminarea restricțiilor și a limitărilor de viteză pe următoarele tronsoane:</w:t>
            </w:r>
          </w:p>
          <w:p w14:paraId="388D5ED4"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București – Craiova;</w:t>
            </w:r>
          </w:p>
          <w:p w14:paraId="227BC0F6"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Arad – Oradea;</w:t>
            </w:r>
          </w:p>
          <w:p w14:paraId="00A65DF6"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Sibiu – Copșa Mică;</w:t>
            </w:r>
          </w:p>
          <w:p w14:paraId="096F4983"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Oradea – Satu Mare – Halmeu;</w:t>
            </w:r>
          </w:p>
          <w:p w14:paraId="0D63E157"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Apahida – Dej – Baia Mare – Satu Mare;</w:t>
            </w:r>
          </w:p>
          <w:p w14:paraId="4BC86ECE"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Dej – Beclean – Ilva Mică;</w:t>
            </w:r>
          </w:p>
          <w:p w14:paraId="634FACC3"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Adjud – Siculeni;</w:t>
            </w:r>
          </w:p>
          <w:p w14:paraId="02A3A7C9"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Filiași – Tg. Jiu – Petroșani – Simeria;</w:t>
            </w:r>
          </w:p>
          <w:p w14:paraId="5B686F8F"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Pitești – Slatina – Craiova;</w:t>
            </w:r>
          </w:p>
          <w:p w14:paraId="508C9ADD"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Coșlariu – Teiuș – Cluj-Napoca;</w:t>
            </w:r>
          </w:p>
          <w:p w14:paraId="3D1DFFEE" w14:textId="77777777" w:rsidR="00271EF8" w:rsidRPr="000A27B3" w:rsidRDefault="00271EF8" w:rsidP="00271EF8">
            <w:pPr>
              <w:pStyle w:val="ListParagraph"/>
              <w:numPr>
                <w:ilvl w:val="0"/>
                <w:numId w:val="35"/>
              </w:numPr>
              <w:spacing w:after="0" w:line="240" w:lineRule="auto"/>
              <w:ind w:left="250" w:hanging="218"/>
              <w:jc w:val="both"/>
              <w:rPr>
                <w:rFonts w:eastAsia="Times New Roman"/>
                <w:noProof/>
                <w:szCs w:val="24"/>
              </w:rPr>
            </w:pPr>
            <w:r>
              <w:rPr>
                <w:rFonts w:ascii="Times New Roman" w:hAnsi="Times New Roman"/>
                <w:noProof/>
                <w:sz w:val="24"/>
              </w:rPr>
              <w:t>Tecuci – Bârlad – Vaslui – Iași.</w:t>
            </w:r>
          </w:p>
          <w:p w14:paraId="42F019A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Procedura de licitație se va desfășura în conformitate cu Legea 98/2016 și cu modificările ulterioare ale acesteia, care au transpus directiva europeană relevantă, și anume Directiva 2014/24/UE. </w:t>
            </w:r>
          </w:p>
          <w:p w14:paraId="10155E2F"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Atribuirea contractelor se va face în urma unor licitații deschise și concurențiale și a aprobării autorizațiilor relevante, însoțite de evaluări ale impactului asupra mediului (inclusiv evaluările necesare în temeiul Directivei-cadru privind apa) și avize de evaluare corespunzătoare (prevăzute în cadrul Directivei privind habitatele), emise și încorporate în proiectarea investițiilor, și se va asigura conformitatea cu Orientările tehnice DNSH (2021/C58/01).</w:t>
            </w:r>
          </w:p>
        </w:tc>
      </w:tr>
      <w:tr w:rsidR="000A27B3" w:rsidRPr="000A27B3" w14:paraId="246E33AA"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6BC82333"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74</w:t>
            </w:r>
          </w:p>
        </w:tc>
        <w:tc>
          <w:tcPr>
            <w:tcW w:w="2013" w:type="dxa"/>
            <w:tcBorders>
              <w:top w:val="single" w:sz="4" w:space="0" w:color="auto"/>
              <w:left w:val="nil"/>
              <w:bottom w:val="single" w:sz="4" w:space="0" w:color="auto"/>
              <w:right w:val="single" w:sz="4" w:space="0" w:color="auto"/>
            </w:tcBorders>
            <w:shd w:val="clear" w:color="auto" w:fill="C6EFCE"/>
            <w:noWrap/>
          </w:tcPr>
          <w:p w14:paraId="77FB426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Modernizarea și reînnoirea infrastructurii feroviare </w:t>
            </w:r>
          </w:p>
        </w:tc>
        <w:tc>
          <w:tcPr>
            <w:tcW w:w="1075" w:type="dxa"/>
            <w:tcBorders>
              <w:top w:val="single" w:sz="4" w:space="0" w:color="auto"/>
              <w:left w:val="nil"/>
              <w:bottom w:val="single" w:sz="4" w:space="0" w:color="auto"/>
              <w:right w:val="single" w:sz="4" w:space="0" w:color="auto"/>
            </w:tcBorders>
            <w:shd w:val="clear" w:color="auto" w:fill="C6EFCE"/>
            <w:noWrap/>
          </w:tcPr>
          <w:p w14:paraId="7D2F526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1B78B29A"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Finalizarea lucrărilor pentru cel puțin 50 % din totalul investițiilor în infrastructura feroviară.</w:t>
            </w:r>
          </w:p>
        </w:tc>
        <w:tc>
          <w:tcPr>
            <w:tcW w:w="1745" w:type="dxa"/>
            <w:tcBorders>
              <w:top w:val="single" w:sz="4" w:space="0" w:color="auto"/>
              <w:left w:val="nil"/>
              <w:bottom w:val="single" w:sz="4" w:space="0" w:color="auto"/>
              <w:right w:val="single" w:sz="4" w:space="0" w:color="auto"/>
            </w:tcBorders>
            <w:shd w:val="clear" w:color="auto" w:fill="C6EFCE"/>
            <w:noWrap/>
          </w:tcPr>
          <w:p w14:paraId="0068838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448BAE9C"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Procentaj (%)</w:t>
            </w:r>
          </w:p>
          <w:p w14:paraId="3DB6703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43" w:type="dxa"/>
            <w:tcBorders>
              <w:top w:val="single" w:sz="4" w:space="0" w:color="auto"/>
              <w:left w:val="nil"/>
              <w:bottom w:val="single" w:sz="4" w:space="0" w:color="auto"/>
              <w:right w:val="single" w:sz="4" w:space="0" w:color="auto"/>
            </w:tcBorders>
            <w:shd w:val="clear" w:color="auto" w:fill="C6EFCE"/>
            <w:noWrap/>
          </w:tcPr>
          <w:p w14:paraId="1AFBB22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44EEDA5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50</w:t>
            </w:r>
          </w:p>
        </w:tc>
        <w:tc>
          <w:tcPr>
            <w:tcW w:w="822" w:type="dxa"/>
            <w:tcBorders>
              <w:top w:val="single" w:sz="4" w:space="0" w:color="auto"/>
              <w:left w:val="nil"/>
              <w:bottom w:val="single" w:sz="4" w:space="0" w:color="auto"/>
              <w:right w:val="single" w:sz="4" w:space="0" w:color="auto"/>
            </w:tcBorders>
            <w:shd w:val="clear" w:color="auto" w:fill="C6EFCE"/>
            <w:noWrap/>
          </w:tcPr>
          <w:p w14:paraId="1A3AF05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02" w:type="dxa"/>
            <w:tcBorders>
              <w:top w:val="single" w:sz="4" w:space="0" w:color="auto"/>
              <w:left w:val="nil"/>
              <w:bottom w:val="single" w:sz="4" w:space="0" w:color="auto"/>
              <w:right w:val="single" w:sz="4" w:space="0" w:color="auto"/>
            </w:tcBorders>
            <w:shd w:val="clear" w:color="auto" w:fill="C6EFCE"/>
            <w:noWrap/>
          </w:tcPr>
          <w:p w14:paraId="6223A81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691" w:type="dxa"/>
            <w:tcBorders>
              <w:top w:val="single" w:sz="4" w:space="0" w:color="auto"/>
              <w:left w:val="nil"/>
              <w:bottom w:val="single" w:sz="4" w:space="0" w:color="auto"/>
              <w:right w:val="single" w:sz="4" w:space="0" w:color="auto"/>
            </w:tcBorders>
            <w:shd w:val="clear" w:color="auto" w:fill="C6EFCE"/>
            <w:noWrap/>
          </w:tcPr>
          <w:p w14:paraId="0CF4CD82"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Ținta se referă la finalizarea intermediară a 50 % din lucrările pentru investițiile în infrastructura feroviară, măsurată ca procentaj din lucrările finalizate (certificate prin raportul de supraveghere) pentru:</w:t>
            </w:r>
          </w:p>
          <w:p w14:paraId="267CA276" w14:textId="77777777"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Modernizare, electrificare, ERTMS pe tronsonul Arad – Timișoara – Caransebeș;</w:t>
            </w:r>
          </w:p>
          <w:p w14:paraId="118F28DC" w14:textId="6B7933C9" w:rsidR="00271EF8" w:rsidRPr="000A27B3" w:rsidRDefault="00271EF8" w:rsidP="00271EF8">
            <w:pPr>
              <w:pStyle w:val="ListParagraph"/>
              <w:numPr>
                <w:ilvl w:val="0"/>
                <w:numId w:val="33"/>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Modernizare, electrificare, ERTMS pe tronsonul Cluj-Napoca – Episcopia Bihor.</w:t>
            </w:r>
          </w:p>
          <w:p w14:paraId="3C1F33E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Investițiile de reînnoire vor acoperi următoarele linii:</w:t>
            </w:r>
          </w:p>
          <w:p w14:paraId="1417C0D3"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București – Pitești – includere în TEN-T;</w:t>
            </w:r>
          </w:p>
          <w:p w14:paraId="6E4D1B31"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Reșița – Voiteni – legătură cu coridorul rețelei centrale TEN-T.</w:t>
            </w:r>
          </w:p>
          <w:p w14:paraId="1F191E0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va include, de asemenea, proiecte de tip „quick wins” pentru eliminarea restricțiilor și a limitărilor de viteză pe următoarele tronsoane:</w:t>
            </w:r>
          </w:p>
          <w:p w14:paraId="21A132A2"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București – Craiova;</w:t>
            </w:r>
          </w:p>
          <w:p w14:paraId="402026A7"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Arad – Oradea;</w:t>
            </w:r>
          </w:p>
          <w:p w14:paraId="2C77982E"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Sibiu – Copșa Mică;</w:t>
            </w:r>
          </w:p>
          <w:p w14:paraId="0315E971"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Oradea – Satu Mare – Halmeu;</w:t>
            </w:r>
          </w:p>
          <w:p w14:paraId="7AA94786"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Apahida – Dej – Baia Mare – Satu Mare;</w:t>
            </w:r>
          </w:p>
          <w:p w14:paraId="4B29D7B8"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Dej – Beclean – Ilva Mică;</w:t>
            </w:r>
          </w:p>
          <w:p w14:paraId="1F4577F3"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Adjud – Siculeni;</w:t>
            </w:r>
          </w:p>
          <w:p w14:paraId="47177168"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Filiași – Tg. Jiu – Petroșani – Simeria;</w:t>
            </w:r>
          </w:p>
          <w:p w14:paraId="69666B3C"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Pitești – Slatina – Craiova;</w:t>
            </w:r>
          </w:p>
          <w:p w14:paraId="192CCF71" w14:textId="77777777" w:rsidR="00271EF8" w:rsidRPr="000A27B3" w:rsidRDefault="00271EF8" w:rsidP="00271EF8">
            <w:pPr>
              <w:pStyle w:val="ListParagraph"/>
              <w:numPr>
                <w:ilvl w:val="0"/>
                <w:numId w:val="35"/>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Coșlariu – Teiuș – Cluj-Napoca;</w:t>
            </w:r>
          </w:p>
          <w:p w14:paraId="671ED214" w14:textId="77777777" w:rsidR="00271EF8" w:rsidRPr="000A27B3" w:rsidRDefault="00271EF8" w:rsidP="00271EF8">
            <w:pPr>
              <w:pStyle w:val="ListParagraph"/>
              <w:numPr>
                <w:ilvl w:val="0"/>
                <w:numId w:val="35"/>
              </w:numPr>
              <w:spacing w:after="0" w:line="240" w:lineRule="auto"/>
              <w:ind w:left="250" w:hanging="218"/>
              <w:jc w:val="both"/>
              <w:rPr>
                <w:rFonts w:eastAsia="Times New Roman"/>
                <w:noProof/>
                <w:szCs w:val="24"/>
              </w:rPr>
            </w:pPr>
            <w:r>
              <w:rPr>
                <w:rFonts w:ascii="Times New Roman" w:hAnsi="Times New Roman"/>
                <w:noProof/>
                <w:sz w:val="24"/>
              </w:rPr>
              <w:t>Tecuci – Bârlad – Vaslui – Iași.</w:t>
            </w:r>
          </w:p>
        </w:tc>
      </w:tr>
      <w:tr w:rsidR="000A27B3" w:rsidRPr="000A27B3" w14:paraId="0179EAA6"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2C0D7E7"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75</w:t>
            </w:r>
          </w:p>
        </w:tc>
        <w:tc>
          <w:tcPr>
            <w:tcW w:w="2013" w:type="dxa"/>
            <w:tcBorders>
              <w:top w:val="single" w:sz="4" w:space="0" w:color="auto"/>
              <w:left w:val="nil"/>
              <w:bottom w:val="single" w:sz="4" w:space="0" w:color="auto"/>
              <w:right w:val="single" w:sz="4" w:space="0" w:color="auto"/>
            </w:tcBorders>
            <w:shd w:val="clear" w:color="auto" w:fill="C6EFCE"/>
            <w:noWrap/>
          </w:tcPr>
          <w:p w14:paraId="2B2775E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Modernizarea și reînnoirea infrastructurii feroviare </w:t>
            </w:r>
          </w:p>
        </w:tc>
        <w:tc>
          <w:tcPr>
            <w:tcW w:w="1075" w:type="dxa"/>
            <w:tcBorders>
              <w:top w:val="single" w:sz="4" w:space="0" w:color="auto"/>
              <w:left w:val="nil"/>
              <w:bottom w:val="single" w:sz="4" w:space="0" w:color="auto"/>
              <w:right w:val="single" w:sz="4" w:space="0" w:color="auto"/>
            </w:tcBorders>
            <w:shd w:val="clear" w:color="auto" w:fill="C6EFCE"/>
            <w:noWrap/>
          </w:tcPr>
          <w:p w14:paraId="23E33FF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6018C14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de infrastructură feroviară nouă/modernizată operațională:</w:t>
            </w:r>
          </w:p>
        </w:tc>
        <w:tc>
          <w:tcPr>
            <w:tcW w:w="1745" w:type="dxa"/>
            <w:tcBorders>
              <w:top w:val="single" w:sz="4" w:space="0" w:color="auto"/>
              <w:left w:val="nil"/>
              <w:bottom w:val="single" w:sz="4" w:space="0" w:color="auto"/>
              <w:right w:val="single" w:sz="4" w:space="0" w:color="auto"/>
            </w:tcBorders>
            <w:shd w:val="clear" w:color="auto" w:fill="C6EFCE"/>
            <w:noWrap/>
          </w:tcPr>
          <w:p w14:paraId="30BC0B53"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390B4805" w14:textId="06260B49"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Kilometri (km) </w:t>
            </w:r>
          </w:p>
        </w:tc>
        <w:tc>
          <w:tcPr>
            <w:tcW w:w="1043" w:type="dxa"/>
            <w:tcBorders>
              <w:top w:val="single" w:sz="4" w:space="0" w:color="auto"/>
              <w:left w:val="nil"/>
              <w:bottom w:val="single" w:sz="4" w:space="0" w:color="auto"/>
              <w:right w:val="single" w:sz="4" w:space="0" w:color="auto"/>
            </w:tcBorders>
            <w:shd w:val="clear" w:color="auto" w:fill="C6EFCE"/>
            <w:noWrap/>
          </w:tcPr>
          <w:p w14:paraId="00D6ABA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2AE605EE"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2 741</w:t>
            </w:r>
          </w:p>
        </w:tc>
        <w:tc>
          <w:tcPr>
            <w:tcW w:w="822" w:type="dxa"/>
            <w:tcBorders>
              <w:top w:val="single" w:sz="4" w:space="0" w:color="auto"/>
              <w:left w:val="nil"/>
              <w:bottom w:val="single" w:sz="4" w:space="0" w:color="auto"/>
              <w:right w:val="single" w:sz="4" w:space="0" w:color="auto"/>
            </w:tcBorders>
            <w:shd w:val="clear" w:color="auto" w:fill="C6EFCE"/>
            <w:noWrap/>
          </w:tcPr>
          <w:p w14:paraId="557E33B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6593769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6539105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Ținta include:</w:t>
            </w:r>
          </w:p>
          <w:p w14:paraId="2F710841" w14:textId="02635CF1" w:rsidR="00271EF8" w:rsidRPr="000A27B3" w:rsidRDefault="00271EF8" w:rsidP="00271EF8">
            <w:pPr>
              <w:pStyle w:val="ListParagraph"/>
              <w:numPr>
                <w:ilvl w:val="0"/>
                <w:numId w:val="39"/>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315 km linii de cale ferată modernizate cu o capacitate crescută cu 30 % și cu ERTMS 2 instalat;</w:t>
            </w:r>
          </w:p>
          <w:p w14:paraId="1E566335" w14:textId="77777777" w:rsidR="00271EF8" w:rsidRPr="000A27B3" w:rsidRDefault="00271EF8" w:rsidP="00271EF8">
            <w:pPr>
              <w:pStyle w:val="ListParagraph"/>
              <w:numPr>
                <w:ilvl w:val="0"/>
                <w:numId w:val="39"/>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2 426 km (2 163 km lungime totală pentru proiectele de cale ferată de tip „quick wins” + 198 km reamenajarea tronsonului București – Pitești + 65 km înnoirea tronsonului Reșita – Voiteni) de linii de cale ferată reînnoite cu o creștere a vitezei cu 15 % (viteza medie ajungând la minimum 100 km/h).</w:t>
            </w:r>
          </w:p>
          <w:p w14:paraId="7328A79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Ținta se referă la numărul de km de linii de cale ferată noi și modernizate care vor fi finalizate cu notificarea de acceptare din partea autorității contractante și date în funcțiune, în conformitate cu standardele TEN-T și STI:</w:t>
            </w:r>
          </w:p>
          <w:p w14:paraId="79B1522B" w14:textId="77777777" w:rsidR="00271EF8" w:rsidRPr="000A27B3" w:rsidRDefault="00271EF8" w:rsidP="00271EF8">
            <w:pPr>
              <w:pStyle w:val="ListParagraph"/>
              <w:numPr>
                <w:ilvl w:val="0"/>
                <w:numId w:val="38"/>
              </w:numPr>
              <w:spacing w:after="0" w:line="240" w:lineRule="auto"/>
              <w:ind w:left="250" w:hanging="218"/>
              <w:jc w:val="both"/>
              <w:rPr>
                <w:rFonts w:ascii="Times New Roman" w:eastAsia="Times New Roman" w:hAnsi="Times New Roman" w:cs="Times New Roman"/>
                <w:noProof/>
                <w:sz w:val="24"/>
              </w:rPr>
            </w:pPr>
            <w:r>
              <w:rPr>
                <w:rFonts w:ascii="Times New Roman" w:hAnsi="Times New Roman"/>
                <w:noProof/>
                <w:sz w:val="24"/>
              </w:rPr>
              <w:t>Modernizare, electrificare, ERTMS pe tronsonul Arad – Timișoara – Caransebeș;</w:t>
            </w:r>
          </w:p>
          <w:p w14:paraId="22AA3C6D" w14:textId="77777777" w:rsidR="00271EF8" w:rsidRPr="000A27B3" w:rsidRDefault="00271EF8" w:rsidP="00271EF8">
            <w:pPr>
              <w:pStyle w:val="ListParagraph"/>
              <w:numPr>
                <w:ilvl w:val="0"/>
                <w:numId w:val="38"/>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Modernizare, electrificare, ERTMS pe tronsonul Cluj-Napoca – Episcopia Bihor.</w:t>
            </w:r>
          </w:p>
          <w:p w14:paraId="6F4B7B89" w14:textId="3D419685" w:rsidR="00271EF8" w:rsidRPr="000A27B3" w:rsidRDefault="00271EF8" w:rsidP="00271EF8">
            <w:pPr>
              <w:pStyle w:val="ListParagraph"/>
              <w:numPr>
                <w:ilvl w:val="0"/>
                <w:numId w:val="38"/>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Pentru cele două proiecte de mai sus, lucrările includ introducerea integrală a ERTMS ca instalație de cale ferată și finalizarea certificării necesare pentru interoperabilitatea feroviară europeană în același timp cu investiția în sine.</w:t>
            </w:r>
          </w:p>
          <w:p w14:paraId="3DCF2A6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Investițiile în procesul de renovare acoperă următoarele linii:</w:t>
            </w:r>
          </w:p>
          <w:p w14:paraId="4F99D5EE"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București – Pitești – includere în TEN-T;</w:t>
            </w:r>
          </w:p>
          <w:p w14:paraId="5BB0ED9E"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Reșița – Voiteni – legătură cu coridorul rețelei centrale TEN-T.</w:t>
            </w:r>
          </w:p>
          <w:p w14:paraId="2D989E4A"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va include proiecte de tip „quick wins” pentru eliminarea restricțiilor și a limitărilor de viteză pe următoarele tronsoane:</w:t>
            </w:r>
          </w:p>
          <w:p w14:paraId="52FD5932"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București – Craiova;</w:t>
            </w:r>
          </w:p>
          <w:p w14:paraId="5C53A49C"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Arad – Oradea;</w:t>
            </w:r>
          </w:p>
          <w:p w14:paraId="0FDEDF86"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Sibiu — Copșa Mică;</w:t>
            </w:r>
          </w:p>
          <w:p w14:paraId="7431CBE7"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Oradea – Satu Mare – Halmeu;</w:t>
            </w:r>
          </w:p>
          <w:p w14:paraId="35684DE9"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Apahida – Dej – Baia Mare – Satu Mare;</w:t>
            </w:r>
          </w:p>
          <w:p w14:paraId="7D81BA2F"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Dej – Beclean – Ilva Mică;</w:t>
            </w:r>
          </w:p>
          <w:p w14:paraId="74D09568"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Adjud – Siculeni;</w:t>
            </w:r>
          </w:p>
          <w:p w14:paraId="0100AC33"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Filiași – Tg. Jiu – Petroșani – Simeria;</w:t>
            </w:r>
          </w:p>
          <w:p w14:paraId="11DAC5EB"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Pitești – Slatina – Craiova;</w:t>
            </w:r>
          </w:p>
          <w:p w14:paraId="10E7945A"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 w:val="24"/>
                <w:szCs w:val="24"/>
              </w:rPr>
            </w:pPr>
            <w:r>
              <w:rPr>
                <w:rFonts w:ascii="Times New Roman" w:hAnsi="Times New Roman"/>
                <w:noProof/>
                <w:sz w:val="24"/>
              </w:rPr>
              <w:t>Coșlariu – Teiuș – Cluj-Napoca;</w:t>
            </w:r>
          </w:p>
          <w:p w14:paraId="1F3306B8" w14:textId="77777777" w:rsidR="00271EF8" w:rsidRPr="000A27B3" w:rsidRDefault="00271EF8" w:rsidP="00271EF8">
            <w:pPr>
              <w:numPr>
                <w:ilvl w:val="0"/>
                <w:numId w:val="31"/>
              </w:numPr>
              <w:spacing w:before="120" w:after="0"/>
              <w:ind w:left="250" w:hanging="250"/>
              <w:contextualSpacing/>
              <w:jc w:val="both"/>
              <w:rPr>
                <w:rFonts w:ascii="Times New Roman" w:eastAsia="Times New Roman" w:hAnsi="Times New Roman" w:cs="Times New Roman"/>
                <w:noProof/>
                <w:szCs w:val="24"/>
              </w:rPr>
            </w:pPr>
            <w:r>
              <w:rPr>
                <w:rFonts w:ascii="Times New Roman" w:hAnsi="Times New Roman"/>
                <w:noProof/>
                <w:sz w:val="24"/>
              </w:rPr>
              <w:t>Tecuci – Bârlad – Vaslui – Iași.</w:t>
            </w:r>
          </w:p>
          <w:p w14:paraId="03957DA7"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 vor furniza dovezi privind conformitatea cu procedurile de autorizare din cadrul evaluării impactului asupra mediului în conformitate cu Directiva 2011/92/UE, pentru a se asigura conformitatea cu Orientările tehnice privind aplicarea principiului de „a nu prejudicia în mod semnificativ” (2021/C58/01). Se va atinge/menține starea ecologică bună/potențialul ecologic bun al corpurilor de apă relevante în conformitate cu cerințele Directivei-cadru 2000/60/CE privind apa și se va demonstra acest lucru pe baza celor mai recente date justificative relevante.</w:t>
            </w:r>
          </w:p>
          <w:p w14:paraId="19021F5D"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Sistemul de cale ERTMS ar trebui să fie certificat pentru interoperabilitate europeană. </w:t>
            </w:r>
          </w:p>
        </w:tc>
      </w:tr>
      <w:tr w:rsidR="000A27B3" w:rsidRPr="000A27B3" w14:paraId="52C66C85"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3D2B927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76</w:t>
            </w:r>
          </w:p>
        </w:tc>
        <w:tc>
          <w:tcPr>
            <w:tcW w:w="2013" w:type="dxa"/>
            <w:tcBorders>
              <w:top w:val="single" w:sz="4" w:space="0" w:color="auto"/>
              <w:left w:val="nil"/>
              <w:bottom w:val="single" w:sz="4" w:space="0" w:color="auto"/>
              <w:right w:val="single" w:sz="4" w:space="0" w:color="auto"/>
            </w:tcBorders>
            <w:shd w:val="clear" w:color="auto" w:fill="C6EFCE"/>
            <w:noWrap/>
          </w:tcPr>
          <w:p w14:paraId="4B9E011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2. Material rulant feroviar </w:t>
            </w:r>
          </w:p>
        </w:tc>
        <w:tc>
          <w:tcPr>
            <w:tcW w:w="1075" w:type="dxa"/>
            <w:tcBorders>
              <w:top w:val="single" w:sz="4" w:space="0" w:color="auto"/>
              <w:left w:val="nil"/>
              <w:bottom w:val="single" w:sz="4" w:space="0" w:color="auto"/>
              <w:right w:val="single" w:sz="4" w:space="0" w:color="auto"/>
            </w:tcBorders>
            <w:shd w:val="clear" w:color="auto" w:fill="C6EFCE"/>
            <w:noWrap/>
          </w:tcPr>
          <w:p w14:paraId="079C7247"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44" w:type="dxa"/>
            <w:tcBorders>
              <w:top w:val="single" w:sz="4" w:space="0" w:color="auto"/>
              <w:left w:val="nil"/>
              <w:bottom w:val="single" w:sz="4" w:space="0" w:color="auto"/>
              <w:right w:val="single" w:sz="4" w:space="0" w:color="auto"/>
            </w:tcBorders>
            <w:shd w:val="clear" w:color="auto" w:fill="C6EFCE"/>
            <w:noWrap/>
          </w:tcPr>
          <w:p w14:paraId="17D8B3A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în urma unor licitații deschise și concurențiale.</w:t>
            </w:r>
          </w:p>
        </w:tc>
        <w:tc>
          <w:tcPr>
            <w:tcW w:w="1745" w:type="dxa"/>
            <w:tcBorders>
              <w:top w:val="single" w:sz="4" w:space="0" w:color="auto"/>
              <w:left w:val="nil"/>
              <w:bottom w:val="single" w:sz="4" w:space="0" w:color="auto"/>
              <w:right w:val="single" w:sz="4" w:space="0" w:color="auto"/>
            </w:tcBorders>
            <w:shd w:val="clear" w:color="auto" w:fill="C6EFCE"/>
            <w:noWrap/>
          </w:tcPr>
          <w:p w14:paraId="6F701D4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941" w:type="dxa"/>
            <w:tcBorders>
              <w:top w:val="single" w:sz="4" w:space="0" w:color="auto"/>
              <w:left w:val="nil"/>
              <w:bottom w:val="single" w:sz="4" w:space="0" w:color="auto"/>
              <w:right w:val="single" w:sz="4" w:space="0" w:color="auto"/>
            </w:tcBorders>
            <w:shd w:val="clear" w:color="auto" w:fill="C6EFCE"/>
            <w:noWrap/>
          </w:tcPr>
          <w:p w14:paraId="3B1FF4F3"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43" w:type="dxa"/>
            <w:tcBorders>
              <w:top w:val="single" w:sz="4" w:space="0" w:color="auto"/>
              <w:left w:val="nil"/>
              <w:bottom w:val="single" w:sz="4" w:space="0" w:color="auto"/>
              <w:right w:val="single" w:sz="4" w:space="0" w:color="auto"/>
            </w:tcBorders>
            <w:shd w:val="clear" w:color="auto" w:fill="C6EFCE"/>
            <w:noWrap/>
          </w:tcPr>
          <w:p w14:paraId="5404E51E"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5AD69DBE"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22" w:type="dxa"/>
            <w:tcBorders>
              <w:top w:val="single" w:sz="4" w:space="0" w:color="auto"/>
              <w:left w:val="nil"/>
              <w:bottom w:val="single" w:sz="4" w:space="0" w:color="auto"/>
              <w:right w:val="single" w:sz="4" w:space="0" w:color="auto"/>
            </w:tcBorders>
            <w:shd w:val="clear" w:color="auto" w:fill="C6EFCE"/>
            <w:noWrap/>
          </w:tcPr>
          <w:p w14:paraId="766E66C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046AAC1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91" w:type="dxa"/>
            <w:tcBorders>
              <w:top w:val="single" w:sz="4" w:space="0" w:color="auto"/>
              <w:left w:val="nil"/>
              <w:bottom w:val="single" w:sz="4" w:space="0" w:color="auto"/>
              <w:right w:val="single" w:sz="4" w:space="0" w:color="auto"/>
            </w:tcBorders>
            <w:shd w:val="clear" w:color="auto" w:fill="C6EFCE"/>
            <w:noWrap/>
          </w:tcPr>
          <w:p w14:paraId="0B583A6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Jalonul se referă la contractele semnate între Ministerul Transporturilor și Infrastructurii și întreprinderile câștigătoare pentru livrarea materialului rulant: 20 EMU (rame electrice – RE-IR-Electric InterRegio – trenuri de lung parcurs, cu 6 unități), 12 H-EMU (rame electrice cu hidrogen, cu 3+1 unități), material rulant modernizat cu emisii zero: 55 de locomotive și 139 de vagoane, 16 locomotive electrice noi cu 4 osii cu ERTMS/Sistemul european de control și comandă al trenului (ETCS) și conversia a 20 de locomotive de manevră diesel hidraulice în locomotive electrice plug-in, în urma unor licitații deschise și concurențiale.</w:t>
            </w:r>
          </w:p>
        </w:tc>
      </w:tr>
      <w:tr w:rsidR="000A27B3" w:rsidRPr="000A27B3" w14:paraId="0FDCF012" w14:textId="77777777" w:rsidTr="00974FAA">
        <w:trPr>
          <w:trHeight w:val="309"/>
          <w:jc w:val="center"/>
        </w:trPr>
        <w:tc>
          <w:tcPr>
            <w:tcW w:w="674" w:type="dxa"/>
            <w:tcBorders>
              <w:top w:val="single" w:sz="4" w:space="0" w:color="auto"/>
              <w:left w:val="single" w:sz="4" w:space="0" w:color="auto"/>
              <w:bottom w:val="single" w:sz="4" w:space="0" w:color="auto"/>
              <w:right w:val="single" w:sz="4" w:space="0" w:color="auto"/>
            </w:tcBorders>
            <w:shd w:val="clear" w:color="auto" w:fill="C6EFCE"/>
            <w:noWrap/>
          </w:tcPr>
          <w:p w14:paraId="213E0D00"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77</w:t>
            </w:r>
          </w:p>
        </w:tc>
        <w:tc>
          <w:tcPr>
            <w:tcW w:w="2013" w:type="dxa"/>
            <w:tcBorders>
              <w:top w:val="single" w:sz="4" w:space="0" w:color="auto"/>
              <w:left w:val="nil"/>
              <w:bottom w:val="single" w:sz="4" w:space="0" w:color="auto"/>
              <w:right w:val="single" w:sz="4" w:space="0" w:color="auto"/>
            </w:tcBorders>
            <w:shd w:val="clear" w:color="auto" w:fill="C6EFCE"/>
            <w:noWrap/>
          </w:tcPr>
          <w:p w14:paraId="648574F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Material rulant feroviar</w:t>
            </w:r>
          </w:p>
        </w:tc>
        <w:tc>
          <w:tcPr>
            <w:tcW w:w="1075" w:type="dxa"/>
            <w:tcBorders>
              <w:top w:val="single" w:sz="4" w:space="0" w:color="auto"/>
              <w:left w:val="nil"/>
              <w:bottom w:val="single" w:sz="4" w:space="0" w:color="auto"/>
              <w:right w:val="single" w:sz="4" w:space="0" w:color="auto"/>
            </w:tcBorders>
            <w:shd w:val="clear" w:color="auto" w:fill="C6EFCE"/>
            <w:noWrap/>
          </w:tcPr>
          <w:p w14:paraId="6EE42760"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44" w:type="dxa"/>
            <w:tcBorders>
              <w:top w:val="single" w:sz="4" w:space="0" w:color="auto"/>
              <w:left w:val="nil"/>
              <w:bottom w:val="single" w:sz="4" w:space="0" w:color="auto"/>
              <w:right w:val="single" w:sz="4" w:space="0" w:color="auto"/>
            </w:tcBorders>
            <w:shd w:val="clear" w:color="auto" w:fill="C6EFCE"/>
            <w:noWrap/>
          </w:tcPr>
          <w:p w14:paraId="41C7884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Material rulant electric nou în funcțiune</w:t>
            </w:r>
          </w:p>
        </w:tc>
        <w:tc>
          <w:tcPr>
            <w:tcW w:w="1745" w:type="dxa"/>
            <w:tcBorders>
              <w:top w:val="single" w:sz="4" w:space="0" w:color="auto"/>
              <w:left w:val="nil"/>
              <w:bottom w:val="single" w:sz="4" w:space="0" w:color="auto"/>
              <w:right w:val="single" w:sz="4" w:space="0" w:color="auto"/>
            </w:tcBorders>
            <w:shd w:val="clear" w:color="auto" w:fill="C6EFCE"/>
            <w:noWrap/>
          </w:tcPr>
          <w:p w14:paraId="1EC5110C"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941" w:type="dxa"/>
            <w:tcBorders>
              <w:top w:val="single" w:sz="4" w:space="0" w:color="auto"/>
              <w:left w:val="nil"/>
              <w:bottom w:val="single" w:sz="4" w:space="0" w:color="auto"/>
              <w:right w:val="single" w:sz="4" w:space="0" w:color="auto"/>
            </w:tcBorders>
            <w:shd w:val="clear" w:color="auto" w:fill="C6EFCE"/>
            <w:noWrap/>
          </w:tcPr>
          <w:p w14:paraId="092BC4BE"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w:t>
            </w:r>
          </w:p>
        </w:tc>
        <w:tc>
          <w:tcPr>
            <w:tcW w:w="1043" w:type="dxa"/>
            <w:tcBorders>
              <w:top w:val="single" w:sz="4" w:space="0" w:color="auto"/>
              <w:left w:val="nil"/>
              <w:bottom w:val="single" w:sz="4" w:space="0" w:color="auto"/>
              <w:right w:val="single" w:sz="4" w:space="0" w:color="auto"/>
            </w:tcBorders>
            <w:shd w:val="clear" w:color="auto" w:fill="C6EFCE"/>
            <w:noWrap/>
          </w:tcPr>
          <w:p w14:paraId="6F275628"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53213205"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262</w:t>
            </w:r>
          </w:p>
        </w:tc>
        <w:tc>
          <w:tcPr>
            <w:tcW w:w="822" w:type="dxa"/>
            <w:tcBorders>
              <w:top w:val="single" w:sz="4" w:space="0" w:color="auto"/>
              <w:left w:val="nil"/>
              <w:bottom w:val="single" w:sz="4" w:space="0" w:color="auto"/>
              <w:right w:val="single" w:sz="4" w:space="0" w:color="auto"/>
            </w:tcBorders>
            <w:shd w:val="clear" w:color="auto" w:fill="C6EFCE"/>
            <w:noWrap/>
          </w:tcPr>
          <w:p w14:paraId="3B88BC7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02" w:type="dxa"/>
            <w:tcBorders>
              <w:top w:val="single" w:sz="4" w:space="0" w:color="auto"/>
              <w:left w:val="nil"/>
              <w:bottom w:val="single" w:sz="4" w:space="0" w:color="auto"/>
              <w:right w:val="single" w:sz="4" w:space="0" w:color="auto"/>
            </w:tcBorders>
            <w:shd w:val="clear" w:color="auto" w:fill="C6EFCE"/>
            <w:noWrap/>
          </w:tcPr>
          <w:p w14:paraId="07B2E21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91" w:type="dxa"/>
            <w:tcBorders>
              <w:top w:val="single" w:sz="4" w:space="0" w:color="auto"/>
              <w:left w:val="nil"/>
              <w:bottom w:val="single" w:sz="4" w:space="0" w:color="auto"/>
              <w:right w:val="single" w:sz="4" w:space="0" w:color="auto"/>
            </w:tcBorders>
            <w:shd w:val="clear" w:color="auto" w:fill="C6EFCE"/>
            <w:noWrap/>
          </w:tcPr>
          <w:p w14:paraId="74997E4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Punerea în funcțiune a:</w:t>
            </w:r>
          </w:p>
          <w:p w14:paraId="3F8E3A6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w:t>
            </w:r>
            <w:r>
              <w:rPr>
                <w:noProof/>
              </w:rPr>
              <w:tab/>
            </w:r>
            <w:r>
              <w:rPr>
                <w:rFonts w:ascii="Times New Roman" w:hAnsi="Times New Roman"/>
                <w:noProof/>
                <w:sz w:val="24"/>
              </w:rPr>
              <w:t xml:space="preserve">20 EMU (rame electrice – RE-IR-Electric InterRegio – trenuri de lung parcurs, cu 6 unități), 12 H-EMU (rame electrice cu hidrogen, cu 3+1 unități); </w:t>
            </w:r>
          </w:p>
          <w:p w14:paraId="4E63DF6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w:t>
            </w:r>
            <w:r>
              <w:rPr>
                <w:noProof/>
              </w:rPr>
              <w:tab/>
            </w:r>
            <w:r>
              <w:rPr>
                <w:rFonts w:ascii="Times New Roman" w:hAnsi="Times New Roman"/>
                <w:noProof/>
                <w:sz w:val="24"/>
              </w:rPr>
              <w:t>55 de locomotive electrice modernizate capabile de viteză 160 km/oră și tractare de trenuri de până la 16 vagoane;</w:t>
            </w:r>
          </w:p>
          <w:p w14:paraId="687F608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w:t>
            </w:r>
            <w:r>
              <w:rPr>
                <w:noProof/>
              </w:rPr>
              <w:tab/>
            </w:r>
            <w:r>
              <w:rPr>
                <w:rFonts w:ascii="Times New Roman" w:hAnsi="Times New Roman"/>
                <w:noProof/>
                <w:sz w:val="24"/>
              </w:rPr>
              <w:t xml:space="preserve">16 locomotive electrice noi cu 4 osii cu sistem ERTMS capabile de viteză 160 km/oră și tractare de trenuri de până la 16 vagoane; </w:t>
            </w:r>
          </w:p>
          <w:p w14:paraId="79A694D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w:t>
            </w:r>
            <w:r>
              <w:rPr>
                <w:noProof/>
              </w:rPr>
              <w:tab/>
            </w:r>
            <w:r>
              <w:rPr>
                <w:rFonts w:ascii="Times New Roman" w:hAnsi="Times New Roman"/>
                <w:noProof/>
                <w:sz w:val="24"/>
              </w:rPr>
              <w:t>20 de locomotive de manevră modernizate prin conversia de la diesel la electric și plug-in;</w:t>
            </w:r>
          </w:p>
          <w:p w14:paraId="06A8399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w:t>
            </w:r>
            <w:r>
              <w:rPr>
                <w:noProof/>
              </w:rPr>
              <w:tab/>
            </w:r>
            <w:r>
              <w:rPr>
                <w:rFonts w:ascii="Times New Roman" w:hAnsi="Times New Roman"/>
                <w:noProof/>
                <w:sz w:val="24"/>
              </w:rPr>
              <w:t xml:space="preserve">139 de vagoane modernizate (30 de vagoane de dormit, cușete, vagoane restaurante și bistro și 109 vagoane de clasă pentru trenurile InterCity, InterRegio și Regio). </w:t>
            </w:r>
          </w:p>
          <w:p w14:paraId="7EB5647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Pentru a maximiza eficiența investiției, întregul material rulant nou achiziționat va fi utilizat în rețeaua TEN-T, cu prioritate pe liniile modernizate.</w:t>
            </w:r>
          </w:p>
        </w:tc>
      </w:tr>
    </w:tbl>
    <w:p w14:paraId="29F2A24E" w14:textId="77777777" w:rsidR="00271EF8" w:rsidRPr="009F1DC7" w:rsidRDefault="00271EF8">
      <w:pPr>
        <w:spacing w:after="0" w:line="240" w:lineRule="auto"/>
        <w:jc w:val="both"/>
        <w:rPr>
          <w:rFonts w:ascii="Times New Roman" w:eastAsia="Times New Roman" w:hAnsi="Times New Roman" w:cs="Times New Roman"/>
          <w:noProof/>
          <w:sz w:val="24"/>
          <w:lang w:eastAsia="en-GB"/>
        </w:rPr>
        <w:sectPr w:rsidR="00271EF8" w:rsidRPr="009F1DC7">
          <w:headerReference w:type="even" r:id="rId84"/>
          <w:headerReference w:type="default" r:id="rId85"/>
          <w:footerReference w:type="even" r:id="rId86"/>
          <w:footerReference w:type="default" r:id="rId87"/>
          <w:headerReference w:type="first" r:id="rId88"/>
          <w:footerReference w:type="first" r:id="rId89"/>
          <w:pgSz w:w="16839" w:h="11907" w:orient="landscape"/>
          <w:pgMar w:top="1418" w:right="1134" w:bottom="1418" w:left="1134" w:header="709" w:footer="709" w:gutter="0"/>
          <w:cols w:space="720"/>
          <w:docGrid w:linePitch="360"/>
        </w:sectPr>
      </w:pPr>
    </w:p>
    <w:p w14:paraId="5C4953EA" w14:textId="77777777" w:rsidR="00271EF8" w:rsidRPr="000A27B3" w:rsidRDefault="00271EF8">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D.3. </w:t>
      </w:r>
      <w:r>
        <w:rPr>
          <w:noProof/>
        </w:rPr>
        <w:tab/>
      </w:r>
      <w:r>
        <w:rPr>
          <w:rFonts w:ascii="Times New Roman" w:hAnsi="Times New Roman"/>
          <w:b/>
          <w:noProof/>
          <w:sz w:val="24"/>
        </w:rPr>
        <w:t xml:space="preserve">Descrierea reformelor și a investițiilor pentru care se prevede acordarea împrumutului </w:t>
      </w:r>
    </w:p>
    <w:p w14:paraId="04252016" w14:textId="77777777" w:rsidR="00271EF8" w:rsidRPr="000A27B3" w:rsidRDefault="00271EF8">
      <w:pPr>
        <w:pStyle w:val="Standard"/>
        <w:spacing w:before="240"/>
        <w:jc w:val="both"/>
        <w:rPr>
          <w:noProof/>
          <w:u w:val="single"/>
        </w:rPr>
      </w:pPr>
      <w:r>
        <w:rPr>
          <w:noProof/>
          <w:u w:val="single"/>
        </w:rPr>
        <w:t>Reforma 2. Management performant pentru transport de calitate - Îmbunătățirea capacității instituționale de management și guvernanță corporativă</w:t>
      </w:r>
    </w:p>
    <w:p w14:paraId="1F4CAAEF"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reforme este de a îmbunătăți calitatea investițiilor și a serviciilor de transport prin îmbunătățirea guvernanței corporative și a performanței companiilor de stat care își desfășoară activitatea în sectorul transporturilor, în special pentru cele responsabile de drumuri, căi ferate și metrou.</w:t>
      </w:r>
    </w:p>
    <w:p w14:paraId="5B465C7A"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 nouă entitate C.N.I.R. S.A. (Compania Națională de Investiții Rutiere) a fost creată prin legea intrată în vigoare în aprilie 2021, pentru a gestiona investițiile în sectorul rutier, având responsabilitatea de a asigura implementarea proiectelor de la etapa de documentare tehnică și economică, procedurile de licitație, construcția eficientă până la recepție. Se așteaptă ca acest lucru să permită concentrarea unei entități specifice (C.N.I.R) asupra gestionării eficiente și prioritizării noilor investiții în drumuri, în timp ce cealaltă entitate (C.N.A.I.R) se va concentra pe gestionarea și întreținerea rețelei rutiere existente. Va exista o perioadă de tranziție de 3 ani în care C.N.A.I.R. (Compania Națională de Administrare a Infrastructurii Rutiere) și C.N.I.R. vor derula în paralel proiecte de investiții, până la operaționalizarea completă a C.N.I.R.</w:t>
      </w:r>
    </w:p>
    <w:p w14:paraId="3556A35D"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Selectarea și numirea membrilor consiliilor de administrație ale companiilor de stat din sectorul transporturilor vor fi îmbunătățite prin proceduri transparente și concurențiale, iar remunerația va fi aliniată la indicatori-cheie de performanță (KPI). </w:t>
      </w:r>
    </w:p>
    <w:p w14:paraId="57C607F7"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Pe baza unei evaluări independente a performanței financiare și operaționale în conformitate cu standardele OCDE (Organizația pentru Cooperare și Dezvoltare Economică), se vor pune în aplicare recomandări pentru îmbunătățirea performanței C.N.A.I.R., C.N.I.R., C.F.R. (Compania Națională de Căi Ferate), C.F.R. Călători și Metrorex. Pentru a efectua evaluarea independentă, Ministerul Transporturilor și Infrastructurii va contracta/selecta prin proceduri concurențiale de achiziții publice o instituție financiară internațională sau o societate internațională de audit, recunoscută pentru competența și expertiza sa în performanța companiilor de stat. Recomandările formulate în urma acestei evaluări independente vor fi puse în aplicare până la 30 iunie 2023.</w:t>
      </w:r>
    </w:p>
    <w:p w14:paraId="632C7F1F"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Reforma va asigura o reprezentare echilibrată a femeilor în toate procesele de reformă și în structurile organizaționale specifice pentru implementarea acesteia. Aceasta va viza, de asemenea, îmbunătățirea reprezentării femeilor în posturile de decizie ale întreprinderilor reformate.</w:t>
      </w:r>
    </w:p>
    <w:p w14:paraId="3D15B3C9"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reformei se va finaliza până la 30 iunie 2023.</w:t>
      </w:r>
    </w:p>
    <w:p w14:paraId="049EF29A" w14:textId="77777777" w:rsidR="00271EF8" w:rsidRPr="000A27B3" w:rsidRDefault="00271EF8">
      <w:pPr>
        <w:pStyle w:val="Standard"/>
        <w:spacing w:before="240"/>
        <w:jc w:val="both"/>
        <w:rPr>
          <w:noProof/>
          <w:u w:val="single"/>
        </w:rPr>
      </w:pPr>
      <w:r>
        <w:rPr>
          <w:noProof/>
          <w:u w:val="single"/>
        </w:rPr>
        <w:t>Investiția 3. Dezvoltarea infrastructurii rutiere durabile aferente rețelei TEN-T, taxarea drumurilor, managementul traficului și siguranța rutieră</w:t>
      </w:r>
    </w:p>
    <w:p w14:paraId="60CDA37C"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este de a îmbunătăți calitatea și eficiența infrastructurii rutiere pe anumite tronsoane ale rețelei TEN-T și de a promova coeziunea economică și socială, în special în regiunile mai puțin dezvoltate și în regiunile îndepărtate.</w:t>
      </w:r>
    </w:p>
    <w:p w14:paraId="4C05A5F6"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Se vor construi noi autostrăzi cu o lungime totală de 429 km, după cum urmează:</w:t>
      </w:r>
    </w:p>
    <w:p w14:paraId="0FBCA703" w14:textId="77777777" w:rsidR="00271EF8" w:rsidRPr="000A27B3" w:rsidRDefault="00271EF8">
      <w:pPr>
        <w:spacing w:before="120" w:after="120" w:line="240" w:lineRule="auto"/>
        <w:ind w:left="142"/>
        <w:jc w:val="both"/>
        <w:rPr>
          <w:rFonts w:ascii="Times New Roman" w:eastAsia="Calibri" w:hAnsi="Times New Roman" w:cs="Times New Roman"/>
          <w:noProof/>
          <w:sz w:val="24"/>
        </w:rPr>
      </w:pPr>
      <w:r>
        <w:rPr>
          <w:rFonts w:ascii="Times New Roman" w:hAnsi="Times New Roman"/>
          <w:noProof/>
          <w:sz w:val="24"/>
        </w:rPr>
        <w:t>• A7 – Ploiești-Pașcani (319 km)</w:t>
      </w:r>
    </w:p>
    <w:p w14:paraId="535FCCFE" w14:textId="77777777" w:rsidR="00271EF8" w:rsidRPr="000A27B3" w:rsidRDefault="00271EF8">
      <w:pPr>
        <w:spacing w:before="120" w:after="120" w:line="240" w:lineRule="auto"/>
        <w:ind w:left="142"/>
        <w:jc w:val="both"/>
        <w:rPr>
          <w:rFonts w:ascii="Times New Roman" w:eastAsia="Calibri" w:hAnsi="Times New Roman" w:cs="Times New Roman"/>
          <w:noProof/>
          <w:sz w:val="24"/>
        </w:rPr>
      </w:pPr>
      <w:r>
        <w:rPr>
          <w:rFonts w:ascii="Times New Roman" w:hAnsi="Times New Roman"/>
          <w:noProof/>
          <w:sz w:val="24"/>
        </w:rPr>
        <w:t>• A8 – Târgu-Mureș-Miercurea Nirajului și Leghin-Târgu Neamț (Moțca) (59 km)</w:t>
      </w:r>
    </w:p>
    <w:p w14:paraId="1D48213D" w14:textId="77777777" w:rsidR="00271EF8" w:rsidRPr="000A27B3" w:rsidRDefault="00271EF8">
      <w:pPr>
        <w:spacing w:before="120" w:after="120" w:line="240" w:lineRule="auto"/>
        <w:ind w:left="142"/>
        <w:jc w:val="both"/>
        <w:rPr>
          <w:rFonts w:ascii="Times New Roman" w:eastAsia="Calibri" w:hAnsi="Times New Roman" w:cs="Times New Roman"/>
          <w:noProof/>
          <w:sz w:val="24"/>
        </w:rPr>
      </w:pPr>
      <w:r>
        <w:rPr>
          <w:rFonts w:ascii="Times New Roman" w:hAnsi="Times New Roman"/>
          <w:noProof/>
          <w:sz w:val="24"/>
        </w:rPr>
        <w:t>• A1 – Marginea-Holdea (9 km)</w:t>
      </w:r>
    </w:p>
    <w:p w14:paraId="732FE963" w14:textId="77777777" w:rsidR="00271EF8" w:rsidRPr="000A27B3" w:rsidRDefault="00271EF8">
      <w:pPr>
        <w:spacing w:before="120" w:after="120" w:line="240" w:lineRule="auto"/>
        <w:ind w:left="142"/>
        <w:jc w:val="both"/>
        <w:rPr>
          <w:rFonts w:ascii="Times New Roman" w:eastAsia="Calibri" w:hAnsi="Times New Roman" w:cs="Times New Roman"/>
          <w:noProof/>
          <w:sz w:val="24"/>
        </w:rPr>
      </w:pPr>
      <w:r>
        <w:rPr>
          <w:rFonts w:ascii="Times New Roman" w:hAnsi="Times New Roman"/>
          <w:noProof/>
          <w:sz w:val="24"/>
        </w:rPr>
        <w:t>• A3 – Nădășelu-Poarta Sălajului (42 km).</w:t>
      </w:r>
    </w:p>
    <w:p w14:paraId="10197F11"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Toate sectoarele de autostrăzi vor fi construite în conformitate cu standardele TEN-T, vor respecta și vor include în proiectare cerințele de evaluare a impactului asupra mediului, precum și avizele și condițiile evaluării corespunzătoare (parte din Directiva privind habitatele) și vor include noi reglementări tehnice pentru limitarea poluării, îmbunătățirea siguranței și promovarea eficienței traficului.</w:t>
      </w:r>
    </w:p>
    <w:p w14:paraId="3D2C6BA5" w14:textId="77777777" w:rsidR="00271EF8" w:rsidRPr="000048C5" w:rsidRDefault="00271EF8">
      <w:pPr>
        <w:spacing w:before="120" w:after="120" w:line="240" w:lineRule="auto"/>
        <w:jc w:val="both"/>
        <w:rPr>
          <w:rFonts w:ascii="Times New Roman" w:eastAsia="Calibri" w:hAnsi="Times New Roman" w:cs="Times New Roman"/>
          <w:noProof/>
          <w:spacing w:val="-4"/>
          <w:sz w:val="24"/>
        </w:rPr>
      </w:pPr>
      <w:r w:rsidRPr="000048C5">
        <w:rPr>
          <w:rFonts w:ascii="Times New Roman" w:hAnsi="Times New Roman"/>
          <w:noProof/>
          <w:spacing w:val="-4"/>
          <w:sz w:val="24"/>
        </w:rPr>
        <w:t>Construcția de autostrăzi noi va implică următoarele caracteristici: standarde tehnice obligatorii în conformitate cu cerințele TEN-T, construcția de stații electrice de reîncărcare, construcția de parcări securizate, implementarea de soluții de digitalizare care au rol de eficientizare și sporire a siguranței traficului, instalarea de perdele forestiere și alte lucrări menite să crească siguranța rutieră.</w:t>
      </w:r>
    </w:p>
    <w:p w14:paraId="6C2A62D1"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Se preconizează că această măsură nu prejudiciază în mod semnificativ obiectivele de mediu în sensul articolului 17 din Regulamentul (UE) 2020/852, ținând seama de descrierea măsurii și de etapele de atenuare prevăzute în planul de redresare și reziliență în conformitate cu Orientările tehnice privind aplicarea principiului de „a nu prejudicia în mod semnificativ” (2021/C58/01). Toate sectoarele de autostrăzi vor fi construite în conformitate cu standardele TEN-T, vor respecta cerințele de evaluare a impactului asupra mediului, vor include evaluarea corespunzătoare (parte din Directiva privind habitatele) în proiectare și vor cuprinde noi caracteristici tehnice pentru limitarea poluării și digitalizarea transportului (perdele forestiere, panouri fonoabsorbante, stații de încărcare a vehiculelor electrice, sistemul de transport inteligent, siguranța rutieră). Respectarea principiului de „a nu prejudicia în mod semnificativ” va fi asigurată prin intermediul următoarelor măsuri însoțitoare:</w:t>
      </w:r>
    </w:p>
    <w:p w14:paraId="311DEFE0" w14:textId="671CFC88" w:rsidR="00271EF8" w:rsidRPr="000A27B3" w:rsidRDefault="00271EF8" w:rsidP="00271EF8">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cuplarea investițiilor rutiere cu instalarea a cel puțin 22 415 de puncte de reîncărcare electrică, astfel cum se prevede în reforma 1 a acestei componente, investițiile 1 și 2 din componenta 10 („Fondul local”) și investiția 1 din componenta 5 („Valul renovării”);</w:t>
      </w:r>
    </w:p>
    <w:p w14:paraId="64883944" w14:textId="4A41ADCD" w:rsidR="00271EF8" w:rsidRPr="000A27B3" w:rsidRDefault="00271EF8" w:rsidP="00271EF8">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reforma 1 a acestei componente, care introduce: i) taxarea în funcție de distanța parcursă pentru vehiculele grele de marfă (camioane și altele); ii) măsuri locale de taxe de proprietate pentru cele mai poluante vehicule de pasageri și (iii) creșterea cu 29 500 a numărului de vehicule cu emisii zero înmatriculate în România între 2020 și 2025;</w:t>
      </w:r>
    </w:p>
    <w:p w14:paraId="5909DE30" w14:textId="77777777" w:rsidR="00271EF8" w:rsidRPr="000A27B3" w:rsidRDefault="00271EF8" w:rsidP="00271EF8">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reforma 1 a acestei componente, care oferă stimulente financiare și fiscale pentru creșterea numărului de vehicule cu emisii zero și cu emisii scăzute și pentru casarea a cel puțin 250 000 de vehicule poluante (cu standard de emisii EURO 3 sau inferior);</w:t>
      </w:r>
    </w:p>
    <w:p w14:paraId="6A9DB445" w14:textId="77777777" w:rsidR="00271EF8" w:rsidRPr="000A27B3" w:rsidRDefault="00271EF8" w:rsidP="00271EF8">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reforma 1 a acestei componente, care cuprinde o Strategie de dezvoltare a infrastructurii feroviare și o Strategie privind transportul naval și integrarea cu alte moduri de transport, care sprijină transferul modal de la transportul rutier la transportul feroviar și/sau pe căile navigabile interioare;</w:t>
      </w:r>
    </w:p>
    <w:p w14:paraId="3F19BD4B" w14:textId="77777777" w:rsidR="00271EF8" w:rsidRPr="000A27B3" w:rsidRDefault="00271EF8" w:rsidP="00271EF8">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reforma 4 a componentei 10 „Fondul local”, care include măsuri de stimulare a reînnoirii parcului auto pentru transportul public cu vehicule nepoluante, creșterea siguranței rutiere și asigurarea unor standarde naționale minime de calitate în zonele urbane și rurale.</w:t>
      </w:r>
    </w:p>
    <w:p w14:paraId="597FB43F"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2026.</w:t>
      </w:r>
    </w:p>
    <w:p w14:paraId="1332B21A" w14:textId="77777777" w:rsidR="00271EF8" w:rsidRPr="000A27B3" w:rsidRDefault="00271EF8">
      <w:pPr>
        <w:pStyle w:val="Standard"/>
        <w:spacing w:before="240"/>
        <w:jc w:val="both"/>
        <w:rPr>
          <w:noProof/>
          <w:u w:val="single"/>
        </w:rPr>
      </w:pPr>
      <w:r>
        <w:rPr>
          <w:noProof/>
          <w:u w:val="single"/>
        </w:rPr>
        <w:t>Investiția 4. Dezvoltarea rețelei de transport cu metroul în municipiile București și Cluj-Napoca</w:t>
      </w:r>
    </w:p>
    <w:p w14:paraId="1AE7416D" w14:textId="43246FFA" w:rsidR="00271EF8" w:rsidRPr="000A27B3" w:rsidRDefault="00271EF8">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Obiectivul acestei investiții este de a extinde cu 6,6 kilometri rețeaua de transport cu metroul din Municipiul București și de a construi 8,8 kilometri de rețea de transport cu metroul în Cluj-Napoca. Proiectele vor contribui la creșterea gradului de utilizare a transportului public nepoluant, reducând astfel poluarea aerului, emisiile și congestionarea traficului în aceste zone urbane. Investiția va include facilități pentru persoanele cu mobilitate redusă și va fi accesibilă persoanelor cu deficiențe de vedere. </w:t>
      </w:r>
    </w:p>
    <w:p w14:paraId="34C5ABFE"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2026.</w:t>
      </w:r>
    </w:p>
    <w:p w14:paraId="1E640E5C" w14:textId="77777777" w:rsidR="00271EF8" w:rsidRPr="009F1DC7" w:rsidRDefault="00271EF8">
      <w:pPr>
        <w:suppressAutoHyphens/>
        <w:autoSpaceDN w:val="0"/>
        <w:spacing w:after="0"/>
        <w:jc w:val="both"/>
        <w:textAlignment w:val="baseline"/>
        <w:rPr>
          <w:rFonts w:ascii="Times New Roman" w:eastAsia="NSimSun" w:hAnsi="Times New Roman" w:cs="Times New Roman"/>
          <w:noProof/>
          <w:kern w:val="3"/>
          <w:sz w:val="24"/>
          <w:szCs w:val="24"/>
        </w:rPr>
        <w:sectPr w:rsidR="00271EF8" w:rsidRPr="009F1DC7">
          <w:headerReference w:type="even" r:id="rId90"/>
          <w:headerReference w:type="default" r:id="rId91"/>
          <w:footerReference w:type="even" r:id="rId92"/>
          <w:footerReference w:type="default" r:id="rId93"/>
          <w:headerReference w:type="first" r:id="rId94"/>
          <w:footerReference w:type="first" r:id="rId95"/>
          <w:pgSz w:w="11907" w:h="16839"/>
          <w:pgMar w:top="1134" w:right="1418" w:bottom="1134" w:left="1418" w:header="709" w:footer="709" w:gutter="0"/>
          <w:cols w:space="720"/>
          <w:docGrid w:linePitch="360"/>
        </w:sectPr>
      </w:pPr>
    </w:p>
    <w:p w14:paraId="7F87A627" w14:textId="77777777" w:rsidR="00271EF8" w:rsidRPr="000A27B3" w:rsidRDefault="00271EF8">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D.4. </w:t>
      </w:r>
      <w:r>
        <w:rPr>
          <w:noProof/>
        </w:rPr>
        <w:tab/>
      </w:r>
      <w:r>
        <w:rPr>
          <w:rFonts w:ascii="Times New Roman" w:hAnsi="Times New Roman"/>
          <w:b/>
          <w:noProof/>
          <w:sz w:val="24"/>
        </w:rPr>
        <w:t xml:space="preserve">Jaloane, ținte, indicatori și calendarul de monitorizare și implementare aplicabile împrumutului </w:t>
      </w:r>
    </w:p>
    <w:tbl>
      <w:tblPr>
        <w:tblW w:w="15452" w:type="dxa"/>
        <w:jc w:val="center"/>
        <w:tblLayout w:type="fixed"/>
        <w:tblCellMar>
          <w:left w:w="28" w:type="dxa"/>
          <w:right w:w="28" w:type="dxa"/>
        </w:tblCellMar>
        <w:tblLook w:val="04A0" w:firstRow="1" w:lastRow="0" w:firstColumn="1" w:lastColumn="0" w:noHBand="0" w:noVBand="1"/>
      </w:tblPr>
      <w:tblGrid>
        <w:gridCol w:w="663"/>
        <w:gridCol w:w="2099"/>
        <w:gridCol w:w="1052"/>
        <w:gridCol w:w="1705"/>
        <w:gridCol w:w="1575"/>
        <w:gridCol w:w="40"/>
        <w:gridCol w:w="1141"/>
        <w:gridCol w:w="1080"/>
        <w:gridCol w:w="960"/>
        <w:gridCol w:w="809"/>
        <w:gridCol w:w="660"/>
        <w:gridCol w:w="3668"/>
      </w:tblGrid>
      <w:tr w:rsidR="000A27B3" w:rsidRPr="000A27B3" w14:paraId="66878910" w14:textId="77777777" w:rsidTr="000048C5">
        <w:trPr>
          <w:trHeight w:val="461"/>
          <w:tblHeader/>
          <w:jc w:val="center"/>
        </w:trPr>
        <w:tc>
          <w:tcPr>
            <w:tcW w:w="66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FE11FE"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20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04FF6F"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C82E12" w14:textId="78D947CC"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0048C5">
              <w:rPr>
                <w:rFonts w:ascii="Times New Roman" w:hAnsi="Times New Roman"/>
                <w:b/>
                <w:noProof/>
                <w:sz w:val="24"/>
              </w:rPr>
              <w:br/>
            </w:r>
            <w:r>
              <w:rPr>
                <w:rFonts w:ascii="Times New Roman" w:hAnsi="Times New Roman"/>
                <w:b/>
                <w:noProof/>
                <w:sz w:val="24"/>
              </w:rPr>
              <w:t>țintă</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9C6632"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615" w:type="dxa"/>
            <w:gridSpan w:val="2"/>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095717"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775EFFC5"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18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287107F"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w:t>
            </w:r>
          </w:p>
          <w:p w14:paraId="62908937" w14:textId="66DEADCD"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469" w:type="dxa"/>
            <w:gridSpan w:val="2"/>
            <w:tcBorders>
              <w:top w:val="single" w:sz="4" w:space="0" w:color="auto"/>
              <w:left w:val="nil"/>
              <w:bottom w:val="single" w:sz="4" w:space="0" w:color="auto"/>
              <w:right w:val="single" w:sz="4" w:space="0" w:color="auto"/>
            </w:tcBorders>
            <w:shd w:val="clear" w:color="auto" w:fill="BDD7EE"/>
            <w:vAlign w:val="center"/>
            <w:hideMark/>
          </w:tcPr>
          <w:p w14:paraId="5DECDBD8"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w:t>
            </w:r>
          </w:p>
          <w:p w14:paraId="62BAD7A4"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pentru atingerea jaloanelor/țintelor</w:t>
            </w:r>
          </w:p>
        </w:tc>
        <w:tc>
          <w:tcPr>
            <w:tcW w:w="366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EF972E"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132C532E" w14:textId="77777777" w:rsidTr="000048C5">
        <w:trPr>
          <w:trHeight w:val="472"/>
          <w:tblHeader/>
          <w:jc w:val="center"/>
        </w:trPr>
        <w:tc>
          <w:tcPr>
            <w:tcW w:w="663" w:type="dxa"/>
            <w:vMerge/>
            <w:tcBorders>
              <w:top w:val="single" w:sz="4" w:space="0" w:color="auto"/>
              <w:left w:val="single" w:sz="4" w:space="0" w:color="auto"/>
              <w:bottom w:val="single" w:sz="4" w:space="0" w:color="auto"/>
              <w:right w:val="single" w:sz="4" w:space="0" w:color="auto"/>
            </w:tcBorders>
            <w:hideMark/>
          </w:tcPr>
          <w:p w14:paraId="78A22458" w14:textId="77777777" w:rsidR="00271EF8" w:rsidRPr="009F1DC7" w:rsidRDefault="00271EF8">
            <w:pPr>
              <w:spacing w:after="0" w:line="240" w:lineRule="auto"/>
              <w:jc w:val="center"/>
              <w:rPr>
                <w:rFonts w:ascii="Times New Roman" w:eastAsia="Times New Roman" w:hAnsi="Times New Roman" w:cs="Times New Roman"/>
                <w:b/>
                <w:noProof/>
                <w:sz w:val="24"/>
                <w:szCs w:val="24"/>
                <w:lang w:eastAsia="en-GB"/>
              </w:rPr>
            </w:pPr>
          </w:p>
        </w:tc>
        <w:tc>
          <w:tcPr>
            <w:tcW w:w="2099" w:type="dxa"/>
            <w:vMerge/>
            <w:tcBorders>
              <w:top w:val="single" w:sz="4" w:space="0" w:color="auto"/>
              <w:left w:val="single" w:sz="4" w:space="0" w:color="auto"/>
              <w:bottom w:val="single" w:sz="4" w:space="0" w:color="auto"/>
              <w:right w:val="single" w:sz="4" w:space="0" w:color="auto"/>
            </w:tcBorders>
            <w:hideMark/>
          </w:tcPr>
          <w:p w14:paraId="7F5935A2" w14:textId="77777777" w:rsidR="00271EF8" w:rsidRPr="009F1DC7" w:rsidRDefault="00271EF8">
            <w:pPr>
              <w:spacing w:after="0" w:line="240" w:lineRule="auto"/>
              <w:jc w:val="both"/>
              <w:rPr>
                <w:rFonts w:ascii="Times New Roman" w:eastAsia="Times New Roman" w:hAnsi="Times New Roman" w:cs="Times New Roman"/>
                <w:b/>
                <w:noProof/>
                <w:sz w:val="24"/>
                <w:szCs w:val="24"/>
                <w:lang w:eastAsia="en-GB"/>
              </w:rPr>
            </w:pPr>
          </w:p>
        </w:tc>
        <w:tc>
          <w:tcPr>
            <w:tcW w:w="1052" w:type="dxa"/>
            <w:vMerge/>
            <w:tcBorders>
              <w:top w:val="single" w:sz="4" w:space="0" w:color="auto"/>
              <w:left w:val="single" w:sz="4" w:space="0" w:color="auto"/>
              <w:bottom w:val="single" w:sz="4" w:space="0" w:color="auto"/>
              <w:right w:val="single" w:sz="4" w:space="0" w:color="auto"/>
            </w:tcBorders>
            <w:hideMark/>
          </w:tcPr>
          <w:p w14:paraId="1C6B76D3" w14:textId="77777777" w:rsidR="00271EF8" w:rsidRPr="009F1DC7" w:rsidRDefault="00271EF8">
            <w:pPr>
              <w:spacing w:after="0" w:line="240" w:lineRule="auto"/>
              <w:jc w:val="center"/>
              <w:rPr>
                <w:rFonts w:ascii="Times New Roman" w:eastAsia="Times New Roman" w:hAnsi="Times New Roman" w:cs="Times New Roman"/>
                <w:b/>
                <w:noProof/>
                <w:sz w:val="24"/>
                <w:szCs w:val="24"/>
                <w:lang w:eastAsia="en-GB"/>
              </w:rPr>
            </w:pPr>
          </w:p>
        </w:tc>
        <w:tc>
          <w:tcPr>
            <w:tcW w:w="1705" w:type="dxa"/>
            <w:vMerge/>
            <w:tcBorders>
              <w:top w:val="single" w:sz="4" w:space="0" w:color="auto"/>
              <w:left w:val="single" w:sz="4" w:space="0" w:color="auto"/>
              <w:bottom w:val="single" w:sz="4" w:space="0" w:color="auto"/>
              <w:right w:val="single" w:sz="4" w:space="0" w:color="auto"/>
            </w:tcBorders>
            <w:hideMark/>
          </w:tcPr>
          <w:p w14:paraId="61BA3093" w14:textId="77777777" w:rsidR="00271EF8" w:rsidRPr="009F1DC7" w:rsidRDefault="00271EF8">
            <w:pPr>
              <w:spacing w:after="0" w:line="240" w:lineRule="auto"/>
              <w:jc w:val="both"/>
              <w:rPr>
                <w:rFonts w:ascii="Times New Roman" w:eastAsia="Times New Roman" w:hAnsi="Times New Roman" w:cs="Times New Roman"/>
                <w:b/>
                <w:noProof/>
                <w:sz w:val="24"/>
                <w:szCs w:val="24"/>
                <w:lang w:eastAsia="en-GB"/>
              </w:rPr>
            </w:pPr>
          </w:p>
        </w:tc>
        <w:tc>
          <w:tcPr>
            <w:tcW w:w="1615" w:type="dxa"/>
            <w:gridSpan w:val="2"/>
            <w:vMerge/>
            <w:tcBorders>
              <w:top w:val="single" w:sz="4" w:space="0" w:color="auto"/>
              <w:left w:val="single" w:sz="4" w:space="0" w:color="auto"/>
              <w:bottom w:val="single" w:sz="4" w:space="0" w:color="auto"/>
              <w:right w:val="single" w:sz="4" w:space="0" w:color="auto"/>
            </w:tcBorders>
            <w:hideMark/>
          </w:tcPr>
          <w:p w14:paraId="3EE672E2" w14:textId="77777777" w:rsidR="00271EF8" w:rsidRPr="009F1DC7" w:rsidRDefault="00271EF8">
            <w:pPr>
              <w:spacing w:after="0" w:line="240" w:lineRule="auto"/>
              <w:jc w:val="both"/>
              <w:rPr>
                <w:rFonts w:ascii="Times New Roman" w:eastAsia="Times New Roman" w:hAnsi="Times New Roman" w:cs="Times New Roman"/>
                <w:b/>
                <w:noProof/>
                <w:sz w:val="24"/>
                <w:szCs w:val="24"/>
                <w:lang w:eastAsia="en-GB"/>
              </w:rPr>
            </w:pPr>
          </w:p>
        </w:tc>
        <w:tc>
          <w:tcPr>
            <w:tcW w:w="1141" w:type="dxa"/>
            <w:tcBorders>
              <w:top w:val="nil"/>
              <w:left w:val="single" w:sz="4" w:space="0" w:color="auto"/>
              <w:bottom w:val="single" w:sz="4" w:space="0" w:color="auto"/>
              <w:right w:val="single" w:sz="4" w:space="0" w:color="auto"/>
            </w:tcBorders>
            <w:shd w:val="clear" w:color="auto" w:fill="BDD7EE"/>
            <w:vAlign w:val="center"/>
            <w:hideMark/>
          </w:tcPr>
          <w:p w14:paraId="29D22F21"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w:t>
            </w:r>
          </w:p>
          <w:p w14:paraId="7F66D575"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w:t>
            </w:r>
          </w:p>
          <w:p w14:paraId="2717ECDB"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w:t>
            </w:r>
          </w:p>
        </w:tc>
        <w:tc>
          <w:tcPr>
            <w:tcW w:w="1080" w:type="dxa"/>
            <w:tcBorders>
              <w:top w:val="nil"/>
              <w:left w:val="nil"/>
              <w:bottom w:val="single" w:sz="4" w:space="0" w:color="auto"/>
              <w:right w:val="single" w:sz="4" w:space="0" w:color="auto"/>
            </w:tcBorders>
            <w:shd w:val="clear" w:color="auto" w:fill="BDD7EE"/>
            <w:vAlign w:val="center"/>
            <w:hideMark/>
          </w:tcPr>
          <w:p w14:paraId="2DC0EC44" w14:textId="3657E329" w:rsidR="00271EF8" w:rsidRPr="000A27B3" w:rsidRDefault="00271EF8" w:rsidP="008F034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960" w:type="dxa"/>
            <w:tcBorders>
              <w:top w:val="nil"/>
              <w:left w:val="nil"/>
              <w:bottom w:val="single" w:sz="4" w:space="0" w:color="auto"/>
              <w:right w:val="single" w:sz="4" w:space="0" w:color="auto"/>
            </w:tcBorders>
            <w:shd w:val="clear" w:color="auto" w:fill="BDD7EE"/>
            <w:vAlign w:val="center"/>
            <w:hideMark/>
          </w:tcPr>
          <w:p w14:paraId="5D34C68A"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809" w:type="dxa"/>
            <w:tcBorders>
              <w:top w:val="nil"/>
              <w:left w:val="nil"/>
              <w:bottom w:val="single" w:sz="4" w:space="0" w:color="auto"/>
              <w:right w:val="single" w:sz="4" w:space="0" w:color="auto"/>
            </w:tcBorders>
            <w:shd w:val="clear" w:color="auto" w:fill="BDD7EE"/>
            <w:vAlign w:val="center"/>
            <w:hideMark/>
          </w:tcPr>
          <w:p w14:paraId="4CB1942B"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660" w:type="dxa"/>
            <w:tcBorders>
              <w:top w:val="nil"/>
              <w:left w:val="nil"/>
              <w:bottom w:val="single" w:sz="4" w:space="0" w:color="auto"/>
              <w:right w:val="single" w:sz="4" w:space="0" w:color="auto"/>
            </w:tcBorders>
            <w:shd w:val="clear" w:color="auto" w:fill="BDD7EE"/>
            <w:vAlign w:val="center"/>
            <w:hideMark/>
          </w:tcPr>
          <w:p w14:paraId="538E0F02"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668" w:type="dxa"/>
            <w:vMerge/>
            <w:tcBorders>
              <w:top w:val="single" w:sz="4" w:space="0" w:color="auto"/>
              <w:bottom w:val="single" w:sz="4" w:space="0" w:color="auto"/>
              <w:right w:val="single" w:sz="4" w:space="0" w:color="auto"/>
            </w:tcBorders>
            <w:hideMark/>
          </w:tcPr>
          <w:p w14:paraId="0BE2B452" w14:textId="77777777" w:rsidR="00271EF8" w:rsidRPr="000A27B3" w:rsidRDefault="00271EF8">
            <w:pPr>
              <w:spacing w:after="0" w:line="240" w:lineRule="auto"/>
              <w:jc w:val="both"/>
              <w:rPr>
                <w:rFonts w:ascii="Times New Roman" w:eastAsia="Times New Roman" w:hAnsi="Times New Roman" w:cs="Times New Roman"/>
                <w:b/>
                <w:noProof/>
                <w:sz w:val="24"/>
                <w:szCs w:val="24"/>
                <w:lang w:val="en-GB" w:eastAsia="en-GB"/>
              </w:rPr>
            </w:pPr>
          </w:p>
        </w:tc>
      </w:tr>
      <w:tr w:rsidR="000A27B3" w:rsidRPr="000A27B3" w14:paraId="279FE756"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267FD7B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78</w:t>
            </w:r>
          </w:p>
        </w:tc>
        <w:tc>
          <w:tcPr>
            <w:tcW w:w="2099" w:type="dxa"/>
            <w:tcBorders>
              <w:top w:val="single" w:sz="4" w:space="0" w:color="auto"/>
              <w:left w:val="nil"/>
              <w:bottom w:val="single" w:sz="4" w:space="0" w:color="auto"/>
              <w:right w:val="single" w:sz="4" w:space="0" w:color="auto"/>
            </w:tcBorders>
            <w:shd w:val="clear" w:color="auto" w:fill="C6EFCE"/>
            <w:noWrap/>
          </w:tcPr>
          <w:p w14:paraId="11825BD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R2. Management performant pentru transport de calitate - Îmbunătățirea capacității instituționale de management și guvernanță corporativă</w:t>
            </w:r>
            <w:r>
              <w:rPr>
                <w:rFonts w:ascii="Times New Roman" w:hAnsi="Times New Roman"/>
                <w:noProof/>
                <w:sz w:val="24"/>
                <w:u w:val="single"/>
              </w:rPr>
              <w:t xml:space="preserve"> </w:t>
            </w:r>
          </w:p>
        </w:tc>
        <w:tc>
          <w:tcPr>
            <w:tcW w:w="1052" w:type="dxa"/>
            <w:tcBorders>
              <w:top w:val="single" w:sz="4" w:space="0" w:color="auto"/>
              <w:left w:val="nil"/>
              <w:bottom w:val="single" w:sz="4" w:space="0" w:color="auto"/>
              <w:right w:val="single" w:sz="4" w:space="0" w:color="auto"/>
            </w:tcBorders>
            <w:shd w:val="clear" w:color="auto" w:fill="C6EFCE"/>
            <w:noWrap/>
          </w:tcPr>
          <w:p w14:paraId="51095BC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05" w:type="dxa"/>
            <w:tcBorders>
              <w:top w:val="single" w:sz="4" w:space="0" w:color="auto"/>
              <w:left w:val="nil"/>
              <w:bottom w:val="single" w:sz="4" w:space="0" w:color="auto"/>
              <w:right w:val="single" w:sz="4" w:space="0" w:color="auto"/>
            </w:tcBorders>
            <w:shd w:val="clear" w:color="auto" w:fill="C6EFCE"/>
            <w:noWrap/>
          </w:tcPr>
          <w:p w14:paraId="6F13E9D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Legii nr. 50/2021 pentru aprobarea Ordonanței de urgență a Guvernului nr. 55/2016 privind reorganizarea Companiei Naționale de Autostrăzi și Drumuri Naționale din România – S.A. (C.N.A.I.R.) și înființarea Companiei Naționale de Investiții Rutiere – S.A. (C.N.I.R.) </w:t>
            </w:r>
          </w:p>
        </w:tc>
        <w:tc>
          <w:tcPr>
            <w:tcW w:w="1615" w:type="dxa"/>
            <w:gridSpan w:val="2"/>
            <w:tcBorders>
              <w:top w:val="single" w:sz="4" w:space="0" w:color="auto"/>
              <w:left w:val="nil"/>
              <w:bottom w:val="single" w:sz="4" w:space="0" w:color="auto"/>
              <w:right w:val="single" w:sz="4" w:space="0" w:color="auto"/>
            </w:tcBorders>
            <w:shd w:val="clear" w:color="auto" w:fill="C6EFCE"/>
            <w:noWrap/>
          </w:tcPr>
          <w:p w14:paraId="69FECE8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nr. 50/2021</w:t>
            </w:r>
          </w:p>
        </w:tc>
        <w:tc>
          <w:tcPr>
            <w:tcW w:w="1141" w:type="dxa"/>
            <w:tcBorders>
              <w:top w:val="single" w:sz="4" w:space="0" w:color="auto"/>
              <w:left w:val="nil"/>
              <w:bottom w:val="single" w:sz="4" w:space="0" w:color="auto"/>
              <w:right w:val="single" w:sz="4" w:space="0" w:color="auto"/>
            </w:tcBorders>
            <w:shd w:val="clear" w:color="auto" w:fill="C6EFCE"/>
            <w:noWrap/>
          </w:tcPr>
          <w:p w14:paraId="6F46AAF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051AE63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73FD622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09" w:type="dxa"/>
            <w:tcBorders>
              <w:top w:val="single" w:sz="4" w:space="0" w:color="auto"/>
              <w:left w:val="nil"/>
              <w:bottom w:val="single" w:sz="4" w:space="0" w:color="auto"/>
              <w:right w:val="single" w:sz="4" w:space="0" w:color="auto"/>
            </w:tcBorders>
            <w:shd w:val="clear" w:color="auto" w:fill="C6EFCE"/>
            <w:noWrap/>
          </w:tcPr>
          <w:p w14:paraId="5AAA69A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60" w:type="dxa"/>
            <w:tcBorders>
              <w:top w:val="single" w:sz="4" w:space="0" w:color="auto"/>
              <w:left w:val="nil"/>
              <w:bottom w:val="single" w:sz="4" w:space="0" w:color="auto"/>
              <w:right w:val="single" w:sz="4" w:space="0" w:color="auto"/>
            </w:tcBorders>
            <w:shd w:val="clear" w:color="auto" w:fill="C6EFCE"/>
            <w:noWrap/>
          </w:tcPr>
          <w:p w14:paraId="56A3E13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2021</w:t>
            </w:r>
          </w:p>
        </w:tc>
        <w:tc>
          <w:tcPr>
            <w:tcW w:w="3668" w:type="dxa"/>
            <w:tcBorders>
              <w:top w:val="single" w:sz="4" w:space="0" w:color="auto"/>
              <w:left w:val="nil"/>
              <w:bottom w:val="single" w:sz="4" w:space="0" w:color="auto"/>
              <w:right w:val="single" w:sz="4" w:space="0" w:color="auto"/>
            </w:tcBorders>
            <w:shd w:val="clear" w:color="auto" w:fill="C6EFCE"/>
            <w:noWrap/>
          </w:tcPr>
          <w:p w14:paraId="6804DC7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legislației privind reforma C.N.A.I.R. și crearea unei noi companii de management de proiect pentru investiții rutiere (C.N.I.R.). Legea a fost aprobată de Parlament și a intrat în vigoare în aprilie 2021. Împreună cu legislația (primară și secundară), întregul pachet de reglementare (instrucțiuni, decizii ale consiliului de administrație, contracte de management semnate cu echipele de gestionare) va include:</w:t>
            </w:r>
          </w:p>
          <w:p w14:paraId="1D8BA6DE" w14:textId="77777777" w:rsidR="00271EF8" w:rsidRPr="000A27B3" w:rsidRDefault="00271EF8" w:rsidP="00271EF8">
            <w:pPr>
              <w:pStyle w:val="ListParagraph"/>
              <w:numPr>
                <w:ilvl w:val="0"/>
                <w:numId w:val="40"/>
              </w:numPr>
              <w:spacing w:after="0" w:line="240" w:lineRule="auto"/>
              <w:ind w:left="250" w:hanging="174"/>
              <w:jc w:val="both"/>
              <w:rPr>
                <w:rFonts w:ascii="Times New Roman" w:eastAsia="Times New Roman" w:hAnsi="Times New Roman" w:cs="Times New Roman"/>
                <w:noProof/>
                <w:sz w:val="24"/>
              </w:rPr>
            </w:pPr>
            <w:r>
              <w:rPr>
                <w:rFonts w:ascii="Times New Roman" w:hAnsi="Times New Roman"/>
                <w:noProof/>
                <w:sz w:val="24"/>
              </w:rPr>
              <w:t>indicatori de performanță clari, aliniați la mandatele consiliilor de administrație și la indicatorii-cheie de performanță, sancțiuni și stimulente în caz de nerespectare, pentru a evalua performanța financiară (venituri, profitabilitate, implicarea bugetului de stat) și performanța serviciului furnizat (de exemplu, prin intermediul unui sondaj privind satisfacția utilizatorilor) pentru ambele companii;</w:t>
            </w:r>
          </w:p>
          <w:p w14:paraId="118D4501" w14:textId="77777777" w:rsidR="00271EF8" w:rsidRPr="000A27B3" w:rsidRDefault="00271EF8" w:rsidP="00271EF8">
            <w:pPr>
              <w:pStyle w:val="ListParagraph"/>
              <w:numPr>
                <w:ilvl w:val="0"/>
                <w:numId w:val="40"/>
              </w:numPr>
              <w:spacing w:after="0" w:line="240" w:lineRule="auto"/>
              <w:ind w:left="250" w:hanging="174"/>
              <w:jc w:val="both"/>
              <w:rPr>
                <w:rFonts w:ascii="Times New Roman" w:eastAsia="Times New Roman" w:hAnsi="Times New Roman" w:cs="Times New Roman"/>
                <w:noProof/>
                <w:sz w:val="24"/>
              </w:rPr>
            </w:pPr>
            <w:r>
              <w:rPr>
                <w:rFonts w:ascii="Times New Roman" w:hAnsi="Times New Roman"/>
                <w:noProof/>
                <w:sz w:val="24"/>
              </w:rPr>
              <w:t>standarde de guvernanță corporativă în conformitate cu cadrul O.E.C.D. (consilii de administrație profesioniste selectate printr-o procedură deschisă, concurențială și transparentă).</w:t>
            </w:r>
          </w:p>
          <w:p w14:paraId="739CED3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Legislația primară și secundară trebuie modificată pentru a permite o eficientizare a activităților companiei și reașezarea atribuțiilor și mecanismelor instituționale ale C.N.A.I.R.</w:t>
            </w:r>
          </w:p>
          <w:p w14:paraId="664607A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În mod specific, C.N.A.I.R. își va păstra atribuțiile actuale în ce privește întreținerea drumurilor și investițiile existente, atât la nivel de proiecte majore, cât și minore. Va exista o perioadă de tranziție de 3 ani în care C.N.A.I.R. și C.N.I.R. vor derula în paralel proiecte de investiții, până la operaționalizarea completă a C.N.I.R. și toate proiectele majore de investiții vor fi în administrarea C.N.I.R.</w:t>
            </w:r>
          </w:p>
        </w:tc>
      </w:tr>
      <w:tr w:rsidR="000A27B3" w:rsidRPr="000A27B3" w14:paraId="1CA78EBA"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3C7A900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79</w:t>
            </w:r>
          </w:p>
        </w:tc>
        <w:tc>
          <w:tcPr>
            <w:tcW w:w="2099" w:type="dxa"/>
            <w:tcBorders>
              <w:top w:val="single" w:sz="4" w:space="0" w:color="auto"/>
              <w:left w:val="nil"/>
              <w:bottom w:val="single" w:sz="4" w:space="0" w:color="auto"/>
              <w:right w:val="single" w:sz="4" w:space="0" w:color="auto"/>
            </w:tcBorders>
            <w:shd w:val="clear" w:color="auto" w:fill="C6EFCE"/>
            <w:noWrap/>
          </w:tcPr>
          <w:p w14:paraId="44F448D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R2. Management performant pentru transport de calitate - Îmbunătățirea capacității instituționale de management și guvernanță corporativă </w:t>
            </w:r>
          </w:p>
        </w:tc>
        <w:tc>
          <w:tcPr>
            <w:tcW w:w="1052" w:type="dxa"/>
            <w:tcBorders>
              <w:top w:val="single" w:sz="4" w:space="0" w:color="auto"/>
              <w:left w:val="nil"/>
              <w:bottom w:val="single" w:sz="4" w:space="0" w:color="auto"/>
              <w:right w:val="single" w:sz="4" w:space="0" w:color="auto"/>
            </w:tcBorders>
            <w:shd w:val="clear" w:color="auto" w:fill="C6EFCE"/>
            <w:noWrap/>
          </w:tcPr>
          <w:p w14:paraId="6A9A3F75"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05" w:type="dxa"/>
            <w:tcBorders>
              <w:top w:val="single" w:sz="4" w:space="0" w:color="auto"/>
              <w:left w:val="nil"/>
              <w:bottom w:val="single" w:sz="4" w:space="0" w:color="auto"/>
              <w:right w:val="single" w:sz="4" w:space="0" w:color="auto"/>
            </w:tcBorders>
            <w:shd w:val="clear" w:color="auto" w:fill="C6EFCE"/>
            <w:noWrap/>
          </w:tcPr>
          <w:p w14:paraId="3A815AE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Selectarea și numirea membrilor consiliului de administrație al C.N.A.I.R., C.N.I.R, C.F.R., Metrorex, C.F.R. Călători.</w:t>
            </w:r>
          </w:p>
        </w:tc>
        <w:tc>
          <w:tcPr>
            <w:tcW w:w="1615" w:type="dxa"/>
            <w:gridSpan w:val="2"/>
            <w:tcBorders>
              <w:top w:val="single" w:sz="4" w:space="0" w:color="auto"/>
              <w:left w:val="nil"/>
              <w:bottom w:val="single" w:sz="4" w:space="0" w:color="auto"/>
              <w:right w:val="single" w:sz="4" w:space="0" w:color="auto"/>
            </w:tcBorders>
            <w:shd w:val="clear" w:color="auto" w:fill="C6EFCE"/>
            <w:noWrap/>
          </w:tcPr>
          <w:p w14:paraId="0F89ED66" w14:textId="67E8AA40"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Mandate validate de adunarea generală a părților interesate </w:t>
            </w:r>
          </w:p>
        </w:tc>
        <w:tc>
          <w:tcPr>
            <w:tcW w:w="1141" w:type="dxa"/>
            <w:tcBorders>
              <w:top w:val="single" w:sz="4" w:space="0" w:color="auto"/>
              <w:left w:val="nil"/>
              <w:bottom w:val="single" w:sz="4" w:space="0" w:color="auto"/>
              <w:right w:val="single" w:sz="4" w:space="0" w:color="auto"/>
            </w:tcBorders>
            <w:shd w:val="clear" w:color="auto" w:fill="C6EFCE"/>
            <w:noWrap/>
          </w:tcPr>
          <w:p w14:paraId="3965177B"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764290B6"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72B69DC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09" w:type="dxa"/>
            <w:tcBorders>
              <w:top w:val="single" w:sz="4" w:space="0" w:color="auto"/>
              <w:left w:val="nil"/>
              <w:bottom w:val="single" w:sz="4" w:space="0" w:color="auto"/>
              <w:right w:val="single" w:sz="4" w:space="0" w:color="auto"/>
            </w:tcBorders>
            <w:shd w:val="clear" w:color="auto" w:fill="C6EFCE"/>
            <w:noWrap/>
          </w:tcPr>
          <w:p w14:paraId="62D10C9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08DD5A4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668" w:type="dxa"/>
            <w:tcBorders>
              <w:top w:val="single" w:sz="4" w:space="0" w:color="auto"/>
              <w:left w:val="nil"/>
              <w:bottom w:val="single" w:sz="4" w:space="0" w:color="auto"/>
              <w:right w:val="single" w:sz="4" w:space="0" w:color="auto"/>
            </w:tcBorders>
            <w:shd w:val="clear" w:color="auto" w:fill="C6EFCE"/>
            <w:noWrap/>
          </w:tcPr>
          <w:p w14:paraId="2EDCD93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Selectarea și numirea membrilor consiliilor de administrație ale companiilor de stat din sectorul transporturilor (C.N.A.I.R., C.N.I.R, C.F.R., Metrorex, C.F.R. Călători) se vor face:</w:t>
            </w:r>
          </w:p>
          <w:p w14:paraId="6986E0A2" w14:textId="77777777" w:rsidR="00271EF8" w:rsidRPr="000A27B3" w:rsidRDefault="00271EF8" w:rsidP="00271EF8">
            <w:pPr>
              <w:pStyle w:val="ListParagraph"/>
              <w:numPr>
                <w:ilvl w:val="0"/>
                <w:numId w:val="40"/>
              </w:numPr>
              <w:spacing w:after="0" w:line="240" w:lineRule="auto"/>
              <w:ind w:left="250" w:hanging="174"/>
              <w:jc w:val="both"/>
              <w:rPr>
                <w:rFonts w:ascii="Times New Roman" w:eastAsia="Times New Roman" w:hAnsi="Times New Roman" w:cs="Times New Roman"/>
                <w:noProof/>
                <w:sz w:val="24"/>
              </w:rPr>
            </w:pPr>
            <w:r>
              <w:rPr>
                <w:rFonts w:ascii="Times New Roman" w:hAnsi="Times New Roman"/>
                <w:noProof/>
                <w:sz w:val="24"/>
              </w:rPr>
              <w:t xml:space="preserve">pe baza unei proceduri transparente și concurențiale, </w:t>
            </w:r>
          </w:p>
          <w:p w14:paraId="7664A122" w14:textId="77777777" w:rsidR="00271EF8" w:rsidRPr="000A27B3" w:rsidRDefault="00271EF8" w:rsidP="00271EF8">
            <w:pPr>
              <w:pStyle w:val="ListParagraph"/>
              <w:numPr>
                <w:ilvl w:val="0"/>
                <w:numId w:val="40"/>
              </w:numPr>
              <w:spacing w:after="0" w:line="240" w:lineRule="auto"/>
              <w:ind w:left="250" w:hanging="174"/>
              <w:jc w:val="both"/>
              <w:rPr>
                <w:rFonts w:ascii="Times New Roman" w:eastAsia="Times New Roman" w:hAnsi="Times New Roman" w:cs="Times New Roman"/>
                <w:noProof/>
                <w:sz w:val="24"/>
              </w:rPr>
            </w:pPr>
            <w:r>
              <w:rPr>
                <w:rFonts w:ascii="Times New Roman" w:hAnsi="Times New Roman"/>
                <w:noProof/>
                <w:sz w:val="24"/>
              </w:rPr>
              <w:t>cu o durată a mandatului de 4 ani pentru a asigura implementarea unor planuri de eficientizare pe durată medie și lungă;</w:t>
            </w:r>
          </w:p>
          <w:p w14:paraId="0D867FFA" w14:textId="77777777" w:rsidR="00271EF8" w:rsidRPr="000A27B3" w:rsidRDefault="00271EF8" w:rsidP="00271EF8">
            <w:pPr>
              <w:pStyle w:val="ListParagraph"/>
              <w:numPr>
                <w:ilvl w:val="0"/>
                <w:numId w:val="40"/>
              </w:numPr>
              <w:spacing w:after="0" w:line="240" w:lineRule="auto"/>
              <w:ind w:left="250" w:hanging="174"/>
              <w:jc w:val="both"/>
              <w:rPr>
                <w:rFonts w:ascii="Times New Roman" w:eastAsia="Times New Roman" w:hAnsi="Times New Roman" w:cs="Times New Roman"/>
                <w:noProof/>
                <w:sz w:val="24"/>
              </w:rPr>
            </w:pPr>
            <w:r>
              <w:rPr>
                <w:rFonts w:ascii="Times New Roman" w:hAnsi="Times New Roman"/>
                <w:noProof/>
                <w:sz w:val="24"/>
              </w:rPr>
              <w:t xml:space="preserve">cu remunerarea membrilor consiliilor de administrație pe baza indicatorilor-cheie de performanță (KPI) legați de sustenabilitatea financiară pe termen lung (KPI relevanți pentru profilul fiecărei companii) și furnizarea de servicii (de exemplu, pe baza unui sondaj de satisfacție a clienților); </w:t>
            </w:r>
          </w:p>
          <w:p w14:paraId="7BE85F93" w14:textId="77777777" w:rsidR="00271EF8" w:rsidRPr="000A27B3" w:rsidRDefault="00271EF8" w:rsidP="00271EF8">
            <w:pPr>
              <w:pStyle w:val="ListParagraph"/>
              <w:numPr>
                <w:ilvl w:val="0"/>
                <w:numId w:val="40"/>
              </w:numPr>
              <w:spacing w:after="0" w:line="240" w:lineRule="auto"/>
              <w:ind w:left="250" w:hanging="174"/>
              <w:jc w:val="both"/>
              <w:rPr>
                <w:rFonts w:ascii="Times New Roman" w:eastAsia="Times New Roman" w:hAnsi="Times New Roman" w:cs="Times New Roman"/>
                <w:noProof/>
                <w:sz w:val="24"/>
                <w:szCs w:val="24"/>
              </w:rPr>
            </w:pPr>
            <w:r>
              <w:rPr>
                <w:rFonts w:ascii="Times New Roman" w:hAnsi="Times New Roman"/>
                <w:noProof/>
                <w:sz w:val="24"/>
              </w:rPr>
              <w:t>cu respectarea principiilor bunei guvernanțe în conformitate cu reforma privind întreprinderile de stat de modificare a Legii nr. 111/2016.</w:t>
            </w:r>
          </w:p>
        </w:tc>
      </w:tr>
      <w:tr w:rsidR="000A27B3" w:rsidRPr="000A27B3" w14:paraId="41EC43F0"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631B470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80</w:t>
            </w:r>
          </w:p>
        </w:tc>
        <w:tc>
          <w:tcPr>
            <w:tcW w:w="2099" w:type="dxa"/>
            <w:tcBorders>
              <w:top w:val="single" w:sz="4" w:space="0" w:color="auto"/>
              <w:left w:val="nil"/>
              <w:bottom w:val="single" w:sz="4" w:space="0" w:color="auto"/>
              <w:right w:val="single" w:sz="4" w:space="0" w:color="auto"/>
            </w:tcBorders>
            <w:shd w:val="clear" w:color="auto" w:fill="C6EFCE"/>
            <w:noWrap/>
          </w:tcPr>
          <w:p w14:paraId="28804F4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R2. Management performant pentru transport de calitate - Îmbunătățirea capacității instituționale de management și guvernanță corporativă </w:t>
            </w:r>
          </w:p>
        </w:tc>
        <w:tc>
          <w:tcPr>
            <w:tcW w:w="1052" w:type="dxa"/>
            <w:tcBorders>
              <w:top w:val="single" w:sz="4" w:space="0" w:color="auto"/>
              <w:left w:val="nil"/>
              <w:bottom w:val="single" w:sz="4" w:space="0" w:color="auto"/>
              <w:right w:val="single" w:sz="4" w:space="0" w:color="auto"/>
            </w:tcBorders>
            <w:shd w:val="clear" w:color="auto" w:fill="C6EFCE"/>
            <w:noWrap/>
          </w:tcPr>
          <w:p w14:paraId="5D6F178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05" w:type="dxa"/>
            <w:tcBorders>
              <w:top w:val="single" w:sz="4" w:space="0" w:color="auto"/>
              <w:left w:val="nil"/>
              <w:bottom w:val="single" w:sz="4" w:space="0" w:color="auto"/>
              <w:right w:val="single" w:sz="4" w:space="0" w:color="auto"/>
            </w:tcBorders>
            <w:shd w:val="clear" w:color="auto" w:fill="C6EFCE"/>
            <w:noWrap/>
          </w:tcPr>
          <w:p w14:paraId="09E7B9F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Punerea în aplicare a principalelor recomandări de creștere a performanței financiare și operaționale a C.N.A.I.R., C.N.I.R., C.F.R., C.F.R. Călători și Metrorex</w:t>
            </w:r>
          </w:p>
        </w:tc>
        <w:tc>
          <w:tcPr>
            <w:tcW w:w="1615" w:type="dxa"/>
            <w:gridSpan w:val="2"/>
            <w:tcBorders>
              <w:top w:val="single" w:sz="4" w:space="0" w:color="auto"/>
              <w:left w:val="nil"/>
              <w:bottom w:val="single" w:sz="4" w:space="0" w:color="auto"/>
              <w:right w:val="single" w:sz="4" w:space="0" w:color="auto"/>
            </w:tcBorders>
            <w:shd w:val="clear" w:color="auto" w:fill="C6EFCE"/>
            <w:noWrap/>
          </w:tcPr>
          <w:p w14:paraId="19D5291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Principalele recomandări sunt puse în aplicare</w:t>
            </w:r>
          </w:p>
        </w:tc>
        <w:tc>
          <w:tcPr>
            <w:tcW w:w="1141" w:type="dxa"/>
            <w:tcBorders>
              <w:top w:val="single" w:sz="4" w:space="0" w:color="auto"/>
              <w:left w:val="nil"/>
              <w:bottom w:val="single" w:sz="4" w:space="0" w:color="auto"/>
              <w:right w:val="single" w:sz="4" w:space="0" w:color="auto"/>
            </w:tcBorders>
            <w:shd w:val="clear" w:color="auto" w:fill="C6EFCE"/>
            <w:noWrap/>
          </w:tcPr>
          <w:p w14:paraId="21964FB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1E7C0834"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175370A2"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09" w:type="dxa"/>
            <w:tcBorders>
              <w:top w:val="single" w:sz="4" w:space="0" w:color="auto"/>
              <w:left w:val="nil"/>
              <w:bottom w:val="single" w:sz="4" w:space="0" w:color="auto"/>
              <w:right w:val="single" w:sz="4" w:space="0" w:color="auto"/>
            </w:tcBorders>
            <w:shd w:val="clear" w:color="auto" w:fill="C6EFCE"/>
            <w:noWrap/>
          </w:tcPr>
          <w:p w14:paraId="7714C41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60" w:type="dxa"/>
            <w:tcBorders>
              <w:top w:val="single" w:sz="4" w:space="0" w:color="auto"/>
              <w:left w:val="nil"/>
              <w:bottom w:val="single" w:sz="4" w:space="0" w:color="auto"/>
              <w:right w:val="single" w:sz="4" w:space="0" w:color="auto"/>
            </w:tcBorders>
            <w:shd w:val="clear" w:color="auto" w:fill="C6EFCE"/>
            <w:noWrap/>
          </w:tcPr>
          <w:p w14:paraId="72B3FDB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68" w:type="dxa"/>
            <w:tcBorders>
              <w:top w:val="single" w:sz="4" w:space="0" w:color="auto"/>
              <w:left w:val="nil"/>
              <w:bottom w:val="single" w:sz="4" w:space="0" w:color="auto"/>
              <w:right w:val="single" w:sz="4" w:space="0" w:color="auto"/>
            </w:tcBorders>
            <w:shd w:val="clear" w:color="auto" w:fill="C6EFCE"/>
            <w:noWrap/>
          </w:tcPr>
          <w:p w14:paraId="7E18975D"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După finalizarea unei evaluări independente a performanței financiare și operaționale a C.N.A.I.R, C.N.I.R., C.F.R. (Compania Națională de Căi Ferate), C.F.R. Călători și Metrorex în conformitate cu standardele OCDE, se vor pune în aplicare principalele recomandări ale evaluării. </w:t>
            </w:r>
          </w:p>
          <w:p w14:paraId="1073B4D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Pentru evaluarea independentă, Ministerul Transporturilor și Infrastructurii va selecta prin proceduri de licitație concurențiale o instituție financiară internațională sau o societate internațională de audit, recunoscută pentru competența și expertiza sa în performanța companiilor de stat. Se va efectua o evaluare independentă a performanței financiare și operaționale a C.N.A.I.R, C.F.R., C.F.R. Călători și Metrorex în conformitate cu standardele OCDE. Se vor pune în aplicare principalele recomandări ale evaluării. </w:t>
            </w:r>
          </w:p>
        </w:tc>
      </w:tr>
      <w:tr w:rsidR="000A27B3" w:rsidRPr="000A27B3" w14:paraId="42023239"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1FF726C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81</w:t>
            </w:r>
          </w:p>
        </w:tc>
        <w:tc>
          <w:tcPr>
            <w:tcW w:w="2099" w:type="dxa"/>
            <w:tcBorders>
              <w:top w:val="single" w:sz="4" w:space="0" w:color="auto"/>
              <w:left w:val="nil"/>
              <w:bottom w:val="single" w:sz="4" w:space="0" w:color="auto"/>
              <w:right w:val="single" w:sz="4" w:space="0" w:color="auto"/>
            </w:tcBorders>
            <w:shd w:val="clear" w:color="auto" w:fill="C6EFCE"/>
            <w:noWrap/>
          </w:tcPr>
          <w:p w14:paraId="6796886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R2. Management performant pentru transport de calitate - Îmbunătățirea capacității instituționale de management și guvernanță corporativă </w:t>
            </w:r>
          </w:p>
        </w:tc>
        <w:tc>
          <w:tcPr>
            <w:tcW w:w="1052" w:type="dxa"/>
            <w:tcBorders>
              <w:top w:val="single" w:sz="4" w:space="0" w:color="auto"/>
              <w:left w:val="nil"/>
              <w:bottom w:val="single" w:sz="4" w:space="0" w:color="auto"/>
              <w:right w:val="single" w:sz="4" w:space="0" w:color="auto"/>
            </w:tcBorders>
            <w:shd w:val="clear" w:color="auto" w:fill="C6EFCE"/>
            <w:noWrap/>
          </w:tcPr>
          <w:p w14:paraId="14FC1D3B"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05" w:type="dxa"/>
            <w:tcBorders>
              <w:top w:val="single" w:sz="4" w:space="0" w:color="auto"/>
              <w:left w:val="nil"/>
              <w:bottom w:val="single" w:sz="4" w:space="0" w:color="auto"/>
              <w:right w:val="single" w:sz="4" w:space="0" w:color="auto"/>
            </w:tcBorders>
            <w:shd w:val="clear" w:color="auto" w:fill="C6EFCE"/>
            <w:noWrap/>
          </w:tcPr>
          <w:p w14:paraId="26FA284B"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Îmbunătățirea performanțelor sistemului feroviar în ceea ce privește punctualitatea trenurilor</w:t>
            </w:r>
          </w:p>
        </w:tc>
        <w:tc>
          <w:tcPr>
            <w:tcW w:w="1615" w:type="dxa"/>
            <w:gridSpan w:val="2"/>
            <w:tcBorders>
              <w:top w:val="single" w:sz="4" w:space="0" w:color="auto"/>
              <w:left w:val="nil"/>
              <w:bottom w:val="single" w:sz="4" w:space="0" w:color="auto"/>
              <w:right w:val="single" w:sz="4" w:space="0" w:color="auto"/>
            </w:tcBorders>
            <w:shd w:val="clear" w:color="auto" w:fill="C6EFCE"/>
            <w:noWrap/>
          </w:tcPr>
          <w:p w14:paraId="65E88023"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41" w:type="dxa"/>
            <w:tcBorders>
              <w:top w:val="single" w:sz="4" w:space="0" w:color="auto"/>
              <w:left w:val="nil"/>
              <w:bottom w:val="single" w:sz="4" w:space="0" w:color="auto"/>
              <w:right w:val="single" w:sz="4" w:space="0" w:color="auto"/>
            </w:tcBorders>
            <w:shd w:val="clear" w:color="auto" w:fill="C6EFCE"/>
            <w:noWrap/>
          </w:tcPr>
          <w:p w14:paraId="2388B614"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Procentaj (%)</w:t>
            </w:r>
          </w:p>
          <w:p w14:paraId="4EBDDE4E"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6506234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3784964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w:t>
            </w:r>
          </w:p>
        </w:tc>
        <w:tc>
          <w:tcPr>
            <w:tcW w:w="809" w:type="dxa"/>
            <w:tcBorders>
              <w:top w:val="single" w:sz="4" w:space="0" w:color="auto"/>
              <w:left w:val="nil"/>
              <w:bottom w:val="single" w:sz="4" w:space="0" w:color="auto"/>
              <w:right w:val="single" w:sz="4" w:space="0" w:color="auto"/>
            </w:tcBorders>
            <w:shd w:val="clear" w:color="auto" w:fill="C6EFCE"/>
            <w:noWrap/>
          </w:tcPr>
          <w:p w14:paraId="7485740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3EC0719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668" w:type="dxa"/>
            <w:tcBorders>
              <w:top w:val="single" w:sz="4" w:space="0" w:color="auto"/>
              <w:left w:val="nil"/>
              <w:bottom w:val="single" w:sz="4" w:space="0" w:color="auto"/>
              <w:right w:val="single" w:sz="4" w:space="0" w:color="auto"/>
            </w:tcBorders>
            <w:shd w:val="clear" w:color="auto" w:fill="C6EFCE"/>
            <w:noWrap/>
          </w:tcPr>
          <w:p w14:paraId="77D30AF7"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Ținta vizează reducerea cu cel puțin 20 % a procentajului de trenuri care au o întârziere mai mare de 30 de minute față de nivelul de referință din 2020 până în 2025, pe baza statisticilor oficiale publicate.</w:t>
            </w:r>
          </w:p>
          <w:p w14:paraId="7658A6C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Până la sfârșitul anului 2021, se va finaliza o analiză pentru a cuantifica nivelul de referință pentru numărul de trenuri cu întârzieri.</w:t>
            </w:r>
          </w:p>
        </w:tc>
      </w:tr>
      <w:tr w:rsidR="000A27B3" w:rsidRPr="000A27B3" w14:paraId="55EE53C0"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694D9523"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82</w:t>
            </w:r>
          </w:p>
        </w:tc>
        <w:tc>
          <w:tcPr>
            <w:tcW w:w="2099" w:type="dxa"/>
            <w:tcBorders>
              <w:top w:val="single" w:sz="4" w:space="0" w:color="auto"/>
              <w:left w:val="nil"/>
              <w:bottom w:val="single" w:sz="4" w:space="0" w:color="auto"/>
              <w:right w:val="single" w:sz="4" w:space="0" w:color="auto"/>
            </w:tcBorders>
            <w:shd w:val="clear" w:color="auto" w:fill="C6EFCE"/>
            <w:noWrap/>
          </w:tcPr>
          <w:p w14:paraId="605F572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I3. Dezvoltarea infrastructurii rutiere durabile aferente rețelei TEN-T, taxarea drumurilor, managementul traficului și siguranța rutieră</w:t>
            </w:r>
          </w:p>
        </w:tc>
        <w:tc>
          <w:tcPr>
            <w:tcW w:w="1052" w:type="dxa"/>
            <w:tcBorders>
              <w:top w:val="single" w:sz="4" w:space="0" w:color="auto"/>
              <w:left w:val="nil"/>
              <w:bottom w:val="single" w:sz="4" w:space="0" w:color="auto"/>
              <w:right w:val="single" w:sz="4" w:space="0" w:color="auto"/>
            </w:tcBorders>
            <w:shd w:val="clear" w:color="auto" w:fill="C6EFCE"/>
            <w:noWrap/>
          </w:tcPr>
          <w:p w14:paraId="449F3B2D"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05" w:type="dxa"/>
            <w:tcBorders>
              <w:top w:val="single" w:sz="4" w:space="0" w:color="auto"/>
              <w:left w:val="nil"/>
              <w:bottom w:val="single" w:sz="4" w:space="0" w:color="auto"/>
              <w:right w:val="single" w:sz="4" w:space="0" w:color="auto"/>
            </w:tcBorders>
            <w:shd w:val="clear" w:color="auto" w:fill="C6EFCE"/>
            <w:noWrap/>
          </w:tcPr>
          <w:p w14:paraId="2BADF62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pentru 100 % din lucrări, în urma licitațiilor deschise și concurențiale și a permiselor relevante obținute, cu avizele din evaluarea impactului asupra mediului și evaluarea corespunzătoare (parte din Directiva privind habitatele) emise și încorporate încă din faza de proiectare a investițiilor</w:t>
            </w:r>
          </w:p>
        </w:tc>
        <w:tc>
          <w:tcPr>
            <w:tcW w:w="1615" w:type="dxa"/>
            <w:gridSpan w:val="2"/>
            <w:tcBorders>
              <w:top w:val="single" w:sz="4" w:space="0" w:color="auto"/>
              <w:left w:val="nil"/>
              <w:bottom w:val="single" w:sz="4" w:space="0" w:color="auto"/>
              <w:right w:val="single" w:sz="4" w:space="0" w:color="auto"/>
            </w:tcBorders>
            <w:shd w:val="clear" w:color="auto" w:fill="C6EFCE"/>
            <w:noWrap/>
          </w:tcPr>
          <w:p w14:paraId="4BCA0B7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141" w:type="dxa"/>
            <w:tcBorders>
              <w:top w:val="single" w:sz="4" w:space="0" w:color="auto"/>
              <w:left w:val="nil"/>
              <w:bottom w:val="single" w:sz="4" w:space="0" w:color="auto"/>
              <w:right w:val="single" w:sz="4" w:space="0" w:color="auto"/>
            </w:tcBorders>
            <w:shd w:val="clear" w:color="auto" w:fill="C6EFCE"/>
            <w:noWrap/>
          </w:tcPr>
          <w:p w14:paraId="2126BC62"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6615C182"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6BAD841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09" w:type="dxa"/>
            <w:tcBorders>
              <w:top w:val="single" w:sz="4" w:space="0" w:color="auto"/>
              <w:left w:val="nil"/>
              <w:bottom w:val="single" w:sz="4" w:space="0" w:color="auto"/>
              <w:right w:val="single" w:sz="4" w:space="0" w:color="auto"/>
            </w:tcBorders>
            <w:shd w:val="clear" w:color="auto" w:fill="C6EFCE"/>
            <w:noWrap/>
          </w:tcPr>
          <w:p w14:paraId="7AB288A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2E3258F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68" w:type="dxa"/>
            <w:tcBorders>
              <w:top w:val="single" w:sz="4" w:space="0" w:color="auto"/>
              <w:left w:val="nil"/>
              <w:bottom w:val="single" w:sz="4" w:space="0" w:color="auto"/>
              <w:right w:val="single" w:sz="4" w:space="0" w:color="auto"/>
            </w:tcBorders>
            <w:shd w:val="clear" w:color="auto" w:fill="C6EFCE"/>
            <w:noWrap/>
          </w:tcPr>
          <w:p w14:paraId="5C8B1EB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Jalonul se referă la semnarea contractelor pentru lucrările de construcție și supravegherea a 100 % din lucrările pe secțiunile de autostradă din rețeaua TEN-T ale A1, A3, A7 și A8: </w:t>
            </w:r>
          </w:p>
          <w:p w14:paraId="60274F4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A7 – Ploiești-Pașcani;</w:t>
            </w:r>
          </w:p>
          <w:p w14:paraId="5F18C14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A8 – Târgu-Mureș-Miercurea Nirajului și Leghin-Târgu Neamț (Moțca);</w:t>
            </w:r>
          </w:p>
          <w:p w14:paraId="53BC08B3"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A1 – Marginea-Holdea;</w:t>
            </w:r>
          </w:p>
          <w:p w14:paraId="6FA6AC8B"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A3 – Nădășelu-Poarta Sălajului</w:t>
            </w:r>
          </w:p>
          <w:p w14:paraId="6836317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Pentru a respecta Orientările tehnice privind aplicarea principiului de „a nu prejudicia în mod semnificativ” (2021/C58/01), toate sectoarele de autostrăzi vor fi construite în conformitate cu standardele TEN-T, vor respecta cerințele de evaluare a impactului asupra mediului și vor include evaluarea corespunzătoare (parte din Directiva privind habitatele) în proiectare și vor cuprinde noi caracteristici tehnice pentru limitarea poluării și digitalizarea transportului (perdele forestiere, panouri fonoabsorbante, stații de încărcare a vehiculelor electrice, sistemul de transport inteligent, siguranța rutieră) în conformitate cu reglementările relevante. </w:t>
            </w:r>
          </w:p>
          <w:p w14:paraId="02140AC8"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Procedura de licitație va fi deschisă și concurențială și se va desfășura în conformitate cu Legea 98/2016 și cu modificările ulterioare ale acesteia, care au transpus directiva europeană relevantă, și anume Directiva 2014/24/UE. </w:t>
            </w:r>
          </w:p>
        </w:tc>
      </w:tr>
      <w:tr w:rsidR="000A27B3" w:rsidRPr="000A27B3" w14:paraId="46117F00"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330FD65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83</w:t>
            </w:r>
          </w:p>
        </w:tc>
        <w:tc>
          <w:tcPr>
            <w:tcW w:w="2099" w:type="dxa"/>
            <w:tcBorders>
              <w:top w:val="single" w:sz="4" w:space="0" w:color="auto"/>
              <w:left w:val="nil"/>
              <w:bottom w:val="single" w:sz="4" w:space="0" w:color="auto"/>
              <w:right w:val="single" w:sz="4" w:space="0" w:color="auto"/>
            </w:tcBorders>
            <w:shd w:val="clear" w:color="auto" w:fill="C6EFCE"/>
            <w:noWrap/>
          </w:tcPr>
          <w:p w14:paraId="019E1C6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I3. Dezvoltarea infrastructurii rutiere durabile aferente rețelei TEN-T, taxarea drumurilor, managementul traficului și siguranța rutieră</w:t>
            </w:r>
          </w:p>
        </w:tc>
        <w:tc>
          <w:tcPr>
            <w:tcW w:w="1052" w:type="dxa"/>
            <w:tcBorders>
              <w:top w:val="single" w:sz="4" w:space="0" w:color="auto"/>
              <w:left w:val="nil"/>
              <w:bottom w:val="single" w:sz="4" w:space="0" w:color="auto"/>
              <w:right w:val="single" w:sz="4" w:space="0" w:color="auto"/>
            </w:tcBorders>
            <w:shd w:val="clear" w:color="auto" w:fill="C6EFCE"/>
            <w:noWrap/>
          </w:tcPr>
          <w:p w14:paraId="29B349C5"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05" w:type="dxa"/>
            <w:tcBorders>
              <w:top w:val="single" w:sz="4" w:space="0" w:color="auto"/>
              <w:left w:val="nil"/>
              <w:bottom w:val="single" w:sz="4" w:space="0" w:color="auto"/>
              <w:right w:val="single" w:sz="4" w:space="0" w:color="auto"/>
            </w:tcBorders>
            <w:shd w:val="clear" w:color="auto" w:fill="C6EFCE"/>
            <w:noWrap/>
          </w:tcPr>
          <w:p w14:paraId="5E21DB9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Construcția de drumuri noi, 50 % din lucrări finalizate </w:t>
            </w:r>
          </w:p>
        </w:tc>
        <w:tc>
          <w:tcPr>
            <w:tcW w:w="1615" w:type="dxa"/>
            <w:gridSpan w:val="2"/>
            <w:tcBorders>
              <w:top w:val="single" w:sz="4" w:space="0" w:color="auto"/>
              <w:left w:val="nil"/>
              <w:bottom w:val="single" w:sz="4" w:space="0" w:color="auto"/>
              <w:right w:val="single" w:sz="4" w:space="0" w:color="auto"/>
            </w:tcBorders>
            <w:shd w:val="clear" w:color="auto" w:fill="C6EFCE"/>
            <w:noWrap/>
          </w:tcPr>
          <w:p w14:paraId="53F11637"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141" w:type="dxa"/>
            <w:tcBorders>
              <w:top w:val="single" w:sz="4" w:space="0" w:color="auto"/>
              <w:left w:val="nil"/>
              <w:bottom w:val="single" w:sz="4" w:space="0" w:color="auto"/>
              <w:right w:val="single" w:sz="4" w:space="0" w:color="auto"/>
            </w:tcBorders>
            <w:shd w:val="clear" w:color="auto" w:fill="C6EFCE"/>
            <w:noWrap/>
          </w:tcPr>
          <w:p w14:paraId="62EE178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Procentaj (%)</w:t>
            </w:r>
          </w:p>
        </w:tc>
        <w:tc>
          <w:tcPr>
            <w:tcW w:w="1080" w:type="dxa"/>
            <w:tcBorders>
              <w:top w:val="single" w:sz="4" w:space="0" w:color="auto"/>
              <w:left w:val="nil"/>
              <w:bottom w:val="single" w:sz="4" w:space="0" w:color="auto"/>
              <w:right w:val="single" w:sz="4" w:space="0" w:color="auto"/>
            </w:tcBorders>
            <w:shd w:val="clear" w:color="auto" w:fill="C6EFCE"/>
            <w:noWrap/>
          </w:tcPr>
          <w:p w14:paraId="630A07F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12E13C3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50</w:t>
            </w:r>
          </w:p>
        </w:tc>
        <w:tc>
          <w:tcPr>
            <w:tcW w:w="809" w:type="dxa"/>
            <w:tcBorders>
              <w:top w:val="single" w:sz="4" w:space="0" w:color="auto"/>
              <w:left w:val="nil"/>
              <w:bottom w:val="single" w:sz="4" w:space="0" w:color="auto"/>
              <w:right w:val="single" w:sz="4" w:space="0" w:color="auto"/>
            </w:tcBorders>
            <w:shd w:val="clear" w:color="auto" w:fill="C6EFCE"/>
            <w:noWrap/>
          </w:tcPr>
          <w:p w14:paraId="65D0ED5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1B2EF6A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668" w:type="dxa"/>
            <w:tcBorders>
              <w:top w:val="single" w:sz="4" w:space="0" w:color="auto"/>
              <w:left w:val="nil"/>
              <w:bottom w:val="single" w:sz="4" w:space="0" w:color="auto"/>
              <w:right w:val="single" w:sz="4" w:space="0" w:color="auto"/>
            </w:tcBorders>
            <w:shd w:val="clear" w:color="auto" w:fill="C6EFCE"/>
            <w:noWrap/>
          </w:tcPr>
          <w:p w14:paraId="73B8634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Ținta se referă la finalizarea a cel puțin 50 % din lucrările (certificate prin raportul de supraveghere) de infrastructură rutieră amplasată pe rețeaua TEN-T:</w:t>
            </w:r>
          </w:p>
          <w:p w14:paraId="03C50D4F"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A7 – Ploiești-Pașcani (319 km)</w:t>
            </w:r>
          </w:p>
          <w:p w14:paraId="399C4ED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A8 – Târgu-Mureș-Miercurea Nirajului și Leghin-Tg. Neamț (Moțca) (59 km);</w:t>
            </w:r>
          </w:p>
          <w:p w14:paraId="3C8A52D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A1 – Marginea-Holdea (9 km);</w:t>
            </w:r>
          </w:p>
          <w:p w14:paraId="21990B2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A3 – Nădășelu-Poarta Sălajului (42 km).</w:t>
            </w:r>
          </w:p>
          <w:p w14:paraId="074D931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Autostrăzile vor fi construite în conformitate cu specificațiile tehnice, incluzând integral toate rezultatele evaluării impactului asupra mediului (EIM), precum și avizele și condițiile de evaluare corespunzătoare (parte din Directiva privind habitatele) și vor respecta Orientările tehnice privind aplicarea principiului de „a nu aduce prejudicii semnificative” (2021/C58/01). </w:t>
            </w:r>
          </w:p>
        </w:tc>
      </w:tr>
      <w:tr w:rsidR="000A27B3" w:rsidRPr="000A27B3" w14:paraId="5B4C0386"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2841F71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84</w:t>
            </w:r>
          </w:p>
        </w:tc>
        <w:tc>
          <w:tcPr>
            <w:tcW w:w="2099" w:type="dxa"/>
            <w:tcBorders>
              <w:top w:val="single" w:sz="4" w:space="0" w:color="auto"/>
              <w:left w:val="nil"/>
              <w:bottom w:val="single" w:sz="4" w:space="0" w:color="auto"/>
              <w:right w:val="single" w:sz="4" w:space="0" w:color="auto"/>
            </w:tcBorders>
            <w:shd w:val="clear" w:color="auto" w:fill="C6EFCE"/>
            <w:noWrap/>
          </w:tcPr>
          <w:p w14:paraId="05B03FB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I3. Dezvoltarea infrastructurii rutiere durabile aferente rețelei TEN-T, taxarea drumurilor, managementul traficului și siguranța rutieră</w:t>
            </w:r>
          </w:p>
        </w:tc>
        <w:tc>
          <w:tcPr>
            <w:tcW w:w="1052" w:type="dxa"/>
            <w:tcBorders>
              <w:top w:val="single" w:sz="4" w:space="0" w:color="auto"/>
              <w:left w:val="nil"/>
              <w:bottom w:val="single" w:sz="4" w:space="0" w:color="auto"/>
              <w:right w:val="single" w:sz="4" w:space="0" w:color="auto"/>
            </w:tcBorders>
            <w:shd w:val="clear" w:color="auto" w:fill="C6EFCE"/>
            <w:noWrap/>
          </w:tcPr>
          <w:p w14:paraId="5589F31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05" w:type="dxa"/>
            <w:tcBorders>
              <w:top w:val="single" w:sz="4" w:space="0" w:color="auto"/>
              <w:left w:val="nil"/>
              <w:bottom w:val="single" w:sz="4" w:space="0" w:color="auto"/>
              <w:right w:val="single" w:sz="4" w:space="0" w:color="auto"/>
            </w:tcBorders>
            <w:shd w:val="clear" w:color="auto" w:fill="C6EFCE"/>
            <w:noWrap/>
          </w:tcPr>
          <w:p w14:paraId="2840043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Construcția de drumuri noi finalizate (standarde TEN-T) </w:t>
            </w:r>
          </w:p>
        </w:tc>
        <w:tc>
          <w:tcPr>
            <w:tcW w:w="1575" w:type="dxa"/>
            <w:tcBorders>
              <w:top w:val="single" w:sz="4" w:space="0" w:color="auto"/>
              <w:left w:val="nil"/>
              <w:bottom w:val="single" w:sz="4" w:space="0" w:color="auto"/>
              <w:right w:val="single" w:sz="4" w:space="0" w:color="auto"/>
            </w:tcBorders>
            <w:shd w:val="clear" w:color="auto" w:fill="C6EFCE"/>
            <w:noWrap/>
          </w:tcPr>
          <w:p w14:paraId="3AED73D0"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181" w:type="dxa"/>
            <w:gridSpan w:val="2"/>
            <w:tcBorders>
              <w:top w:val="single" w:sz="4" w:space="0" w:color="auto"/>
              <w:left w:val="nil"/>
              <w:bottom w:val="single" w:sz="4" w:space="0" w:color="auto"/>
              <w:right w:val="single" w:sz="4" w:space="0" w:color="auto"/>
            </w:tcBorders>
            <w:shd w:val="clear" w:color="auto" w:fill="C6EFCE"/>
            <w:noWrap/>
          </w:tcPr>
          <w:p w14:paraId="4280CC40" w14:textId="6625835B"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080" w:type="dxa"/>
            <w:tcBorders>
              <w:top w:val="single" w:sz="4" w:space="0" w:color="auto"/>
              <w:left w:val="nil"/>
              <w:bottom w:val="single" w:sz="4" w:space="0" w:color="auto"/>
              <w:right w:val="single" w:sz="4" w:space="0" w:color="auto"/>
            </w:tcBorders>
            <w:shd w:val="clear" w:color="auto" w:fill="C6EFCE"/>
            <w:noWrap/>
          </w:tcPr>
          <w:p w14:paraId="62289D5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910</w:t>
            </w:r>
          </w:p>
        </w:tc>
        <w:tc>
          <w:tcPr>
            <w:tcW w:w="960" w:type="dxa"/>
            <w:tcBorders>
              <w:top w:val="single" w:sz="4" w:space="0" w:color="auto"/>
              <w:left w:val="nil"/>
              <w:bottom w:val="single" w:sz="4" w:space="0" w:color="auto"/>
              <w:right w:val="single" w:sz="4" w:space="0" w:color="auto"/>
            </w:tcBorders>
            <w:shd w:val="clear" w:color="auto" w:fill="C6EFCE"/>
            <w:noWrap/>
          </w:tcPr>
          <w:p w14:paraId="4B2940F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1 339</w:t>
            </w:r>
          </w:p>
        </w:tc>
        <w:tc>
          <w:tcPr>
            <w:tcW w:w="809" w:type="dxa"/>
            <w:tcBorders>
              <w:top w:val="single" w:sz="4" w:space="0" w:color="auto"/>
              <w:left w:val="nil"/>
              <w:bottom w:val="single" w:sz="4" w:space="0" w:color="auto"/>
              <w:right w:val="single" w:sz="4" w:space="0" w:color="auto"/>
            </w:tcBorders>
            <w:shd w:val="clear" w:color="auto" w:fill="C6EFCE"/>
            <w:noWrap/>
          </w:tcPr>
          <w:p w14:paraId="08AE113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60" w:type="dxa"/>
            <w:tcBorders>
              <w:top w:val="single" w:sz="4" w:space="0" w:color="auto"/>
              <w:left w:val="nil"/>
              <w:bottom w:val="single" w:sz="4" w:space="0" w:color="auto"/>
              <w:right w:val="single" w:sz="4" w:space="0" w:color="auto"/>
            </w:tcBorders>
            <w:shd w:val="clear" w:color="auto" w:fill="C6EFCE"/>
            <w:noWrap/>
          </w:tcPr>
          <w:p w14:paraId="18D6F10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68" w:type="dxa"/>
            <w:tcBorders>
              <w:top w:val="single" w:sz="4" w:space="0" w:color="auto"/>
              <w:left w:val="nil"/>
              <w:bottom w:val="single" w:sz="4" w:space="0" w:color="auto"/>
              <w:right w:val="single" w:sz="4" w:space="0" w:color="auto"/>
            </w:tcBorders>
            <w:shd w:val="clear" w:color="auto" w:fill="C6EFCE"/>
            <w:noWrap/>
          </w:tcPr>
          <w:p w14:paraId="08EA4E8D" w14:textId="77777777"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Ținta se referă la numărul de km de infrastructură rutieră construită și pusă în funcțiune (429 km în total) amplasată pe rețeaua TEN-T:</w:t>
            </w:r>
          </w:p>
          <w:p w14:paraId="1FD42DFF" w14:textId="77777777" w:rsidR="00271EF8" w:rsidRPr="000A27B3" w:rsidRDefault="00271EF8" w:rsidP="00271EF8">
            <w:pPr>
              <w:pStyle w:val="ListParagraph"/>
              <w:numPr>
                <w:ilvl w:val="0"/>
                <w:numId w:val="42"/>
              </w:numPr>
              <w:spacing w:after="0" w:line="240" w:lineRule="auto"/>
              <w:jc w:val="both"/>
              <w:rPr>
                <w:rFonts w:ascii="Times New Roman" w:hAnsi="Times New Roman" w:cs="Times New Roman"/>
                <w:noProof/>
                <w:sz w:val="24"/>
              </w:rPr>
            </w:pPr>
            <w:r>
              <w:rPr>
                <w:rFonts w:ascii="Times New Roman" w:hAnsi="Times New Roman"/>
                <w:noProof/>
                <w:sz w:val="24"/>
              </w:rPr>
              <w:t>A7 – Ploiești-Pașcani (319 km);</w:t>
            </w:r>
          </w:p>
          <w:p w14:paraId="29F56103" w14:textId="0635D07B" w:rsidR="00271EF8" w:rsidRPr="000A27B3" w:rsidRDefault="00271EF8" w:rsidP="00271EF8">
            <w:pPr>
              <w:pStyle w:val="ListParagraph"/>
              <w:numPr>
                <w:ilvl w:val="0"/>
                <w:numId w:val="42"/>
              </w:numPr>
              <w:spacing w:after="0" w:line="240" w:lineRule="auto"/>
              <w:jc w:val="both"/>
              <w:rPr>
                <w:rFonts w:ascii="Times New Roman" w:hAnsi="Times New Roman" w:cs="Times New Roman"/>
                <w:noProof/>
                <w:sz w:val="24"/>
              </w:rPr>
            </w:pPr>
            <w:r>
              <w:rPr>
                <w:rFonts w:ascii="Times New Roman" w:hAnsi="Times New Roman"/>
                <w:noProof/>
                <w:sz w:val="24"/>
              </w:rPr>
              <w:t>A8 – Târgu-Mureș-Miercurea Nirajului și Leghin-Târgu Neamț (Moțca) (59 km);</w:t>
            </w:r>
          </w:p>
          <w:p w14:paraId="45976D9B" w14:textId="77777777" w:rsidR="00271EF8" w:rsidRPr="000A27B3" w:rsidRDefault="00271EF8" w:rsidP="00271EF8">
            <w:pPr>
              <w:pStyle w:val="ListParagraph"/>
              <w:numPr>
                <w:ilvl w:val="0"/>
                <w:numId w:val="42"/>
              </w:numPr>
              <w:spacing w:after="0" w:line="240" w:lineRule="auto"/>
              <w:jc w:val="both"/>
              <w:rPr>
                <w:rFonts w:ascii="Times New Roman" w:hAnsi="Times New Roman" w:cs="Times New Roman"/>
                <w:noProof/>
                <w:sz w:val="24"/>
              </w:rPr>
            </w:pPr>
            <w:r>
              <w:rPr>
                <w:rFonts w:ascii="Times New Roman" w:hAnsi="Times New Roman"/>
                <w:noProof/>
                <w:sz w:val="24"/>
              </w:rPr>
              <w:t>A1 – Marginea-Holdea (9 km);</w:t>
            </w:r>
          </w:p>
          <w:p w14:paraId="5D54B204" w14:textId="77777777" w:rsidR="00271EF8" w:rsidRPr="000A27B3" w:rsidRDefault="00271EF8" w:rsidP="00271EF8">
            <w:pPr>
              <w:pStyle w:val="ListParagraph"/>
              <w:numPr>
                <w:ilvl w:val="0"/>
                <w:numId w:val="42"/>
              </w:numPr>
              <w:spacing w:after="0" w:line="240" w:lineRule="auto"/>
              <w:jc w:val="both"/>
              <w:rPr>
                <w:rFonts w:ascii="Times New Roman" w:hAnsi="Times New Roman" w:cs="Times New Roman"/>
                <w:noProof/>
                <w:sz w:val="24"/>
              </w:rPr>
            </w:pPr>
            <w:r>
              <w:rPr>
                <w:rFonts w:ascii="Times New Roman" w:hAnsi="Times New Roman"/>
                <w:noProof/>
                <w:sz w:val="24"/>
              </w:rPr>
              <w:t>A3 – Nădășelu-Poarta Sălajului (42 km).</w:t>
            </w:r>
          </w:p>
          <w:p w14:paraId="153E3413" w14:textId="77777777"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Nivelul de referință de 910 km de autostradă reprezintă numărul de km finalizați și puși în funcțiune la sfârșitul anului 2020, conform datelor Institutului Național de Statistică.</w:t>
            </w:r>
          </w:p>
          <w:p w14:paraId="0E60709B" w14:textId="6CB0199A"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Numărul de puncte de reîncărcare electrică în spațiile construite pe noua infrastructură rutieră: 264 (în medie, 5</w:t>
            </w:r>
            <w:r w:rsidR="000048C5">
              <w:rPr>
                <w:rFonts w:ascii="Times New Roman" w:hAnsi="Times New Roman"/>
                <w:noProof/>
                <w:sz w:val="24"/>
              </w:rPr>
              <w:t> </w:t>
            </w:r>
            <w:r>
              <w:rPr>
                <w:rFonts w:ascii="Times New Roman" w:hAnsi="Times New Roman"/>
                <w:noProof/>
                <w:sz w:val="24"/>
              </w:rPr>
              <w:t xml:space="preserve">puncte de reîncărcare/stație în 52 de stații de reîncărcare). </w:t>
            </w:r>
          </w:p>
          <w:p w14:paraId="24CCAA86" w14:textId="77777777"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Sistemul inteligent de transport (STI): 429 km de autostrăzi echipate cu noile STI în conformitate cu reglementările relevante.</w:t>
            </w:r>
          </w:p>
          <w:p w14:paraId="5AB6A3B4" w14:textId="77777777"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Perdele forestiere: 625 ha de arbori specifici, astfel cum sunt descriși în evaluarea privind principiul de „a nu prejudicia în mod semnificativ” pentru această măsură.</w:t>
            </w:r>
          </w:p>
          <w:p w14:paraId="2BB3261B" w14:textId="77777777"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Locuri de parcare sigure si securizate de-a lungul autostrăzilor: 18.</w:t>
            </w:r>
          </w:p>
          <w:p w14:paraId="12C99B00" w14:textId="77777777" w:rsidR="00271EF8" w:rsidRPr="000A27B3" w:rsidRDefault="00271EF8">
            <w:pPr>
              <w:spacing w:after="0" w:line="240" w:lineRule="auto"/>
              <w:jc w:val="both"/>
              <w:rPr>
                <w:rFonts w:ascii="Times New Roman" w:hAnsi="Times New Roman" w:cs="Times New Roman"/>
                <w:noProof/>
                <w:sz w:val="24"/>
              </w:rPr>
            </w:pPr>
            <w:r>
              <w:rPr>
                <w:rFonts w:ascii="Times New Roman" w:hAnsi="Times New Roman"/>
                <w:noProof/>
                <w:sz w:val="24"/>
              </w:rPr>
              <w:t>Autostrăzile vor fi construite în conformitate cu specificațiile tehnice, incluzând integral toate rezultatele evaluării impactului asupra mediului (EIM), precum și avizele și condițiile de evaluare corespunzătoare (parte din Directiva privind habitatele), pentru a respecta Orientările tehnice privind aplicarea principiului de „a nu aduce prejudicii semnificative” (2021/C58/01).</w:t>
            </w:r>
          </w:p>
        </w:tc>
      </w:tr>
      <w:tr w:rsidR="000A27B3" w:rsidRPr="000A27B3" w14:paraId="5CF33C8E"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0E30122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85</w:t>
            </w:r>
          </w:p>
        </w:tc>
        <w:tc>
          <w:tcPr>
            <w:tcW w:w="2099" w:type="dxa"/>
            <w:tcBorders>
              <w:top w:val="single" w:sz="4" w:space="0" w:color="auto"/>
              <w:left w:val="nil"/>
              <w:bottom w:val="single" w:sz="4" w:space="0" w:color="auto"/>
              <w:right w:val="single" w:sz="4" w:space="0" w:color="auto"/>
            </w:tcBorders>
            <w:shd w:val="clear" w:color="auto" w:fill="C6EFCE"/>
            <w:noWrap/>
          </w:tcPr>
          <w:p w14:paraId="65365B2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I3. Dezvoltarea infrastructurii rutiere durabile aferente rețelei TEN-T, taxarea drumurilor, managementul traficului și siguranța rutieră</w:t>
            </w:r>
          </w:p>
        </w:tc>
        <w:tc>
          <w:tcPr>
            <w:tcW w:w="1052" w:type="dxa"/>
            <w:tcBorders>
              <w:top w:val="single" w:sz="4" w:space="0" w:color="auto"/>
              <w:left w:val="nil"/>
              <w:bottom w:val="single" w:sz="4" w:space="0" w:color="auto"/>
              <w:right w:val="single" w:sz="4" w:space="0" w:color="auto"/>
            </w:tcBorders>
            <w:shd w:val="clear" w:color="auto" w:fill="C6EFCE"/>
            <w:noWrap/>
          </w:tcPr>
          <w:p w14:paraId="7152FAD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05" w:type="dxa"/>
            <w:tcBorders>
              <w:top w:val="single" w:sz="4" w:space="0" w:color="auto"/>
              <w:left w:val="nil"/>
              <w:bottom w:val="single" w:sz="4" w:space="0" w:color="auto"/>
              <w:right w:val="single" w:sz="4" w:space="0" w:color="auto"/>
            </w:tcBorders>
            <w:shd w:val="clear" w:color="auto" w:fill="C6EFCE"/>
            <w:noWrap/>
          </w:tcPr>
          <w:p w14:paraId="176D317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Eliminarea punctelor negre/hotspoturilor în materie de siguranță rutieră </w:t>
            </w:r>
          </w:p>
        </w:tc>
        <w:tc>
          <w:tcPr>
            <w:tcW w:w="1575" w:type="dxa"/>
            <w:tcBorders>
              <w:top w:val="single" w:sz="4" w:space="0" w:color="auto"/>
              <w:left w:val="nil"/>
              <w:bottom w:val="single" w:sz="4" w:space="0" w:color="auto"/>
              <w:right w:val="single" w:sz="4" w:space="0" w:color="auto"/>
            </w:tcBorders>
            <w:shd w:val="clear" w:color="auto" w:fill="C6EFCE"/>
            <w:noWrap/>
          </w:tcPr>
          <w:p w14:paraId="530F80B7"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81" w:type="dxa"/>
            <w:gridSpan w:val="2"/>
            <w:tcBorders>
              <w:top w:val="single" w:sz="4" w:space="0" w:color="auto"/>
              <w:left w:val="nil"/>
              <w:bottom w:val="single" w:sz="4" w:space="0" w:color="auto"/>
              <w:right w:val="single" w:sz="4" w:space="0" w:color="auto"/>
            </w:tcBorders>
            <w:shd w:val="clear" w:color="auto" w:fill="C6EFCE"/>
            <w:noWrap/>
          </w:tcPr>
          <w:p w14:paraId="14C9C83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1C11E63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75BA248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129</w:t>
            </w:r>
          </w:p>
        </w:tc>
        <w:tc>
          <w:tcPr>
            <w:tcW w:w="809" w:type="dxa"/>
            <w:tcBorders>
              <w:top w:val="single" w:sz="4" w:space="0" w:color="auto"/>
              <w:left w:val="nil"/>
              <w:bottom w:val="single" w:sz="4" w:space="0" w:color="auto"/>
              <w:right w:val="single" w:sz="4" w:space="0" w:color="auto"/>
            </w:tcBorders>
            <w:shd w:val="clear" w:color="auto" w:fill="C6EFCE"/>
            <w:noWrap/>
          </w:tcPr>
          <w:p w14:paraId="0118004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60" w:type="dxa"/>
            <w:tcBorders>
              <w:top w:val="single" w:sz="4" w:space="0" w:color="auto"/>
              <w:left w:val="nil"/>
              <w:bottom w:val="single" w:sz="4" w:space="0" w:color="auto"/>
              <w:right w:val="single" w:sz="4" w:space="0" w:color="auto"/>
            </w:tcBorders>
            <w:shd w:val="clear" w:color="auto" w:fill="C6EFCE"/>
            <w:noWrap/>
          </w:tcPr>
          <w:p w14:paraId="10CF3DF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68" w:type="dxa"/>
            <w:tcBorders>
              <w:top w:val="single" w:sz="4" w:space="0" w:color="auto"/>
              <w:left w:val="nil"/>
              <w:bottom w:val="single" w:sz="4" w:space="0" w:color="auto"/>
              <w:right w:val="single" w:sz="4" w:space="0" w:color="auto"/>
            </w:tcBorders>
            <w:shd w:val="clear" w:color="auto" w:fill="C6EFCE"/>
            <w:noWrap/>
          </w:tcPr>
          <w:p w14:paraId="79882F73"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Cele 267 de puncte negre/hotspoturi în materie de siguranță rutieră existente în 2021 vor fi reduse cu 129. </w:t>
            </w:r>
          </w:p>
          <w:p w14:paraId="78913F81"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Măsurile de eliminare a celor 129 de puncte negre/hotspoturi în materie de siguranță rutieră includ:</w:t>
            </w:r>
          </w:p>
          <w:p w14:paraId="773E2FAC"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amplasarea de parapete rutiere cu rulouri, din beton sau cu cabluri (folosind materiale durabile în conformitate cu economia circulară), în funcție de tipul de drum, pentru îmbunătățirea siguranței rutiere în zonele cu risc crescut de producere a accidentelor rutiere;</w:t>
            </w:r>
          </w:p>
          <w:p w14:paraId="27B7C469"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măsuri de diminuare a consecințelor produse de coliziunile cu obiecte rigide din zona drumului, prin amplasarea atenuatoarelor de impact echipate cu sistem de detecție accidente și monitorizare trafic;</w:t>
            </w:r>
          </w:p>
          <w:p w14:paraId="4FF6AB6A"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achiziționarea de sisteme pentru protejarea lucrătorilor care efectuează intervenții de urgență la infrastructura de autostrăzi și drumuri naționale deschise traficului internațional, de tip atenuator atașat de camioane („Truck mounted attenuator”);</w:t>
            </w:r>
          </w:p>
          <w:p w14:paraId="451ACEFC"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campanie de siguranță rutieră adresată categoriilor vulnerabile de participanți la trafic;</w:t>
            </w:r>
          </w:p>
          <w:p w14:paraId="30836C58"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sporirea siguranței rutiere pe timp de noapte, prin semnalizarea sectoarelor de drum periculoase cu surse de lumină ce utilizează energie verde;</w:t>
            </w:r>
          </w:p>
          <w:p w14:paraId="3CE03ACB"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dirijarea traficului rutier pe timp de noapte prin stâlpișori de dirijare, butoni luminoși, inclusiv elemente de semnalizare dedicate protejării participanților la trafic de animalele sălbatice;</w:t>
            </w:r>
          </w:p>
          <w:p w14:paraId="013C5AE3"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creșterea siguranței rutiere prin iluminarea sectoarelor periculoase, precum și optimizarea consumurilor la sistemele de iluminat existente prin echiparea cu sistem de telegestiune;</w:t>
            </w:r>
          </w:p>
          <w:p w14:paraId="0377617A"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pasaje superioare pentru creșterea siguranței rutiere și eliminarea blocajelor din trafic, crearea de pasarele pietonale;</w:t>
            </w:r>
          </w:p>
          <w:p w14:paraId="15E342D7" w14:textId="77777777" w:rsidR="00271EF8" w:rsidRPr="000A27B3" w:rsidRDefault="00271EF8" w:rsidP="00271EF8">
            <w:pPr>
              <w:pStyle w:val="ListParagraph"/>
              <w:numPr>
                <w:ilvl w:val="0"/>
                <w:numId w:val="32"/>
              </w:numPr>
              <w:spacing w:after="0" w:line="240" w:lineRule="auto"/>
              <w:ind w:left="249" w:hanging="218"/>
              <w:jc w:val="both"/>
              <w:rPr>
                <w:rFonts w:ascii="Times New Roman" w:hAnsi="Times New Roman" w:cs="Times New Roman"/>
                <w:noProof/>
                <w:sz w:val="24"/>
                <w:szCs w:val="24"/>
              </w:rPr>
            </w:pPr>
            <w:r>
              <w:rPr>
                <w:rFonts w:ascii="Times New Roman" w:hAnsi="Times New Roman"/>
                <w:noProof/>
                <w:sz w:val="24"/>
              </w:rPr>
              <w:t>proiect-pilot: asigurarea unui grad ridicat de siguranță rutieră pe un sector de autostradă care să permită circulația vehiculelor autonome.</w:t>
            </w:r>
          </w:p>
          <w:p w14:paraId="4A87F5F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Identificarea punctelor negre/hotspoturilor în materie de siguranță rutieră este efectuată de Poliția Română, care va certifica și eliminarea acestora ca urmare a activității desfășurate de C.N.A.I.R.</w:t>
            </w:r>
          </w:p>
        </w:tc>
      </w:tr>
      <w:tr w:rsidR="000A27B3" w:rsidRPr="000A27B3" w14:paraId="4F5C07A5"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7A66F85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86</w:t>
            </w:r>
          </w:p>
        </w:tc>
        <w:tc>
          <w:tcPr>
            <w:tcW w:w="2099" w:type="dxa"/>
            <w:tcBorders>
              <w:top w:val="single" w:sz="4" w:space="0" w:color="auto"/>
              <w:left w:val="nil"/>
              <w:bottom w:val="single" w:sz="4" w:space="0" w:color="auto"/>
              <w:right w:val="single" w:sz="4" w:space="0" w:color="auto"/>
            </w:tcBorders>
            <w:shd w:val="clear" w:color="auto" w:fill="C6EFCE"/>
            <w:noWrap/>
          </w:tcPr>
          <w:p w14:paraId="5B52ED6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I4. Dezvoltarea rețelei de transport cu metroul în municipiile București și Cluj-Napoca </w:t>
            </w:r>
          </w:p>
        </w:tc>
        <w:tc>
          <w:tcPr>
            <w:tcW w:w="1052" w:type="dxa"/>
            <w:tcBorders>
              <w:top w:val="single" w:sz="4" w:space="0" w:color="auto"/>
              <w:left w:val="nil"/>
              <w:bottom w:val="single" w:sz="4" w:space="0" w:color="auto"/>
              <w:right w:val="single" w:sz="4" w:space="0" w:color="auto"/>
            </w:tcBorders>
            <w:shd w:val="clear" w:color="auto" w:fill="C6EFCE"/>
            <w:noWrap/>
          </w:tcPr>
          <w:p w14:paraId="1769D47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05" w:type="dxa"/>
            <w:tcBorders>
              <w:top w:val="single" w:sz="4" w:space="0" w:color="auto"/>
              <w:left w:val="nil"/>
              <w:bottom w:val="single" w:sz="4" w:space="0" w:color="auto"/>
              <w:right w:val="single" w:sz="4" w:space="0" w:color="auto"/>
            </w:tcBorders>
            <w:shd w:val="clear" w:color="auto" w:fill="C6EFCE"/>
            <w:noWrap/>
          </w:tcPr>
          <w:p w14:paraId="5209C45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pentru 50 % din lucrări, în urma unor licitații deschise și concurențiale, și obținerea autorizațiilor relevante.</w:t>
            </w:r>
          </w:p>
        </w:tc>
        <w:tc>
          <w:tcPr>
            <w:tcW w:w="1575" w:type="dxa"/>
            <w:tcBorders>
              <w:top w:val="single" w:sz="4" w:space="0" w:color="auto"/>
              <w:left w:val="nil"/>
              <w:bottom w:val="single" w:sz="4" w:space="0" w:color="auto"/>
              <w:right w:val="single" w:sz="4" w:space="0" w:color="auto"/>
            </w:tcBorders>
            <w:shd w:val="clear" w:color="auto" w:fill="C6EFCE"/>
            <w:noWrap/>
          </w:tcPr>
          <w:p w14:paraId="5BBDD38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181" w:type="dxa"/>
            <w:gridSpan w:val="2"/>
            <w:tcBorders>
              <w:top w:val="single" w:sz="4" w:space="0" w:color="auto"/>
              <w:left w:val="nil"/>
              <w:bottom w:val="single" w:sz="4" w:space="0" w:color="auto"/>
              <w:right w:val="single" w:sz="4" w:space="0" w:color="auto"/>
            </w:tcBorders>
            <w:shd w:val="clear" w:color="auto" w:fill="C6EFCE"/>
            <w:noWrap/>
          </w:tcPr>
          <w:p w14:paraId="1C69F742"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283F5E7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2216E91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09" w:type="dxa"/>
            <w:tcBorders>
              <w:top w:val="single" w:sz="4" w:space="0" w:color="auto"/>
              <w:left w:val="nil"/>
              <w:bottom w:val="single" w:sz="4" w:space="0" w:color="auto"/>
              <w:right w:val="single" w:sz="4" w:space="0" w:color="auto"/>
            </w:tcBorders>
            <w:shd w:val="clear" w:color="auto" w:fill="C6EFCE"/>
            <w:noWrap/>
          </w:tcPr>
          <w:p w14:paraId="63FA1C7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0D22985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668" w:type="dxa"/>
            <w:tcBorders>
              <w:top w:val="single" w:sz="4" w:space="0" w:color="auto"/>
              <w:left w:val="nil"/>
              <w:bottom w:val="single" w:sz="4" w:space="0" w:color="auto"/>
              <w:right w:val="single" w:sz="4" w:space="0" w:color="auto"/>
            </w:tcBorders>
            <w:shd w:val="clear" w:color="auto" w:fill="C6EFCE"/>
            <w:noWrap/>
          </w:tcPr>
          <w:p w14:paraId="0339E672"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Contractele dintre Ministerul Transporturilor/Primăria Municipiului Cluj-Napoca și societățile câștigătoare vor fi semnate, în urma unei licitații deschise și concurențiale pentru achiziționarea a 50 % din lucrările la noile linii de metrou din București și Cluj-Napoca, după cum urmează:</w:t>
            </w:r>
          </w:p>
          <w:p w14:paraId="5F4A4B6D" w14:textId="101B07BF" w:rsidR="00271EF8" w:rsidRPr="000A27B3" w:rsidRDefault="00271EF8" w:rsidP="00271EF8">
            <w:pPr>
              <w:pStyle w:val="ListParagraph"/>
              <w:numPr>
                <w:ilvl w:val="0"/>
                <w:numId w:val="41"/>
              </w:numPr>
              <w:spacing w:after="0" w:line="240" w:lineRule="auto"/>
              <w:ind w:left="250" w:hanging="218"/>
              <w:jc w:val="both"/>
              <w:rPr>
                <w:rFonts w:ascii="Times New Roman" w:hAnsi="Times New Roman" w:cs="Times New Roman"/>
                <w:noProof/>
                <w:sz w:val="24"/>
                <w:szCs w:val="24"/>
              </w:rPr>
            </w:pPr>
            <w:r>
              <w:rPr>
                <w:rFonts w:ascii="Times New Roman" w:hAnsi="Times New Roman"/>
                <w:noProof/>
                <w:sz w:val="24"/>
              </w:rPr>
              <w:t xml:space="preserve"> M6 București: tronsonul 1 Mai – Tokyo (6 stații), lungime: 6,6 km;</w:t>
            </w:r>
          </w:p>
          <w:p w14:paraId="403C6E4A" w14:textId="4EE1CAF4" w:rsidR="00271EF8" w:rsidRPr="000A27B3" w:rsidRDefault="00271EF8" w:rsidP="00271EF8">
            <w:pPr>
              <w:pStyle w:val="ListParagraph"/>
              <w:numPr>
                <w:ilvl w:val="0"/>
                <w:numId w:val="41"/>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M1 Cluj-Napoca: Țara Moților (Teilor) – Sf. Maria (Câmpului) (7</w:t>
            </w:r>
            <w:r w:rsidR="000048C5">
              <w:rPr>
                <w:rFonts w:ascii="Times New Roman" w:hAnsi="Times New Roman"/>
                <w:noProof/>
                <w:sz w:val="24"/>
              </w:rPr>
              <w:t> </w:t>
            </w:r>
            <w:r>
              <w:rPr>
                <w:rFonts w:ascii="Times New Roman" w:hAnsi="Times New Roman"/>
                <w:noProof/>
                <w:sz w:val="24"/>
              </w:rPr>
              <w:t>stații), lungime: 8,8 km.</w:t>
            </w:r>
          </w:p>
          <w:p w14:paraId="695FE79E"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Lucrările incluse în această investiție sunt: lucrări de rezistență structurală, stații, interstații, tuneluri, galerii, alte construcții.</w:t>
            </w:r>
          </w:p>
          <w:p w14:paraId="1F45975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Procedura de licitație se va desfășura în conformitate cu Legea 98/2016 și cu modificările ulterioare ale acesteia, care au transpus directiva europeană relevantă, și anume Directiva 2014/24/UE. </w:t>
            </w:r>
          </w:p>
          <w:p w14:paraId="4BCB3FD1" w14:textId="7777777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Specificațiile tehnice ale ofertei trebuie să includă pe deplin orice rezultat și condiție din evaluarea impactului asupra mediului, dacă este necesar.</w:t>
            </w:r>
          </w:p>
        </w:tc>
      </w:tr>
      <w:tr w:rsidR="000A27B3" w:rsidRPr="000A27B3" w14:paraId="0AA006CA"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189E332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87</w:t>
            </w:r>
          </w:p>
        </w:tc>
        <w:tc>
          <w:tcPr>
            <w:tcW w:w="2099" w:type="dxa"/>
            <w:tcBorders>
              <w:top w:val="single" w:sz="4" w:space="0" w:color="auto"/>
              <w:left w:val="nil"/>
              <w:bottom w:val="single" w:sz="4" w:space="0" w:color="auto"/>
              <w:right w:val="single" w:sz="4" w:space="0" w:color="auto"/>
            </w:tcBorders>
            <w:shd w:val="clear" w:color="auto" w:fill="C6EFCE"/>
            <w:noWrap/>
          </w:tcPr>
          <w:p w14:paraId="081D8D2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I4. Dezvoltarea rețelei de transport cu metroul în municipiile București și Cluj-Napoca </w:t>
            </w:r>
          </w:p>
        </w:tc>
        <w:tc>
          <w:tcPr>
            <w:tcW w:w="1052" w:type="dxa"/>
            <w:tcBorders>
              <w:top w:val="single" w:sz="4" w:space="0" w:color="auto"/>
              <w:left w:val="nil"/>
              <w:bottom w:val="single" w:sz="4" w:space="0" w:color="auto"/>
              <w:right w:val="single" w:sz="4" w:space="0" w:color="auto"/>
            </w:tcBorders>
            <w:shd w:val="clear" w:color="auto" w:fill="C6EFCE"/>
            <w:noWrap/>
          </w:tcPr>
          <w:p w14:paraId="70BCE22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705" w:type="dxa"/>
            <w:tcBorders>
              <w:top w:val="single" w:sz="4" w:space="0" w:color="auto"/>
              <w:left w:val="nil"/>
              <w:bottom w:val="single" w:sz="4" w:space="0" w:color="auto"/>
              <w:right w:val="single" w:sz="4" w:space="0" w:color="auto"/>
            </w:tcBorders>
            <w:shd w:val="clear" w:color="auto" w:fill="C6EFCE"/>
            <w:noWrap/>
          </w:tcPr>
          <w:p w14:paraId="193D4CA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pentru 100 % din lucrări, în urma unor licitații deschise și concurențiale, și obținerea autorizațiilor relevante.</w:t>
            </w:r>
          </w:p>
        </w:tc>
        <w:tc>
          <w:tcPr>
            <w:tcW w:w="1575" w:type="dxa"/>
            <w:tcBorders>
              <w:top w:val="single" w:sz="4" w:space="0" w:color="auto"/>
              <w:left w:val="nil"/>
              <w:bottom w:val="single" w:sz="4" w:space="0" w:color="auto"/>
              <w:right w:val="single" w:sz="4" w:space="0" w:color="auto"/>
            </w:tcBorders>
            <w:shd w:val="clear" w:color="auto" w:fill="C6EFCE"/>
            <w:noWrap/>
          </w:tcPr>
          <w:p w14:paraId="5FB2BC5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181" w:type="dxa"/>
            <w:gridSpan w:val="2"/>
            <w:tcBorders>
              <w:top w:val="single" w:sz="4" w:space="0" w:color="auto"/>
              <w:left w:val="nil"/>
              <w:bottom w:val="single" w:sz="4" w:space="0" w:color="auto"/>
              <w:right w:val="single" w:sz="4" w:space="0" w:color="auto"/>
            </w:tcBorders>
            <w:shd w:val="clear" w:color="auto" w:fill="C6EFCE"/>
            <w:noWrap/>
          </w:tcPr>
          <w:p w14:paraId="66F06AB6"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303AB3CA"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571026E5"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809" w:type="dxa"/>
            <w:tcBorders>
              <w:top w:val="single" w:sz="4" w:space="0" w:color="auto"/>
              <w:left w:val="nil"/>
              <w:bottom w:val="single" w:sz="4" w:space="0" w:color="auto"/>
              <w:right w:val="single" w:sz="4" w:space="0" w:color="auto"/>
            </w:tcBorders>
            <w:shd w:val="clear" w:color="auto" w:fill="C6EFCE"/>
            <w:noWrap/>
          </w:tcPr>
          <w:p w14:paraId="21B1093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1FBB5DA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668" w:type="dxa"/>
            <w:tcBorders>
              <w:top w:val="single" w:sz="4" w:space="0" w:color="auto"/>
              <w:left w:val="nil"/>
              <w:bottom w:val="single" w:sz="4" w:space="0" w:color="auto"/>
              <w:right w:val="single" w:sz="4" w:space="0" w:color="auto"/>
            </w:tcBorders>
            <w:shd w:val="clear" w:color="auto" w:fill="C6EFCE"/>
            <w:noWrap/>
          </w:tcPr>
          <w:p w14:paraId="72045489" w14:textId="429A51E7"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Contractele dintre Ministerul Transporturilor/Primăria Municipiului Cluj-Napoca și societățile câștigătoare vor fi semnate, în urma unei licitații deschise și concurențiale pentru achiziționarea a 100 % din lucrări, inclusiv lucrări de rezistență structurală, stații, interstații, tuneluri, galerii și alte construcții, pentru cele două noi linii de metrou:</w:t>
            </w:r>
          </w:p>
          <w:p w14:paraId="2B2C048E" w14:textId="5873617E" w:rsidR="00271EF8" w:rsidRPr="000A27B3" w:rsidRDefault="00271EF8" w:rsidP="00271EF8">
            <w:pPr>
              <w:pStyle w:val="ListParagraph"/>
              <w:numPr>
                <w:ilvl w:val="0"/>
                <w:numId w:val="41"/>
              </w:numPr>
              <w:spacing w:after="0" w:line="240" w:lineRule="auto"/>
              <w:ind w:left="250" w:hanging="218"/>
              <w:jc w:val="both"/>
              <w:rPr>
                <w:rFonts w:ascii="Times New Roman" w:hAnsi="Times New Roman" w:cs="Times New Roman"/>
                <w:noProof/>
                <w:sz w:val="24"/>
                <w:szCs w:val="24"/>
              </w:rPr>
            </w:pPr>
            <w:r>
              <w:rPr>
                <w:rFonts w:ascii="Times New Roman" w:hAnsi="Times New Roman"/>
                <w:noProof/>
                <w:sz w:val="24"/>
              </w:rPr>
              <w:t xml:space="preserve"> M6 București: tronsonul 1 Mai – Tokyo (6 stații), lungime: 6,6 km;</w:t>
            </w:r>
          </w:p>
          <w:p w14:paraId="52B78DEE" w14:textId="27BFCD4D" w:rsidR="00271EF8" w:rsidRPr="000A27B3" w:rsidRDefault="00271EF8" w:rsidP="00271EF8">
            <w:pPr>
              <w:pStyle w:val="ListParagraph"/>
              <w:numPr>
                <w:ilvl w:val="0"/>
                <w:numId w:val="41"/>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M1 Cluj-Napoca: Țara Moților (Teilor) – Sf. Maria (Câmpului) (7</w:t>
            </w:r>
            <w:r w:rsidR="000048C5">
              <w:rPr>
                <w:rFonts w:ascii="Times New Roman" w:hAnsi="Times New Roman"/>
                <w:noProof/>
                <w:sz w:val="24"/>
              </w:rPr>
              <w:t> </w:t>
            </w:r>
            <w:r>
              <w:rPr>
                <w:rFonts w:ascii="Times New Roman" w:hAnsi="Times New Roman"/>
                <w:noProof/>
                <w:sz w:val="24"/>
              </w:rPr>
              <w:t>stații), lungime: 8,8 km.</w:t>
            </w:r>
          </w:p>
          <w:p w14:paraId="66CCD533"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Lucrările incluse în această investiție sunt: lucrări de rezistență structurală, stații, interstații, tuneluri, galerii și alte construcții.</w:t>
            </w:r>
          </w:p>
          <w:p w14:paraId="5B1BFB6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Procedura de licitație se va desfășura în conformitate cu Legea 98/2016 și cu modificările ulterioare ale acesteia, care au transpus directiva europeană relevantă, și anume Directiva 2014/24/UE. </w:t>
            </w:r>
          </w:p>
          <w:p w14:paraId="5B87FA73"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Specificațiile tehnice ale ofertei trebuie să includă pe deplin orice rezultat și condiție din evaluarea impactului asupra mediului, dacă este necesar.</w:t>
            </w:r>
          </w:p>
        </w:tc>
      </w:tr>
      <w:tr w:rsidR="000A27B3" w:rsidRPr="000A27B3" w14:paraId="2ED22AA7"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38313446"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88</w:t>
            </w:r>
          </w:p>
        </w:tc>
        <w:tc>
          <w:tcPr>
            <w:tcW w:w="2099" w:type="dxa"/>
            <w:tcBorders>
              <w:top w:val="single" w:sz="4" w:space="0" w:color="auto"/>
              <w:left w:val="nil"/>
              <w:bottom w:val="single" w:sz="4" w:space="0" w:color="auto"/>
              <w:right w:val="single" w:sz="4" w:space="0" w:color="auto"/>
            </w:tcBorders>
            <w:shd w:val="clear" w:color="auto" w:fill="C6EFCE"/>
            <w:noWrap/>
          </w:tcPr>
          <w:p w14:paraId="52AF207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I4. Dezvoltarea rețelei de transport cu metroul în municipiile București și Cluj-Napoca </w:t>
            </w:r>
          </w:p>
        </w:tc>
        <w:tc>
          <w:tcPr>
            <w:tcW w:w="1052" w:type="dxa"/>
            <w:tcBorders>
              <w:top w:val="single" w:sz="4" w:space="0" w:color="auto"/>
              <w:left w:val="nil"/>
              <w:bottom w:val="single" w:sz="4" w:space="0" w:color="auto"/>
              <w:right w:val="single" w:sz="4" w:space="0" w:color="auto"/>
            </w:tcBorders>
            <w:shd w:val="clear" w:color="auto" w:fill="C6EFCE"/>
            <w:noWrap/>
          </w:tcPr>
          <w:p w14:paraId="237C860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p w14:paraId="7B2EF230" w14:textId="77777777" w:rsidR="00271EF8" w:rsidRPr="000A27B3" w:rsidRDefault="00271EF8">
            <w:pPr>
              <w:rPr>
                <w:rFonts w:ascii="Times New Roman" w:eastAsia="Times New Roman" w:hAnsi="Times New Roman" w:cs="Times New Roman"/>
                <w:noProof/>
                <w:sz w:val="24"/>
                <w:lang w:val="en-GB" w:eastAsia="en-GB"/>
              </w:rPr>
            </w:pPr>
          </w:p>
        </w:tc>
        <w:tc>
          <w:tcPr>
            <w:tcW w:w="1705" w:type="dxa"/>
            <w:tcBorders>
              <w:top w:val="single" w:sz="4" w:space="0" w:color="auto"/>
              <w:left w:val="nil"/>
              <w:bottom w:val="single" w:sz="4" w:space="0" w:color="auto"/>
              <w:right w:val="single" w:sz="4" w:space="0" w:color="auto"/>
            </w:tcBorders>
            <w:shd w:val="clear" w:color="auto" w:fill="C6EFCE"/>
            <w:noWrap/>
          </w:tcPr>
          <w:p w14:paraId="530E235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Construirea a 50 % din investițiile în liniile de metrou din București și Cluj-Napoca</w:t>
            </w:r>
          </w:p>
        </w:tc>
        <w:tc>
          <w:tcPr>
            <w:tcW w:w="1575" w:type="dxa"/>
            <w:tcBorders>
              <w:top w:val="single" w:sz="4" w:space="0" w:color="auto"/>
              <w:left w:val="nil"/>
              <w:bottom w:val="single" w:sz="4" w:space="0" w:color="auto"/>
              <w:right w:val="single" w:sz="4" w:space="0" w:color="auto"/>
            </w:tcBorders>
            <w:shd w:val="clear" w:color="auto" w:fill="C6EFCE"/>
            <w:noWrap/>
          </w:tcPr>
          <w:p w14:paraId="606F4714"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181" w:type="dxa"/>
            <w:gridSpan w:val="2"/>
            <w:tcBorders>
              <w:top w:val="single" w:sz="4" w:space="0" w:color="auto"/>
              <w:left w:val="nil"/>
              <w:bottom w:val="single" w:sz="4" w:space="0" w:color="auto"/>
              <w:right w:val="single" w:sz="4" w:space="0" w:color="auto"/>
            </w:tcBorders>
            <w:shd w:val="clear" w:color="auto" w:fill="C6EFCE"/>
            <w:noWrap/>
          </w:tcPr>
          <w:p w14:paraId="2806AF1F"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Procentaj (%)</w:t>
            </w:r>
          </w:p>
          <w:p w14:paraId="2378FE79"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73C722F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399695E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50</w:t>
            </w:r>
          </w:p>
        </w:tc>
        <w:tc>
          <w:tcPr>
            <w:tcW w:w="809" w:type="dxa"/>
            <w:tcBorders>
              <w:top w:val="single" w:sz="4" w:space="0" w:color="auto"/>
              <w:left w:val="nil"/>
              <w:bottom w:val="single" w:sz="4" w:space="0" w:color="auto"/>
              <w:right w:val="single" w:sz="4" w:space="0" w:color="auto"/>
            </w:tcBorders>
            <w:shd w:val="clear" w:color="auto" w:fill="C6EFCE"/>
            <w:noWrap/>
          </w:tcPr>
          <w:p w14:paraId="6102D10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660" w:type="dxa"/>
            <w:tcBorders>
              <w:top w:val="single" w:sz="4" w:space="0" w:color="auto"/>
              <w:left w:val="nil"/>
              <w:bottom w:val="single" w:sz="4" w:space="0" w:color="auto"/>
              <w:right w:val="single" w:sz="4" w:space="0" w:color="auto"/>
            </w:tcBorders>
            <w:shd w:val="clear" w:color="auto" w:fill="C6EFCE"/>
            <w:noWrap/>
          </w:tcPr>
          <w:p w14:paraId="441B011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668" w:type="dxa"/>
            <w:tcBorders>
              <w:top w:val="single" w:sz="4" w:space="0" w:color="auto"/>
              <w:left w:val="nil"/>
              <w:bottom w:val="single" w:sz="4" w:space="0" w:color="auto"/>
              <w:right w:val="single" w:sz="4" w:space="0" w:color="auto"/>
            </w:tcBorders>
            <w:shd w:val="clear" w:color="auto" w:fill="C6EFCE"/>
            <w:noWrap/>
          </w:tcPr>
          <w:p w14:paraId="5B06BF7A" w14:textId="6D6E043C" w:rsidR="00271EF8" w:rsidRPr="000A27B3" w:rsidRDefault="00271EF8">
            <w:pPr>
              <w:spacing w:after="0" w:line="240" w:lineRule="auto"/>
              <w:jc w:val="both"/>
              <w:rPr>
                <w:rFonts w:ascii="Times New Roman" w:hAnsi="Times New Roman" w:cs="Times New Roman"/>
                <w:noProof/>
                <w:sz w:val="24"/>
                <w:szCs w:val="24"/>
              </w:rPr>
            </w:pPr>
            <w:r>
              <w:rPr>
                <w:rFonts w:ascii="Times New Roman" w:hAnsi="Times New Roman"/>
                <w:noProof/>
                <w:sz w:val="24"/>
              </w:rPr>
              <w:t>Finalizarea a cel puțin 50 % din lucrări (certificate prin raportul de supraveghere) pentru noile linii de metrou din București și Cluj-Napoca, inclusiv lucrări de rezistență structurală, stații, interstații, tuneluri, galerii și alte construcții, după cum urmează:</w:t>
            </w:r>
          </w:p>
          <w:p w14:paraId="2CEC9485" w14:textId="3C52EA54" w:rsidR="00271EF8" w:rsidRPr="000A27B3" w:rsidRDefault="00271EF8" w:rsidP="00271EF8">
            <w:pPr>
              <w:pStyle w:val="ListParagraph"/>
              <w:numPr>
                <w:ilvl w:val="0"/>
                <w:numId w:val="41"/>
              </w:numPr>
              <w:spacing w:after="0" w:line="240" w:lineRule="auto"/>
              <w:ind w:left="250" w:hanging="218"/>
              <w:jc w:val="both"/>
              <w:rPr>
                <w:rFonts w:ascii="Times New Roman" w:hAnsi="Times New Roman" w:cs="Times New Roman"/>
                <w:noProof/>
                <w:sz w:val="24"/>
                <w:szCs w:val="24"/>
              </w:rPr>
            </w:pPr>
            <w:r>
              <w:rPr>
                <w:rFonts w:ascii="Times New Roman" w:hAnsi="Times New Roman"/>
                <w:noProof/>
                <w:sz w:val="24"/>
              </w:rPr>
              <w:t xml:space="preserve"> M6 București: tronsonul 1 Mai – Tokyo;</w:t>
            </w:r>
          </w:p>
          <w:p w14:paraId="0B0A8D0F" w14:textId="54B48B86" w:rsidR="00271EF8" w:rsidRPr="000A27B3" w:rsidRDefault="00271EF8" w:rsidP="00271EF8">
            <w:pPr>
              <w:pStyle w:val="ListParagraph"/>
              <w:numPr>
                <w:ilvl w:val="0"/>
                <w:numId w:val="41"/>
              </w:numPr>
              <w:spacing w:after="0" w:line="240" w:lineRule="auto"/>
              <w:ind w:left="250" w:hanging="218"/>
              <w:jc w:val="both"/>
              <w:rPr>
                <w:rFonts w:ascii="Times New Roman" w:hAnsi="Times New Roman" w:cs="Times New Roman"/>
                <w:noProof/>
                <w:sz w:val="24"/>
                <w:szCs w:val="24"/>
              </w:rPr>
            </w:pPr>
            <w:r>
              <w:rPr>
                <w:rFonts w:ascii="Times New Roman" w:hAnsi="Times New Roman"/>
                <w:noProof/>
                <w:sz w:val="24"/>
              </w:rPr>
              <w:t>M1 Cluj-Napoca: Țara Moților (Teilor) – Sf. Maria (Câmpului).</w:t>
            </w:r>
          </w:p>
        </w:tc>
      </w:tr>
      <w:tr w:rsidR="000A27B3" w:rsidRPr="000A27B3" w14:paraId="2851803D" w14:textId="77777777" w:rsidTr="000048C5">
        <w:trPr>
          <w:trHeight w:val="309"/>
          <w:jc w:val="center"/>
        </w:trPr>
        <w:tc>
          <w:tcPr>
            <w:tcW w:w="663" w:type="dxa"/>
            <w:tcBorders>
              <w:top w:val="single" w:sz="4" w:space="0" w:color="auto"/>
              <w:left w:val="single" w:sz="4" w:space="0" w:color="auto"/>
              <w:bottom w:val="single" w:sz="4" w:space="0" w:color="auto"/>
              <w:right w:val="single" w:sz="4" w:space="0" w:color="auto"/>
            </w:tcBorders>
            <w:shd w:val="clear" w:color="auto" w:fill="C6EFCE"/>
            <w:noWrap/>
          </w:tcPr>
          <w:p w14:paraId="4FBB16F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89</w:t>
            </w:r>
          </w:p>
        </w:tc>
        <w:tc>
          <w:tcPr>
            <w:tcW w:w="2099" w:type="dxa"/>
            <w:tcBorders>
              <w:top w:val="single" w:sz="4" w:space="0" w:color="auto"/>
              <w:left w:val="nil"/>
              <w:bottom w:val="single" w:sz="4" w:space="0" w:color="auto"/>
              <w:right w:val="single" w:sz="4" w:space="0" w:color="auto"/>
            </w:tcBorders>
            <w:shd w:val="clear" w:color="auto" w:fill="C6EFCE"/>
            <w:noWrap/>
          </w:tcPr>
          <w:p w14:paraId="576CFAD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I4. Dezvoltarea rețelei de transport cu metroul în municipiile București și Cluj-Napoca </w:t>
            </w:r>
          </w:p>
        </w:tc>
        <w:tc>
          <w:tcPr>
            <w:tcW w:w="1052" w:type="dxa"/>
            <w:tcBorders>
              <w:top w:val="single" w:sz="4" w:space="0" w:color="auto"/>
              <w:left w:val="nil"/>
              <w:bottom w:val="single" w:sz="4" w:space="0" w:color="auto"/>
              <w:right w:val="single" w:sz="4" w:space="0" w:color="auto"/>
            </w:tcBorders>
            <w:shd w:val="clear" w:color="auto" w:fill="C6EFCE"/>
            <w:noWrap/>
          </w:tcPr>
          <w:p w14:paraId="0ADEEBC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705" w:type="dxa"/>
            <w:tcBorders>
              <w:top w:val="single" w:sz="4" w:space="0" w:color="auto"/>
              <w:left w:val="nil"/>
              <w:bottom w:val="single" w:sz="4" w:space="0" w:color="auto"/>
              <w:right w:val="single" w:sz="4" w:space="0" w:color="auto"/>
            </w:tcBorders>
            <w:shd w:val="clear" w:color="auto" w:fill="C6EFCE"/>
            <w:noWrap/>
          </w:tcPr>
          <w:p w14:paraId="250838EA" w14:textId="49EE7429" w:rsidR="00271EF8" w:rsidRPr="000A27B3" w:rsidRDefault="00A21718">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de noi linii de metrou din București și Cluj-Napoca finalizați</w:t>
            </w:r>
          </w:p>
        </w:tc>
        <w:tc>
          <w:tcPr>
            <w:tcW w:w="1575" w:type="dxa"/>
            <w:tcBorders>
              <w:top w:val="single" w:sz="4" w:space="0" w:color="auto"/>
              <w:left w:val="nil"/>
              <w:bottom w:val="single" w:sz="4" w:space="0" w:color="auto"/>
              <w:right w:val="single" w:sz="4" w:space="0" w:color="auto"/>
            </w:tcBorders>
            <w:shd w:val="clear" w:color="auto" w:fill="C6EFCE"/>
            <w:noWrap/>
          </w:tcPr>
          <w:p w14:paraId="477C3A01"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181" w:type="dxa"/>
            <w:gridSpan w:val="2"/>
            <w:tcBorders>
              <w:top w:val="single" w:sz="4" w:space="0" w:color="auto"/>
              <w:left w:val="nil"/>
              <w:bottom w:val="single" w:sz="4" w:space="0" w:color="auto"/>
              <w:right w:val="single" w:sz="4" w:space="0" w:color="auto"/>
            </w:tcBorders>
            <w:shd w:val="clear" w:color="auto" w:fill="C6EFCE"/>
            <w:noWrap/>
          </w:tcPr>
          <w:p w14:paraId="03CA1FC5" w14:textId="66137E4E" w:rsidR="00271EF8" w:rsidRPr="000A27B3" w:rsidRDefault="00A21718">
            <w:pPr>
              <w:spacing w:after="0" w:line="240" w:lineRule="auto"/>
              <w:jc w:val="both"/>
              <w:rPr>
                <w:rFonts w:ascii="Times New Roman" w:eastAsia="Times New Roman" w:hAnsi="Times New Roman" w:cs="Times New Roman"/>
                <w:noProof/>
                <w:sz w:val="24"/>
              </w:rPr>
            </w:pPr>
            <w:r>
              <w:rPr>
                <w:rFonts w:ascii="Times New Roman" w:hAnsi="Times New Roman"/>
                <w:noProof/>
                <w:sz w:val="24"/>
              </w:rPr>
              <w:t>Kilometri (km)</w:t>
            </w:r>
          </w:p>
        </w:tc>
        <w:tc>
          <w:tcPr>
            <w:tcW w:w="1080" w:type="dxa"/>
            <w:tcBorders>
              <w:top w:val="single" w:sz="4" w:space="0" w:color="auto"/>
              <w:left w:val="nil"/>
              <w:bottom w:val="single" w:sz="4" w:space="0" w:color="auto"/>
              <w:right w:val="single" w:sz="4" w:space="0" w:color="auto"/>
            </w:tcBorders>
            <w:shd w:val="clear" w:color="auto" w:fill="C6EFCE"/>
            <w:noWrap/>
          </w:tcPr>
          <w:p w14:paraId="7C316F2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60" w:type="dxa"/>
            <w:tcBorders>
              <w:top w:val="single" w:sz="4" w:space="0" w:color="auto"/>
              <w:left w:val="nil"/>
              <w:bottom w:val="single" w:sz="4" w:space="0" w:color="auto"/>
              <w:right w:val="single" w:sz="4" w:space="0" w:color="auto"/>
            </w:tcBorders>
            <w:shd w:val="clear" w:color="auto" w:fill="C6EFCE"/>
            <w:noWrap/>
          </w:tcPr>
          <w:p w14:paraId="0F8219EA" w14:textId="631EC6E0"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15,4</w:t>
            </w:r>
          </w:p>
        </w:tc>
        <w:tc>
          <w:tcPr>
            <w:tcW w:w="809" w:type="dxa"/>
            <w:tcBorders>
              <w:top w:val="single" w:sz="4" w:space="0" w:color="auto"/>
              <w:left w:val="nil"/>
              <w:bottom w:val="single" w:sz="4" w:space="0" w:color="auto"/>
              <w:right w:val="single" w:sz="4" w:space="0" w:color="auto"/>
            </w:tcBorders>
            <w:shd w:val="clear" w:color="auto" w:fill="C6EFCE"/>
            <w:noWrap/>
          </w:tcPr>
          <w:p w14:paraId="0D28EB7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660" w:type="dxa"/>
            <w:tcBorders>
              <w:top w:val="single" w:sz="4" w:space="0" w:color="auto"/>
              <w:left w:val="nil"/>
              <w:bottom w:val="single" w:sz="4" w:space="0" w:color="auto"/>
              <w:right w:val="single" w:sz="4" w:space="0" w:color="auto"/>
            </w:tcBorders>
            <w:shd w:val="clear" w:color="auto" w:fill="C6EFCE"/>
            <w:noWrap/>
          </w:tcPr>
          <w:p w14:paraId="75DE1CA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668" w:type="dxa"/>
            <w:tcBorders>
              <w:top w:val="single" w:sz="4" w:space="0" w:color="auto"/>
              <w:left w:val="nil"/>
              <w:bottom w:val="single" w:sz="4" w:space="0" w:color="auto"/>
              <w:right w:val="single" w:sz="4" w:space="0" w:color="auto"/>
            </w:tcBorders>
            <w:shd w:val="clear" w:color="auto" w:fill="C6EFCE"/>
            <w:noWrap/>
          </w:tcPr>
          <w:p w14:paraId="64FF20FE" w14:textId="31EACDEC"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Finalizarea lucrărilor la structura principală (lucrări de rezistență structurală, stații, interstații, tuneluri, galerii și alte construcții) a noilor linii de metrou din București și Cluj-Napoca, pe o lungime totală de 15,4</w:t>
            </w:r>
            <w:r w:rsidR="004C4C72">
              <w:rPr>
                <w:rFonts w:ascii="Times New Roman" w:hAnsi="Times New Roman"/>
                <w:noProof/>
                <w:sz w:val="24"/>
              </w:rPr>
              <w:t xml:space="preserve"> </w:t>
            </w:r>
            <w:r>
              <w:rPr>
                <w:rFonts w:ascii="Times New Roman" w:hAnsi="Times New Roman"/>
                <w:noProof/>
                <w:sz w:val="24"/>
              </w:rPr>
              <w:t>km, după cum urmează:</w:t>
            </w:r>
          </w:p>
          <w:p w14:paraId="2AA18BC3" w14:textId="1E543026" w:rsidR="00271EF8" w:rsidRPr="00C10BDC" w:rsidRDefault="00271EF8" w:rsidP="00271EF8">
            <w:pPr>
              <w:pStyle w:val="ListParagraph"/>
              <w:numPr>
                <w:ilvl w:val="0"/>
                <w:numId w:val="41"/>
              </w:numPr>
              <w:spacing w:after="0" w:line="240" w:lineRule="auto"/>
              <w:ind w:left="250" w:hanging="218"/>
              <w:jc w:val="both"/>
              <w:rPr>
                <w:rFonts w:ascii="Times New Roman" w:eastAsiaTheme="minorEastAsia" w:hAnsi="Times New Roman"/>
                <w:noProof/>
                <w:sz w:val="24"/>
              </w:rPr>
            </w:pPr>
            <w:r>
              <w:rPr>
                <w:rFonts w:ascii="Times New Roman" w:hAnsi="Times New Roman"/>
                <w:noProof/>
                <w:sz w:val="24"/>
              </w:rPr>
              <w:t xml:space="preserve"> M6 București: tronsonul 1 Mai – Tokyo (6 stații), lungime: 6,6 km;</w:t>
            </w:r>
          </w:p>
          <w:p w14:paraId="127B895D" w14:textId="5C60A6C0" w:rsidR="00271EF8" w:rsidRPr="000A27B3" w:rsidRDefault="00271EF8" w:rsidP="00271EF8">
            <w:pPr>
              <w:pStyle w:val="ListParagraph"/>
              <w:numPr>
                <w:ilvl w:val="0"/>
                <w:numId w:val="41"/>
              </w:numPr>
              <w:spacing w:after="0" w:line="240" w:lineRule="auto"/>
              <w:ind w:left="250" w:hanging="218"/>
              <w:jc w:val="both"/>
              <w:rPr>
                <w:rFonts w:ascii="Times New Roman" w:eastAsia="Times New Roman" w:hAnsi="Times New Roman" w:cs="Times New Roman"/>
                <w:noProof/>
                <w:sz w:val="24"/>
                <w:szCs w:val="24"/>
              </w:rPr>
            </w:pPr>
            <w:r>
              <w:rPr>
                <w:rFonts w:ascii="Times New Roman" w:hAnsi="Times New Roman"/>
                <w:noProof/>
                <w:sz w:val="24"/>
              </w:rPr>
              <w:t>M1: Cluj-Napoca - Secțiunea 1: Țara Moților (Teilor) – Sf. Maria (Câmpului) (7 stații), lungime: 8,8 km.</w:t>
            </w:r>
          </w:p>
        </w:tc>
      </w:tr>
    </w:tbl>
    <w:p w14:paraId="59B17AA0" w14:textId="77777777" w:rsidR="00271EF8" w:rsidRPr="000A27B3" w:rsidRDefault="00271EF8">
      <w:pPr>
        <w:spacing w:before="120" w:after="120" w:line="240" w:lineRule="auto"/>
        <w:jc w:val="both"/>
        <w:rPr>
          <w:rFonts w:ascii="Times New Roman" w:eastAsiaTheme="majorEastAsia" w:hAnsi="Times New Roman" w:cs="Times New Roman"/>
          <w:b/>
          <w:smallCaps/>
          <w:noProof/>
          <w:sz w:val="24"/>
          <w:szCs w:val="24"/>
          <w:lang w:val="fr-FR"/>
        </w:rPr>
        <w:sectPr w:rsidR="00271EF8" w:rsidRPr="000A27B3">
          <w:headerReference w:type="even" r:id="rId96"/>
          <w:headerReference w:type="default" r:id="rId97"/>
          <w:footerReference w:type="even" r:id="rId98"/>
          <w:footerReference w:type="default" r:id="rId99"/>
          <w:headerReference w:type="first" r:id="rId100"/>
          <w:footerReference w:type="first" r:id="rId101"/>
          <w:pgSz w:w="16839" w:h="11907" w:orient="landscape"/>
          <w:pgMar w:top="1417" w:right="1134" w:bottom="1417" w:left="1134" w:header="709" w:footer="709" w:gutter="0"/>
          <w:cols w:space="720"/>
          <w:docGrid w:linePitch="360"/>
        </w:sectPr>
      </w:pPr>
    </w:p>
    <w:p w14:paraId="07FB49C1" w14:textId="77777777" w:rsidR="00271EF8" w:rsidRPr="000A27B3" w:rsidRDefault="00271EF8">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5: Valul renovării</w:t>
      </w:r>
    </w:p>
    <w:p w14:paraId="4E493393" w14:textId="4F444771"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Strategia sa națională de renovare pe termen lung, România estimează că va fi necesar să se investească 12,8 miliarde EUR în renovarea clădirilor pentru a se obține o reducere de 0,83</w:t>
      </w:r>
      <w:r w:rsidR="000048C5">
        <w:rPr>
          <w:rFonts w:ascii="Times New Roman" w:hAnsi="Times New Roman"/>
          <w:noProof/>
          <w:sz w:val="24"/>
        </w:rPr>
        <w:t> </w:t>
      </w:r>
      <w:r>
        <w:rPr>
          <w:rFonts w:ascii="Times New Roman" w:hAnsi="Times New Roman"/>
          <w:noProof/>
          <w:sz w:val="24"/>
        </w:rPr>
        <w:t>Mtep a consumului final de energie în 2030 comparativ cu scenariul de referință.</w:t>
      </w:r>
    </w:p>
    <w:p w14:paraId="694C6CA9"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componentei este de a crește viteza și calitatea renovărilor energetice, atât în sectorul public, cât și în cel privat, abordând în același timp provocarea reprezentată de protecția patrimoniului. Reformele și investițiile din cadrul acestei componente vizează reducerea consumului de energie primară și a consumului final de energie în conformitate cu obiectivele pentru 2030 stabilite în Strategia națională de renovare pe termen lung. </w:t>
      </w:r>
    </w:p>
    <w:p w14:paraId="33F17C91"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Aceste investiții și reforme vor aborda recomandările specifice adresate României în ultimii doi ani de a „axa politica economică în materie de investiții pe sectorul […] energetic cu emisii scăzute de dioxid de carbon și pe eficiența energetică” (recomandarea specifică 4, 2019) și de a „direcționa cu prioritate investițiile către tranziția ecologică […], în special către […] producția și utilizarea energiei în mod nepoluant și eficient” (recomandarea specifică 3, 2020).</w:t>
      </w:r>
    </w:p>
    <w:p w14:paraId="5244931A" w14:textId="682373C9"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nicio măsură din cadrul acestei componente nu va aduce prejudicii semnificative obiectivelor de mediu, în sensul articolului 17 din Regulamentul (UE) 2020/852, ținând seama de descrierea măsurilor și a măsurilor de atenuare stabilite în Planul de redresare și reziliență în conformitate cu Orientările tehnice DNSH (2021/C58/01). </w:t>
      </w:r>
    </w:p>
    <w:p w14:paraId="2BCC30C7" w14:textId="77777777" w:rsidR="00271EF8" w:rsidRPr="000A27B3" w:rsidRDefault="00271EF8">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E.1. </w:t>
      </w:r>
      <w:r>
        <w:rPr>
          <w:noProof/>
        </w:rPr>
        <w:tab/>
      </w:r>
      <w:r>
        <w:rPr>
          <w:rFonts w:ascii="Times New Roman" w:hAnsi="Times New Roman"/>
          <w:b/>
          <w:noProof/>
          <w:sz w:val="24"/>
        </w:rPr>
        <w:t>Descrierea reformelor și a investițiilor pentru împrumut</w:t>
      </w:r>
    </w:p>
    <w:p w14:paraId="5377FE16"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Reforma 1. Realizarea unui cadru normativ simplificat și actualizat care să sprijine implementarea investițiilor în tranziția spre clădiri verzi și reziliente</w:t>
      </w:r>
    </w:p>
    <w:p w14:paraId="3D5B69E2"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Reforma va simplifica cadrul legislativ și de reglementare privind activitățile de renovare a clădirilor, pentru a accelera tranziția verde. Reforma va viza următoarele subreforme:</w:t>
      </w:r>
    </w:p>
    <w:p w14:paraId="76F9DF69" w14:textId="77777777" w:rsidR="00271EF8" w:rsidRPr="000A27B3" w:rsidRDefault="00271EF8" w:rsidP="00271EF8">
      <w:pPr>
        <w:pStyle w:val="ListParagraph"/>
        <w:numPr>
          <w:ilvl w:val="0"/>
          <w:numId w:val="44"/>
        </w:numPr>
        <w:spacing w:before="120" w:after="120" w:line="240" w:lineRule="auto"/>
        <w:ind w:left="426"/>
        <w:jc w:val="both"/>
        <w:rPr>
          <w:rFonts w:ascii="Times New Roman" w:eastAsia="Calibri" w:hAnsi="Times New Roman" w:cs="Times New Roman"/>
          <w:noProof/>
          <w:sz w:val="24"/>
        </w:rPr>
      </w:pPr>
      <w:r>
        <w:rPr>
          <w:rFonts w:ascii="Times New Roman" w:hAnsi="Times New Roman"/>
          <w:noProof/>
          <w:sz w:val="24"/>
        </w:rPr>
        <w:t>R1.a. Codificarea legislației, care să sprijine implementarea investițiilor în tranziția spre clădiri verzi. Codul amenajării teritoriului, urbanismului și construcțiilor va trebui să coreleze, să simplifice și să codifice într-un singur act legislativ cel puțin 10 acte legislative din domeniul amenajării teritoriului, al urbanizării și al construcțiilor. Adoptarea și intrarea în vigoare a codului sunt incluse în reforma 5 a componentei 10 - Fondul local, fiind prevăzute să aibă loc până la 31 martie 2023. Obiectivul acestui element de reformă este de a reduce cu cel puțin 50 % timpul necesar pentru eliberarea autorizațiilor de construcție de către entitățile relevante comparativ cu 2020, de la 270 de zile la 135 de zile pentru întregul proces de obținere a autorizațiilor de construcție. Codul va integra, de asemenea, principiile-cheie ale Pactului verde european, cum ar fi promovarea utilizării eficiente a resurselor, a soluțiilor bazate pe natură, a coridoarelor biodiversității și a economiei circulare. Acesta va promova, de asemenea, digitalizarea proceselor de autorizare. Implementarea subreformei se va finaliza până la 31 iunie 2025.</w:t>
      </w:r>
    </w:p>
    <w:p w14:paraId="6AFCB6F4" w14:textId="77777777" w:rsidR="00271EF8" w:rsidRPr="000A27B3" w:rsidRDefault="00271EF8" w:rsidP="00271EF8">
      <w:pPr>
        <w:pStyle w:val="ListParagraph"/>
        <w:numPr>
          <w:ilvl w:val="0"/>
          <w:numId w:val="44"/>
        </w:numPr>
        <w:spacing w:before="120" w:after="120" w:line="240" w:lineRule="auto"/>
        <w:ind w:left="426"/>
        <w:jc w:val="both"/>
        <w:rPr>
          <w:rFonts w:ascii="Times New Roman" w:eastAsia="Calibri" w:hAnsi="Times New Roman" w:cs="Times New Roman"/>
          <w:noProof/>
          <w:sz w:val="24"/>
        </w:rPr>
      </w:pPr>
      <w:r>
        <w:rPr>
          <w:rFonts w:ascii="Times New Roman" w:hAnsi="Times New Roman"/>
          <w:noProof/>
          <w:sz w:val="24"/>
        </w:rPr>
        <w:t xml:space="preserve">R1.b. Optimizarea cadrului legislativ și normativ pentru sprijinirea implementării investițiilor în tranziția spre clădiri verzi. În ceea ce privește cadrul legislativ, Ordonanța de urgență a Guvernului nr. 18/2009 privind programul național multianual privind creșterea performanței energetice a blocurilor de locuințe se va modifica pentru a spori nivelul de ambiție al renovărilor energetice la economii de energie primară de cel puțin 30 % și de până la 60 % pentru clădirile rezidențiale. În ceea ce privește noul cadru tehnic de reglementare, acesta va include următoarele orientări adoptate și operaționale: Orientări privind clădirile cu consum de energie aproape zero (nZEB), orientări pentru facilitarea punerii în aplicare a modelării informatice a clădirilor (BIM) și o metodologie pentru o abordare neinvazivă a eficienței energetice și a eficienței resurselor în ceea ce privește clădirile istorice. Noul cadru de reglementare urmărește să ofere orientări cu privire la punerea în aplicare tehnică a cerințelor privind nZEB, să sprijine autoritățile administrației publice centrale responsabile cu monitorizarea punerii în aplicare a cerințelor privind nZEB; și să stabilească standarde pentru realizarea de economii de eficiență energetică și de eficiență a resurselor pentru clădirile istorice, fără a le afecta valoarea arhitecturală și istorică. </w:t>
      </w:r>
      <w:r>
        <w:rPr>
          <w:rFonts w:ascii="Times New Roman" w:hAnsi="Times New Roman"/>
          <w:noProof/>
        </w:rPr>
        <w:t>Implementarea subreformei se va finaliza până la 31 decembrie 2022.</w:t>
      </w:r>
    </w:p>
    <w:p w14:paraId="7C03998F"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 xml:space="preserve">Reforma 2. Cadru strategic, normativ și procedural care să sprijine reziliența seismică a fondului construit </w:t>
      </w:r>
    </w:p>
    <w:p w14:paraId="31270AF2" w14:textId="77777777" w:rsidR="00271EF8" w:rsidRPr="000A27B3" w:rsidRDefault="00271EF8">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Reforma vizează următoarele subreforme:</w:t>
      </w:r>
    </w:p>
    <w:p w14:paraId="41DBB377" w14:textId="77777777" w:rsidR="00271EF8" w:rsidRPr="000A27B3" w:rsidRDefault="00271EF8" w:rsidP="00271EF8">
      <w:pPr>
        <w:pStyle w:val="ListParagraph"/>
        <w:numPr>
          <w:ilvl w:val="0"/>
          <w:numId w:val="45"/>
        </w:numPr>
        <w:spacing w:before="120" w:after="120" w:line="240" w:lineRule="auto"/>
        <w:ind w:left="426"/>
        <w:jc w:val="both"/>
        <w:rPr>
          <w:rFonts w:ascii="Times New Roman" w:eastAsia="Calibri" w:hAnsi="Times New Roman" w:cs="Times New Roman"/>
          <w:noProof/>
          <w:sz w:val="24"/>
        </w:rPr>
      </w:pPr>
      <w:r>
        <w:rPr>
          <w:rFonts w:ascii="Times New Roman" w:hAnsi="Times New Roman"/>
          <w:noProof/>
          <w:sz w:val="24"/>
        </w:rPr>
        <w:t>R2.a. Adoptarea unei Strategii de reducere a riscului seismic. Strategia va include un plan de acțiune cu obiective specifice de reducere a riscului seismic pe termen scurt, mediu și lung (2030, 2040 și 2050) pentru diferitele tipuri de clădiri vulnerabile, inclusiv sensibilizarea publicului și consolidarea capacității instituționale de gestionare seismică. Reforma va asigura o abordare integrată și coerentă între planificarea renovărilor energetice și a renovărilor seismice și va reduce de la câțiva ani la câteva luni timpul necesar pentru finalizarea efectivă a prioritizării intervențiilor privind fondul construit. Acest element de reformă va fi pus în aplicare prin adoptarea strategiei de către guvern și se va finaliza până la 31 decembrie 2022.</w:t>
      </w:r>
    </w:p>
    <w:p w14:paraId="2480B5FF" w14:textId="77777777" w:rsidR="00271EF8" w:rsidRPr="000A27B3" w:rsidRDefault="00271EF8" w:rsidP="00271EF8">
      <w:pPr>
        <w:pStyle w:val="ListParagraph"/>
        <w:numPr>
          <w:ilvl w:val="0"/>
          <w:numId w:val="45"/>
        </w:numPr>
        <w:spacing w:before="120" w:after="120" w:line="240" w:lineRule="auto"/>
        <w:ind w:left="426"/>
        <w:jc w:val="both"/>
        <w:rPr>
          <w:rFonts w:ascii="Times New Roman" w:eastAsia="Calibri" w:hAnsi="Times New Roman" w:cs="Times New Roman"/>
          <w:noProof/>
          <w:sz w:val="24"/>
        </w:rPr>
      </w:pPr>
      <w:r>
        <w:rPr>
          <w:rFonts w:ascii="Times New Roman" w:hAnsi="Times New Roman"/>
          <w:noProof/>
          <w:sz w:val="24"/>
        </w:rPr>
        <w:t>R2.b. Optimizarea cadrului normativ privind reducerea riscului seismic al clădirilor existente. Obiectivul subreformei este de a îmbunătăți programul existent de modernizare a parcului imobiliar existent, care în trecut nu dispunea de o abordare integrată a renovărilor seismice și energetice. Subreforma va transforma programul într-un program multianual, va introduce în lista cheltuielilor eligibile lucrările necesare pentru creșterea performanței energetice, o va extinde la clădirile publice, nu numai la clădirile private, și, de asemenea, va introduce clasa de risc seismic RsII printre criteriile eligibile. Acest element de reformă va fi pus în aplicare prin intrarea în vigoare a noii legi privind reducerea riscului seismic al clădirilor și implementarea sa se va finaliza până la 31 decembrie 2022.</w:t>
      </w:r>
    </w:p>
    <w:p w14:paraId="78D2C256"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Investiția 1. Instituirea unui fond pentru Valul renovării care să finanțeze lucrări de îmbunătățire a eficienței energetice a fondului construit existent</w:t>
      </w:r>
    </w:p>
    <w:p w14:paraId="4876611E"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creșterea ratei de renovare energetică a clădirilor multifamiliale și a clădirilor publice din România. Având în vedere că România este una dintre țările europene cele mai expuse riscului seismic, renovarea energetică se va realiza, atunci când va fi necesar, în paralel cu renovarea seismică, pentru a asigura o abordare eficientă din punctul de vedere al costurilor și un efect de lungă durată al investiției. Lucrările vor respecta, de asemenea, calitatea estetică și arhitecturală a clădirilor, prin luarea în considerare a eventualelor cerințe de protecție culturală ale renovării în cazul clădirilor care fac parte din patrimoniul cultural. Investițiile vor îmbunătăți, de asemenea, accesibilitatea clădirilor prin crearea de facilități și adaptarea clădirilor la nevoile persoanelor cu handicap, precum și la cerințele aferente îmbătrânirii populației.</w:t>
      </w:r>
    </w:p>
    <w:p w14:paraId="007889C1" w14:textId="77777777" w:rsidR="00271EF8" w:rsidRPr="000A27B3" w:rsidRDefault="00271EF8">
      <w:pPr>
        <w:spacing w:before="120" w:after="120" w:line="240" w:lineRule="auto"/>
        <w:jc w:val="both"/>
        <w:rPr>
          <w:rFonts w:ascii="Times New Roman" w:hAnsi="Times New Roman" w:cs="Times New Roman"/>
          <w:noProof/>
          <w:sz w:val="24"/>
        </w:rPr>
      </w:pPr>
      <w:r>
        <w:rPr>
          <w:rFonts w:ascii="Times New Roman" w:hAnsi="Times New Roman"/>
          <w:noProof/>
          <w:sz w:val="24"/>
        </w:rPr>
        <w:t>Investiția se va efectua de a lungul a două axe:</w:t>
      </w:r>
    </w:p>
    <w:p w14:paraId="2B495A07" w14:textId="77777777" w:rsidR="00271EF8" w:rsidRPr="000A27B3" w:rsidRDefault="00271EF8" w:rsidP="00271EF8">
      <w:pPr>
        <w:numPr>
          <w:ilvl w:val="0"/>
          <w:numId w:val="43"/>
        </w:numPr>
        <w:spacing w:before="120" w:after="120" w:line="240" w:lineRule="auto"/>
        <w:ind w:left="1080"/>
        <w:jc w:val="both"/>
        <w:rPr>
          <w:rFonts w:ascii="Times New Roman" w:hAnsi="Times New Roman" w:cs="Times New Roman"/>
          <w:noProof/>
          <w:sz w:val="24"/>
          <w:u w:val="single"/>
        </w:rPr>
      </w:pPr>
      <w:r>
        <w:rPr>
          <w:rFonts w:ascii="Times New Roman" w:hAnsi="Times New Roman"/>
          <w:noProof/>
          <w:sz w:val="24"/>
          <w:u w:val="single"/>
        </w:rPr>
        <w:t>Axa 1 – Investiții în clădiri rezidențiale multifamiliale pentru o tranziție rezilientă și verde</w:t>
      </w:r>
    </w:p>
    <w:p w14:paraId="380F78C4" w14:textId="48002683"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Până la 31 martie 2022 se va institui o schemă națională de sprijin pentru renovarea ce vizează asigurarea eficienței energetice și renovarea integrată (consolidare seismică și eficiență energetică) a clădirilor rezidențiale multifamiliale. Obiectivul investiției este de a realiza economii totale de CO</w:t>
      </w:r>
      <w:r>
        <w:rPr>
          <w:rFonts w:ascii="Times New Roman" w:hAnsi="Times New Roman"/>
          <w:noProof/>
          <w:sz w:val="24"/>
          <w:vertAlign w:val="subscript"/>
        </w:rPr>
        <w:t>2</w:t>
      </w:r>
      <w:r>
        <w:rPr>
          <w:rFonts w:ascii="Times New Roman" w:hAnsi="Times New Roman"/>
          <w:noProof/>
          <w:sz w:val="24"/>
        </w:rPr>
        <w:t xml:space="preserve"> de cel puțin 0,11 milioane de tone și economii totale de energie primară de cel puțin 0,11 Mtep. Schema va stipula că se așteaptă ca toate renovările să obțină, în medie, o reducere de cel puțin 30 % a necesarului de energie primară. În cazul renovărilor majore ale clădirilor care au peste 10 locuri de parcare, infrastructura de cablare pentru fiecare loc de parcare va asigura posibilitatea de a instala puncte de reîncărcare pentru vehiculele electrice și un punct de reîncărcare pentru fiecare 5 locuri de parcare.</w:t>
      </w:r>
    </w:p>
    <w:p w14:paraId="4498BB5A"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Ministerul Dezvoltării, Lucrărilor Publice și Administrației va fi responsabil cu publicarea cererilor de propuneri pentru autoritățile publice locale, în timp ce autoritățile locale vor fi responsabile de atribuirea contractelor. O cerere de propuneri va acoperi atât renovarea în vederea asigurării eficienței energetice, cât și consolidarea seismică a clădirilor rezidențiale și va fi dedicată zonelor cu cel mai mare risc seismic. În cererea de propuneri se va specifica obligația de a se acorda prioritate comunităților expuse riscului de sărăcie și de excluziune socială. O cerere de propuneri separată va acoperi numai renovările moderate în materie de eficiență energetică și va fi dedicată comunităților expuse riscului de sărăcie și de excluziune socială. O a treia cerere de propuneri va acoperi renovările energetice moderate (90 %) și pe cele aprofundate (10 %) și va fi alocată tuturor unităților administrative locale, inclusiv celor șase sectoare ale municipiului București, în funcție de numărul de clădiri și de populația din județ. Dacă după prima rundă au rămas fonduri necontractate, acestea vor fi puse la dispoziția tuturor unităților administrative locale în aceleași condiții, pe baza principiului „primul venit, primul servit”. </w:t>
      </w:r>
    </w:p>
    <w:p w14:paraId="32583A12"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Clădirile rezidențiale multifamiliale clasificate în clasa de risc seismic I sau II (RsI și RsII) vor fi excluse de la finanțarea intervențiilor care vizează exclusiv asigurarea eficienței energetice.</w:t>
      </w:r>
    </w:p>
    <w:p w14:paraId="7DB89E3A"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investițiilor prevăzute în cadrul acestei axe se va finaliza până la 30 iunie 2026.</w:t>
      </w:r>
    </w:p>
    <w:p w14:paraId="2E9B012C" w14:textId="77777777" w:rsidR="00271EF8" w:rsidRPr="000A27B3" w:rsidRDefault="00271EF8" w:rsidP="00271EF8">
      <w:pPr>
        <w:numPr>
          <w:ilvl w:val="0"/>
          <w:numId w:val="43"/>
        </w:numPr>
        <w:spacing w:before="120" w:after="120" w:line="240" w:lineRule="auto"/>
        <w:ind w:left="1080"/>
        <w:jc w:val="both"/>
        <w:rPr>
          <w:rFonts w:ascii="Times New Roman" w:hAnsi="Times New Roman" w:cs="Times New Roman"/>
          <w:noProof/>
          <w:sz w:val="24"/>
          <w:u w:val="single"/>
        </w:rPr>
      </w:pPr>
      <w:r>
        <w:rPr>
          <w:rFonts w:ascii="Times New Roman" w:hAnsi="Times New Roman"/>
          <w:noProof/>
          <w:sz w:val="24"/>
          <w:u w:val="single"/>
        </w:rPr>
        <w:t>Axa 2 – Investiții în clădiri publice pentru o tranziție rezilientă și verde</w:t>
      </w:r>
    </w:p>
    <w:p w14:paraId="0B88B042" w14:textId="7CC05A21"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Până la 31 martie 2022 se va institui o schemă națională de sprijin pentru renovare ce vizează asigurarea eficienței energetice și renovarea integrată (consolidare seismică și eficiență energetică) a clădirilor publice. Obiectivul investiției este de a realiza economii totale de CO</w:t>
      </w:r>
      <w:r>
        <w:rPr>
          <w:rFonts w:ascii="Times New Roman" w:hAnsi="Times New Roman"/>
          <w:noProof/>
          <w:sz w:val="24"/>
          <w:vertAlign w:val="subscript"/>
        </w:rPr>
        <w:t>2</w:t>
      </w:r>
      <w:r>
        <w:rPr>
          <w:rFonts w:ascii="Times New Roman" w:hAnsi="Times New Roman"/>
          <w:noProof/>
          <w:sz w:val="24"/>
        </w:rPr>
        <w:t xml:space="preserve"> de cel puțin 0,059 milioane de tone și economii totale de energie primară de cel puțin 0,0168</w:t>
      </w:r>
      <w:r w:rsidR="000048C5">
        <w:rPr>
          <w:rFonts w:ascii="Times New Roman" w:hAnsi="Times New Roman"/>
          <w:noProof/>
          <w:sz w:val="24"/>
        </w:rPr>
        <w:t> </w:t>
      </w:r>
      <w:r>
        <w:rPr>
          <w:rFonts w:ascii="Times New Roman" w:hAnsi="Times New Roman"/>
          <w:noProof/>
          <w:sz w:val="24"/>
        </w:rPr>
        <w:t>Mtep. Schema va stipula că se așteaptă ca toate renovările să obțină, în medie, o reducere de cel puțin 30 % a necesarului de energie primară. În cazul renovărilor majore ale clădirilor care au peste 10 de locuri de parcare, se va asigura faptul că este instalat cel puțin un punct de reîncărcare pentru vehiculele electrice sau infrastructură încastrată.</w:t>
      </w:r>
    </w:p>
    <w:p w14:paraId="15DE7B18"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Ministerul Dezvoltării, Lucrărilor Publice și Administrației va monitoriza implementarea, iar lucrările se vor realiza fie prin intermediul Companiei Naționale de Investiții, fie direct de către consiliile centrale, județene, municipiile care sunt reședință de județ și alte municipalități relevante, inclusiv cele șase sectoare ale municipiului București. Ministerul va fi responsabil cu publicarea cererilor de propuneri pentru autoritățile publice. În măsura posibilului, cererile vor fi agregate în pachete centralizate de achiziții de mari dimensiuni și de caiete de sarcini standard, cu indicatori de performanță și cerințe specifice, și vor fi elaborate procedurile de evaluare tehnică și economică.</w:t>
      </w:r>
    </w:p>
    <w:p w14:paraId="1324F427"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Va fi organizată o cerere de proiecte integrate (consolidare seismică și eficiență energetică) pentru unitățile administrative locale situate în zonele cu cel mai mare risc seismic. O cerere separată de proiecte va acoperi renovările energetice moderate (80 %) și cele aprofundate (20 %). Dacă după prima rundă au rămas fonduri necontractate, acestea vor fi puse la dispoziția tuturor unităților administrative locale în aceleași condiții, pe baza principiului „primul venit, primul servit”. </w:t>
      </w:r>
    </w:p>
    <w:p w14:paraId="0BB74AFF"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Clădirile publice clasificate în clasele de risc seismic RsI și RsII vor fi excluse de la finanțarea intervențiilor care vizează exclusiv eficiența energetică.</w:t>
      </w:r>
    </w:p>
    <w:p w14:paraId="64D880F2" w14:textId="77777777" w:rsidR="007316B7" w:rsidRDefault="00271EF8" w:rsidP="007316B7">
      <w:pPr>
        <w:spacing w:before="120" w:after="120" w:line="240" w:lineRule="auto"/>
        <w:jc w:val="both"/>
        <w:rPr>
          <w:rFonts w:ascii="Times New Roman" w:hAnsi="Times New Roman"/>
          <w:noProof/>
          <w:sz w:val="24"/>
        </w:rPr>
      </w:pPr>
      <w:r>
        <w:rPr>
          <w:rFonts w:ascii="Times New Roman" w:hAnsi="Times New Roman"/>
          <w:noProof/>
          <w:sz w:val="24"/>
        </w:rPr>
        <w:t>Implementarea investițiilor prevăzute în cadrul acestei axe se va finaliza până la 30 iunie 2026.</w:t>
      </w:r>
    </w:p>
    <w:p w14:paraId="7F422A29" w14:textId="77777777" w:rsidR="007316B7" w:rsidRPr="000A27B3" w:rsidRDefault="00271EF8" w:rsidP="007316B7">
      <w:pPr>
        <w:pStyle w:val="Standard"/>
        <w:spacing w:before="240"/>
        <w:jc w:val="both"/>
        <w:rPr>
          <w:rFonts w:ascii="Times New Roman" w:eastAsiaTheme="majorEastAsia" w:hAnsi="Times New Roman" w:cs="Times New Roman"/>
          <w:noProof/>
          <w:u w:val="single"/>
        </w:rPr>
      </w:pPr>
      <w:r>
        <w:rPr>
          <w:noProof/>
          <w:u w:val="single"/>
        </w:rPr>
        <w:t xml:space="preserve">Investiția 2. Realizarea Registrului național al clădirilor </w:t>
      </w:r>
    </w:p>
    <w:p w14:paraId="62C76BD5"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crea o bază de date națională privind parcul imobiliar, care să indice informațiile esențiale, cum ar fi tipologia clădirii, consumul său de energie și riscul seismic. Baza de date va contribui la elaborarea de analize de politică și la formularea și evaluarea programelor, la identificarea clădirilor vizate de diferitele programe, la identificarea performanțelor slabe/ridicate, la prioritizarea investițiilor și la monitorizarea progreselor globale.</w:t>
      </w:r>
    </w:p>
    <w:p w14:paraId="1780A917" w14:textId="77777777" w:rsidR="00271EF8" w:rsidRPr="000A27B3" w:rsidRDefault="00271EF8">
      <w:pPr>
        <w:spacing w:before="120" w:after="120" w:line="240" w:lineRule="auto"/>
        <w:jc w:val="both"/>
        <w:rPr>
          <w:rFonts w:ascii="Times New Roman" w:eastAsia="Arial" w:hAnsi="Times New Roman" w:cs="Times New Roman"/>
          <w:noProof/>
          <w:sz w:val="24"/>
        </w:rPr>
      </w:pPr>
      <w:r>
        <w:rPr>
          <w:rFonts w:ascii="Times New Roman" w:hAnsi="Times New Roman"/>
          <w:noProof/>
          <w:sz w:val="24"/>
        </w:rPr>
        <w:t>Investiția va institui un Registru național al clădirilor, care va fi un sistem informatic pentru parcul imobiliar național public și privat existent. Registrul va fi georeferențiat, corelat și interoperabil cu bazele de date urbane de la nivel local și cu alte sisteme și registre naționale. În prima fază-pilot, registrul va include o secțiune cu informații privind toate clădirile renovate în cadrul Planului de redresare și reziliență. Acest lucru va permite monitorizarea consumului de energie al acestor clădiri.</w:t>
      </w:r>
    </w:p>
    <w:p w14:paraId="3DE3A19C" w14:textId="77777777" w:rsidR="00271EF8" w:rsidRPr="000A27B3" w:rsidRDefault="00271EF8">
      <w:pPr>
        <w:spacing w:before="120" w:after="120" w:line="240" w:lineRule="auto"/>
        <w:jc w:val="both"/>
        <w:rPr>
          <w:rFonts w:ascii="Times New Roman" w:eastAsia="Arial" w:hAnsi="Times New Roman" w:cs="Times New Roman"/>
          <w:noProof/>
          <w:sz w:val="24"/>
        </w:rPr>
      </w:pPr>
      <w:r>
        <w:rPr>
          <w:rFonts w:ascii="Times New Roman" w:hAnsi="Times New Roman"/>
          <w:noProof/>
          <w:sz w:val="24"/>
        </w:rPr>
        <w:t>Pașaportul energetic al clădirilor va face parte din logbook și va conține în format digital toate informațiile legate de intervențiile legate de energie. Logbook-urile vor face parte din Registrul național al clădirilor ca un sistem integrat.</w:t>
      </w:r>
    </w:p>
    <w:p w14:paraId="60BBB7BC"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Registrul național al clădirilor va deveni disponibil online, împreună cu secțiunea-pilot, până la 31 decembrie 2024.</w:t>
      </w:r>
    </w:p>
    <w:p w14:paraId="1C848DE0"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Investiția 3. Consolidarea capacității profesionale a specialiștilor și lucrătorilor în domeniul construcțiilor prin elaborarea de cursuri de formare privind eficiența energetică a construcțiilor</w:t>
      </w:r>
    </w:p>
    <w:p w14:paraId="24439767"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investiției este de a completa investițiile în renovarea clădirilor prin consolidarea competențelor și a capacității profesioniștilor și a forței de muncă din sectorul construcțiilor, care este în prezent insuficientă pentru a realiza renovările energetice ambițioase necesare. </w:t>
      </w:r>
    </w:p>
    <w:p w14:paraId="501419C4"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Programele de formare vor consta în cursuri de scurtă durată în cadrul programelor de învățare pe tot parcursul vieții pentru îmbunătățirea competențelor profesioniștilor și ale forței de muncă care ocupă locuri de muncă ecologice în contextul renovării energetice a clădirilor și urmează să fie oferite în diferite regiuni răspândite uniform pe teritoriul României. Vor fi create parteneriate între centrele de formare, universități și instituțiile relevante. Sesiunile de formare vor fi structurate în module și vor include atât cursuri teoretice, cât și practice. Investiția va acoperi participarea persoanelor cu handicap la cursuri/programe specializate și de formare.</w:t>
      </w:r>
    </w:p>
    <w:p w14:paraId="2E2D5BC1"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dezvolta 10 scheme de certificare în domeniul performanței energetice a clădirilor pentru specialiști și calificări pentru lucrătorii din construcții, acoperind un număr total de cel puțin 8 000 de persoane.</w:t>
      </w:r>
    </w:p>
    <w:p w14:paraId="1D25D601"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2023.</w:t>
      </w:r>
    </w:p>
    <w:p w14:paraId="4F8FA480" w14:textId="77777777" w:rsidR="00271EF8" w:rsidRPr="000A27B3" w:rsidRDefault="00271EF8">
      <w:pPr>
        <w:pStyle w:val="Standard"/>
        <w:spacing w:before="240"/>
        <w:jc w:val="both"/>
        <w:rPr>
          <w:rFonts w:ascii="Times New Roman" w:eastAsiaTheme="majorEastAsia" w:hAnsi="Times New Roman" w:cs="Times New Roman"/>
          <w:noProof/>
          <w:u w:val="single"/>
        </w:rPr>
      </w:pPr>
      <w:r>
        <w:rPr>
          <w:noProof/>
          <w:u w:val="single"/>
        </w:rPr>
        <w:t>Investiția 4. Economie circulară și creșterea eficienței energetice a clădirilor istorice</w:t>
      </w:r>
    </w:p>
    <w:p w14:paraId="54A6AEEC" w14:textId="77777777" w:rsidR="00271EF8" w:rsidRPr="000A27B3" w:rsidRDefault="00271EF8">
      <w:pPr>
        <w:spacing w:before="120" w:after="120" w:line="240" w:lineRule="auto"/>
        <w:jc w:val="both"/>
        <w:rPr>
          <w:rFonts w:ascii="Times New Roman" w:eastAsia="Arial" w:hAnsi="Times New Roman" w:cs="Times New Roman"/>
          <w:noProof/>
          <w:sz w:val="24"/>
        </w:rPr>
      </w:pPr>
      <w:r>
        <w:rPr>
          <w:rFonts w:ascii="Times New Roman" w:hAnsi="Times New Roman"/>
          <w:noProof/>
          <w:sz w:val="24"/>
        </w:rPr>
        <w:t>Obiectivul acestei investiții este de a aborda provocările legate de renovarea energetică a clădirilor istorice și de eficiența resurselor, cum ar fi monumentele istorice și clădirile situate în zone protejate, printr-o abordare interdisciplinară și integrată care pune în aplicare principiile sustenabilității și economiei circulare, în conformitate cu „Strategia națională privind protejarea monumentelor istorice”. Investiția va promova colectarea, repararea și reutilizarea materialelor rezultate din lucrările de renovare a clădirilor istorice, contribuind astfel atât la obiectivele privind conservarea patrimoniului, cât și la obiectivele privind clima și eficiența energetică și a resurselor, în conformitate cu Strategia UE „Valul de renovări ale clădirilor”.</w:t>
      </w:r>
    </w:p>
    <w:p w14:paraId="19916735" w14:textId="1F00E60C"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Scopul investiției este de i) a dezvolta și a testa noi materiale și soluții tehnologice pentru intervențiile în materie de eficiență energetică și a resurselor a clădirilor istorice; ii) a dezvolta aptitudinile profesionale aferente intervențiilor în materie de eficiență energetică și eficiență a resurselor a clădirilor istorice; iii) a crea un centru-pilot pentru colectarea și reutilizarea materialelor de construcții provenite din demolarea construcțiilor istorice; iv) a asigura întreținerea periodică a clădirilor istorice.</w:t>
      </w:r>
      <w:r w:rsidR="004C4C72">
        <w:rPr>
          <w:rFonts w:ascii="Times New Roman" w:hAnsi="Times New Roman"/>
          <w:noProof/>
          <w:sz w:val="24"/>
        </w:rPr>
        <w:t xml:space="preserve"> </w:t>
      </w:r>
    </w:p>
    <w:p w14:paraId="7A311D10" w14:textId="77777777" w:rsidR="00271EF8" w:rsidRPr="000A27B3" w:rsidRDefault="00271EF8">
      <w:pPr>
        <w:spacing w:before="120" w:after="120" w:line="240" w:lineRule="auto"/>
        <w:jc w:val="both"/>
        <w:rPr>
          <w:rFonts w:ascii="Times New Roman" w:hAnsi="Times New Roman" w:cs="Times New Roman"/>
          <w:noProof/>
          <w:sz w:val="24"/>
          <w:szCs w:val="24"/>
        </w:rPr>
      </w:pPr>
      <w:r>
        <w:rPr>
          <w:rFonts w:ascii="Times New Roman" w:hAnsi="Times New Roman"/>
          <w:noProof/>
          <w:sz w:val="24"/>
        </w:rPr>
        <w:t>Un centru-pilot din cadrul Institutului Național al Patrimoniului pentru colectarea și reutilizarea materialelor de construcții istorice va deveni operațional până la 31 decembrie 2024, iar până la 31 decembrie 2025 vor fi dezvoltate 2 sisteme de certificare pentru intervențiile în materie de eficiență energetică și a resurselor a clădirilor istorice, acoperind un total de cel puțin 200 de persoane.</w:t>
      </w:r>
    </w:p>
    <w:p w14:paraId="4934F396" w14:textId="77777777" w:rsidR="00271EF8" w:rsidRPr="009F1DC7" w:rsidRDefault="00271EF8">
      <w:pPr>
        <w:spacing w:before="120" w:after="120" w:line="240" w:lineRule="auto"/>
        <w:ind w:left="850"/>
        <w:jc w:val="both"/>
        <w:rPr>
          <w:rFonts w:ascii="Times New Roman" w:hAnsi="Times New Roman" w:cs="Times New Roman"/>
          <w:noProof/>
          <w:sz w:val="24"/>
          <w:szCs w:val="24"/>
        </w:rPr>
        <w:sectPr w:rsidR="00271EF8" w:rsidRPr="009F1DC7">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20"/>
          <w:docGrid w:linePitch="360"/>
        </w:sectPr>
      </w:pPr>
    </w:p>
    <w:p w14:paraId="0F71963D" w14:textId="77777777" w:rsidR="00271EF8" w:rsidRPr="000A27B3" w:rsidRDefault="00271EF8">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E.2. </w:t>
      </w:r>
      <w:r>
        <w:rPr>
          <w:noProof/>
        </w:rPr>
        <w:tab/>
      </w:r>
      <w:r>
        <w:rPr>
          <w:rFonts w:ascii="Times New Roman" w:hAnsi="Times New Roman"/>
          <w:b/>
          <w:noProof/>
          <w:sz w:val="24"/>
        </w:rPr>
        <w:t>Jaloane, ținte, indicatori și calendarul de monitorizare și implementare aplicabile împrumutului</w:t>
      </w:r>
    </w:p>
    <w:tbl>
      <w:tblPr>
        <w:tblW w:w="15168" w:type="dxa"/>
        <w:jc w:val="center"/>
        <w:tblLayout w:type="fixed"/>
        <w:tblLook w:val="04A0" w:firstRow="1" w:lastRow="0" w:firstColumn="1" w:lastColumn="0" w:noHBand="0" w:noVBand="1"/>
      </w:tblPr>
      <w:tblGrid>
        <w:gridCol w:w="838"/>
        <w:gridCol w:w="1532"/>
        <w:gridCol w:w="1252"/>
        <w:gridCol w:w="1807"/>
        <w:gridCol w:w="1807"/>
        <w:gridCol w:w="1039"/>
        <w:gridCol w:w="1200"/>
        <w:gridCol w:w="1103"/>
        <w:gridCol w:w="1297"/>
        <w:gridCol w:w="720"/>
        <w:gridCol w:w="2573"/>
      </w:tblGrid>
      <w:tr w:rsidR="000A27B3" w:rsidRPr="000A27B3" w14:paraId="3FD654DA" w14:textId="77777777" w:rsidTr="000048C5">
        <w:trPr>
          <w:trHeight w:val="303"/>
          <w:tblHeader/>
          <w:jc w:val="center"/>
        </w:trPr>
        <w:tc>
          <w:tcPr>
            <w:tcW w:w="8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39D6659"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6C230D"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895E7A" w14:textId="7A4E9C05"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0048C5">
              <w:rPr>
                <w:rFonts w:ascii="Times New Roman" w:hAnsi="Times New Roman"/>
                <w:b/>
                <w:noProof/>
                <w:sz w:val="24"/>
              </w:rPr>
              <w:br/>
            </w:r>
            <w:r>
              <w:rPr>
                <w:rFonts w:ascii="Times New Roman" w:hAnsi="Times New Roman"/>
                <w:b/>
                <w:noProof/>
                <w:sz w:val="24"/>
              </w:rPr>
              <w:t>țintă</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FA1D00"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5376910" w14:textId="1B4CF5F2"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34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9C6390B" w14:textId="3218590D"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17" w:type="dxa"/>
            <w:gridSpan w:val="2"/>
            <w:tcBorders>
              <w:top w:val="single" w:sz="4" w:space="0" w:color="auto"/>
              <w:left w:val="nil"/>
              <w:bottom w:val="single" w:sz="4" w:space="0" w:color="auto"/>
              <w:right w:val="single" w:sz="4" w:space="0" w:color="auto"/>
            </w:tcBorders>
            <w:shd w:val="clear" w:color="auto" w:fill="BDD7EE"/>
            <w:vAlign w:val="center"/>
            <w:hideMark/>
          </w:tcPr>
          <w:p w14:paraId="0487379D" w14:textId="076559C9"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0048C5">
              <w:rPr>
                <w:rFonts w:ascii="Times New Roman" w:hAnsi="Times New Roman"/>
                <w:b/>
                <w:noProof/>
                <w:sz w:val="24"/>
              </w:rPr>
              <w:br/>
            </w:r>
            <w:r>
              <w:rPr>
                <w:rFonts w:ascii="Times New Roman" w:hAnsi="Times New Roman"/>
                <w:b/>
                <w:noProof/>
                <w:sz w:val="24"/>
              </w:rPr>
              <w:t>țintelor</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6D22A1"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49A442B" w14:textId="77777777" w:rsidTr="000048C5">
        <w:trPr>
          <w:trHeight w:val="457"/>
          <w:tblHeader/>
          <w:jc w:val="center"/>
        </w:trPr>
        <w:tc>
          <w:tcPr>
            <w:tcW w:w="838" w:type="dxa"/>
            <w:vMerge/>
            <w:tcBorders>
              <w:top w:val="single" w:sz="4" w:space="0" w:color="auto"/>
              <w:left w:val="single" w:sz="4" w:space="0" w:color="auto"/>
              <w:bottom w:val="single" w:sz="4" w:space="0" w:color="auto"/>
              <w:right w:val="single" w:sz="4" w:space="0" w:color="auto"/>
            </w:tcBorders>
            <w:hideMark/>
          </w:tcPr>
          <w:p w14:paraId="1C820B49" w14:textId="77777777" w:rsidR="00271EF8" w:rsidRPr="009F1DC7" w:rsidRDefault="00271EF8">
            <w:pPr>
              <w:spacing w:after="0" w:line="240" w:lineRule="auto"/>
              <w:jc w:val="center"/>
              <w:rPr>
                <w:rFonts w:ascii="Times New Roman" w:eastAsia="Times New Roman" w:hAnsi="Times New Roman" w:cs="Times New Roman"/>
                <w:b/>
                <w:bCs/>
                <w:noProof/>
                <w:sz w:val="24"/>
                <w:szCs w:val="24"/>
                <w:lang w:eastAsia="en-GB"/>
              </w:rPr>
            </w:pPr>
          </w:p>
        </w:tc>
        <w:tc>
          <w:tcPr>
            <w:tcW w:w="1532" w:type="dxa"/>
            <w:vMerge/>
            <w:tcBorders>
              <w:top w:val="single" w:sz="4" w:space="0" w:color="auto"/>
              <w:left w:val="single" w:sz="4" w:space="0" w:color="auto"/>
              <w:bottom w:val="single" w:sz="4" w:space="0" w:color="auto"/>
              <w:right w:val="single" w:sz="4" w:space="0" w:color="auto"/>
            </w:tcBorders>
            <w:hideMark/>
          </w:tcPr>
          <w:p w14:paraId="43F7AC10" w14:textId="77777777" w:rsidR="00271EF8" w:rsidRPr="009F1DC7" w:rsidRDefault="00271EF8">
            <w:pPr>
              <w:spacing w:after="0" w:line="240" w:lineRule="auto"/>
              <w:jc w:val="both"/>
              <w:rPr>
                <w:rFonts w:ascii="Times New Roman" w:eastAsia="Times New Roman" w:hAnsi="Times New Roman" w:cs="Times New Roman"/>
                <w:b/>
                <w:bCs/>
                <w:noProof/>
                <w:sz w:val="24"/>
                <w:szCs w:val="24"/>
                <w:lang w:eastAsia="en-GB"/>
              </w:rPr>
            </w:pPr>
          </w:p>
        </w:tc>
        <w:tc>
          <w:tcPr>
            <w:tcW w:w="1252" w:type="dxa"/>
            <w:vMerge/>
            <w:tcBorders>
              <w:top w:val="single" w:sz="4" w:space="0" w:color="auto"/>
              <w:left w:val="single" w:sz="4" w:space="0" w:color="auto"/>
              <w:bottom w:val="single" w:sz="4" w:space="0" w:color="auto"/>
              <w:right w:val="single" w:sz="4" w:space="0" w:color="auto"/>
            </w:tcBorders>
            <w:hideMark/>
          </w:tcPr>
          <w:p w14:paraId="0F90B2AA" w14:textId="77777777" w:rsidR="00271EF8" w:rsidRPr="009F1DC7" w:rsidRDefault="00271EF8">
            <w:pPr>
              <w:spacing w:after="0" w:line="240" w:lineRule="auto"/>
              <w:jc w:val="center"/>
              <w:rPr>
                <w:rFonts w:ascii="Times New Roman" w:eastAsia="Times New Roman" w:hAnsi="Times New Roman" w:cs="Times New Roman"/>
                <w:b/>
                <w:bCs/>
                <w:noProof/>
                <w:sz w:val="24"/>
                <w:szCs w:val="24"/>
                <w:lang w:eastAsia="en-GB"/>
              </w:rPr>
            </w:pPr>
          </w:p>
        </w:tc>
        <w:tc>
          <w:tcPr>
            <w:tcW w:w="1807" w:type="dxa"/>
            <w:vMerge/>
            <w:tcBorders>
              <w:top w:val="single" w:sz="4" w:space="0" w:color="auto"/>
              <w:left w:val="single" w:sz="4" w:space="0" w:color="auto"/>
              <w:bottom w:val="single" w:sz="4" w:space="0" w:color="auto"/>
              <w:right w:val="single" w:sz="4" w:space="0" w:color="auto"/>
            </w:tcBorders>
            <w:hideMark/>
          </w:tcPr>
          <w:p w14:paraId="3D22D6DC" w14:textId="77777777" w:rsidR="00271EF8" w:rsidRPr="009F1DC7" w:rsidRDefault="00271EF8">
            <w:pPr>
              <w:spacing w:after="0" w:line="240" w:lineRule="auto"/>
              <w:jc w:val="both"/>
              <w:rPr>
                <w:rFonts w:ascii="Times New Roman" w:eastAsia="Times New Roman" w:hAnsi="Times New Roman" w:cs="Times New Roman"/>
                <w:b/>
                <w:bCs/>
                <w:noProof/>
                <w:sz w:val="24"/>
                <w:szCs w:val="24"/>
                <w:lang w:eastAsia="en-GB"/>
              </w:rPr>
            </w:pPr>
          </w:p>
        </w:tc>
        <w:tc>
          <w:tcPr>
            <w:tcW w:w="1807" w:type="dxa"/>
            <w:vMerge/>
            <w:tcBorders>
              <w:top w:val="single" w:sz="4" w:space="0" w:color="auto"/>
              <w:left w:val="single" w:sz="4" w:space="0" w:color="auto"/>
              <w:bottom w:val="single" w:sz="4" w:space="0" w:color="auto"/>
              <w:right w:val="single" w:sz="4" w:space="0" w:color="auto"/>
            </w:tcBorders>
            <w:hideMark/>
          </w:tcPr>
          <w:p w14:paraId="7C998B1D" w14:textId="77777777" w:rsidR="00271EF8" w:rsidRPr="009F1DC7" w:rsidRDefault="00271EF8">
            <w:pPr>
              <w:spacing w:after="0" w:line="240" w:lineRule="auto"/>
              <w:jc w:val="both"/>
              <w:rPr>
                <w:rFonts w:ascii="Times New Roman" w:eastAsia="Times New Roman" w:hAnsi="Times New Roman" w:cs="Times New Roman"/>
                <w:b/>
                <w:bCs/>
                <w:noProof/>
                <w:sz w:val="24"/>
                <w:szCs w:val="24"/>
                <w:lang w:eastAsia="en-GB"/>
              </w:rPr>
            </w:pPr>
          </w:p>
        </w:tc>
        <w:tc>
          <w:tcPr>
            <w:tcW w:w="1039" w:type="dxa"/>
            <w:tcBorders>
              <w:top w:val="nil"/>
              <w:left w:val="single" w:sz="4" w:space="0" w:color="auto"/>
              <w:bottom w:val="single" w:sz="4" w:space="0" w:color="auto"/>
              <w:right w:val="single" w:sz="4" w:space="0" w:color="auto"/>
            </w:tcBorders>
            <w:shd w:val="clear" w:color="auto" w:fill="BDD7EE"/>
            <w:vAlign w:val="center"/>
            <w:hideMark/>
          </w:tcPr>
          <w:p w14:paraId="297AC588"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00" w:type="dxa"/>
            <w:tcBorders>
              <w:top w:val="nil"/>
              <w:left w:val="nil"/>
              <w:bottom w:val="single" w:sz="4" w:space="0" w:color="auto"/>
              <w:right w:val="single" w:sz="4" w:space="0" w:color="auto"/>
            </w:tcBorders>
            <w:shd w:val="clear" w:color="auto" w:fill="BDD7EE"/>
            <w:vAlign w:val="center"/>
            <w:hideMark/>
          </w:tcPr>
          <w:p w14:paraId="65F8BEC2"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103" w:type="dxa"/>
            <w:tcBorders>
              <w:top w:val="nil"/>
              <w:left w:val="nil"/>
              <w:bottom w:val="single" w:sz="4" w:space="0" w:color="auto"/>
              <w:right w:val="single" w:sz="4" w:space="0" w:color="auto"/>
            </w:tcBorders>
            <w:shd w:val="clear" w:color="auto" w:fill="BDD7EE"/>
            <w:vAlign w:val="center"/>
            <w:hideMark/>
          </w:tcPr>
          <w:p w14:paraId="12BAF5D7"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297" w:type="dxa"/>
            <w:tcBorders>
              <w:top w:val="nil"/>
              <w:left w:val="nil"/>
              <w:bottom w:val="single" w:sz="4" w:space="0" w:color="auto"/>
              <w:right w:val="single" w:sz="4" w:space="0" w:color="auto"/>
            </w:tcBorders>
            <w:shd w:val="clear" w:color="auto" w:fill="BDD7EE"/>
            <w:vAlign w:val="center"/>
            <w:hideMark/>
          </w:tcPr>
          <w:p w14:paraId="2975F905"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20" w:type="dxa"/>
            <w:tcBorders>
              <w:top w:val="nil"/>
              <w:left w:val="nil"/>
              <w:bottom w:val="single" w:sz="4" w:space="0" w:color="auto"/>
              <w:right w:val="single" w:sz="4" w:space="0" w:color="auto"/>
            </w:tcBorders>
            <w:shd w:val="clear" w:color="auto" w:fill="BDD7EE"/>
            <w:vAlign w:val="center"/>
            <w:hideMark/>
          </w:tcPr>
          <w:p w14:paraId="2DDF0C56" w14:textId="77777777" w:rsidR="00271EF8" w:rsidRPr="000A27B3" w:rsidRDefault="00271EF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2573" w:type="dxa"/>
            <w:vMerge/>
            <w:tcBorders>
              <w:top w:val="single" w:sz="4" w:space="0" w:color="auto"/>
              <w:bottom w:val="single" w:sz="4" w:space="0" w:color="auto"/>
              <w:right w:val="single" w:sz="4" w:space="0" w:color="auto"/>
            </w:tcBorders>
            <w:hideMark/>
          </w:tcPr>
          <w:p w14:paraId="60E8F8B6" w14:textId="77777777" w:rsidR="00271EF8" w:rsidRPr="000A27B3" w:rsidRDefault="00271EF8">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73B753B1" w14:textId="77777777" w:rsidTr="000048C5">
        <w:trPr>
          <w:trHeight w:val="3150"/>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hideMark/>
          </w:tcPr>
          <w:p w14:paraId="0D360E9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90</w:t>
            </w:r>
          </w:p>
        </w:tc>
        <w:tc>
          <w:tcPr>
            <w:tcW w:w="1532" w:type="dxa"/>
            <w:tcBorders>
              <w:top w:val="single" w:sz="4" w:space="0" w:color="auto"/>
              <w:left w:val="single" w:sz="4" w:space="0" w:color="auto"/>
              <w:bottom w:val="single" w:sz="4" w:space="0" w:color="auto"/>
              <w:right w:val="single" w:sz="4" w:space="0" w:color="auto"/>
            </w:tcBorders>
            <w:shd w:val="clear" w:color="auto" w:fill="C6EFCE"/>
            <w:noWrap/>
            <w:hideMark/>
          </w:tcPr>
          <w:p w14:paraId="6DDAC96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Realizarea unui cadru normativ simplificat și actualizat care să sprijine implementarea investițiilor în tranziția spre clădiri verzi și reziliente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hideMark/>
          </w:tcPr>
          <w:p w14:paraId="7D6DCC6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7848B1EF" w14:textId="1438ABEF"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modificărilor aduse cadrului legislativ existent privind programul național multianual privind creșterea performanței energetice a blocurilor de locuințe (Ordonanța de urgență a Guvernului nr. 18/2009) </w:t>
            </w:r>
            <w:r>
              <w:rPr>
                <w:noProof/>
              </w:rPr>
              <w:br/>
            </w:r>
          </w:p>
        </w:tc>
        <w:tc>
          <w:tcPr>
            <w:tcW w:w="1807" w:type="dxa"/>
            <w:tcBorders>
              <w:top w:val="single" w:sz="4" w:space="0" w:color="auto"/>
              <w:left w:val="nil"/>
              <w:bottom w:val="single" w:sz="4" w:space="0" w:color="auto"/>
              <w:right w:val="single" w:sz="4" w:space="0" w:color="auto"/>
            </w:tcBorders>
            <w:shd w:val="clear" w:color="auto" w:fill="C6EFCE"/>
            <w:noWrap/>
            <w:hideMark/>
          </w:tcPr>
          <w:p w14:paraId="17DF288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modificărilor aduse Ordonanței de urgență a Guvernului nr. 18/2009</w:t>
            </w:r>
          </w:p>
          <w:p w14:paraId="6722322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p w14:paraId="25EC13EF"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p w14:paraId="6CC59003"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p w14:paraId="7232BB46" w14:textId="77777777" w:rsidR="00271EF8" w:rsidRPr="000A27B3" w:rsidRDefault="00271EF8">
            <w:pPr>
              <w:spacing w:after="0" w:line="240" w:lineRule="auto"/>
              <w:jc w:val="both"/>
              <w:rPr>
                <w:rFonts w:ascii="Times New Roman" w:eastAsia="Times New Roman" w:hAnsi="Times New Roman" w:cs="Times New Roman"/>
                <w:strike/>
                <w:noProof/>
                <w:sz w:val="24"/>
                <w:szCs w:val="24"/>
                <w:lang w:val="en-GB" w:eastAsia="en-GB"/>
              </w:rPr>
            </w:pPr>
          </w:p>
        </w:tc>
        <w:tc>
          <w:tcPr>
            <w:tcW w:w="1039" w:type="dxa"/>
            <w:tcBorders>
              <w:top w:val="nil"/>
              <w:left w:val="nil"/>
              <w:bottom w:val="single" w:sz="4" w:space="0" w:color="auto"/>
              <w:right w:val="single" w:sz="4" w:space="0" w:color="auto"/>
            </w:tcBorders>
            <w:shd w:val="clear" w:color="auto" w:fill="C6EFCE"/>
            <w:noWrap/>
            <w:hideMark/>
          </w:tcPr>
          <w:p w14:paraId="1F4753C2"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0E64FF8A"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nil"/>
              <w:left w:val="nil"/>
              <w:bottom w:val="single" w:sz="4" w:space="0" w:color="auto"/>
              <w:right w:val="single" w:sz="4" w:space="0" w:color="auto"/>
            </w:tcBorders>
            <w:shd w:val="clear" w:color="auto" w:fill="C6EFCE"/>
            <w:noWrap/>
            <w:hideMark/>
          </w:tcPr>
          <w:p w14:paraId="53ABFE3D"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hideMark/>
          </w:tcPr>
          <w:p w14:paraId="0845515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hideMark/>
          </w:tcPr>
          <w:p w14:paraId="664E2EA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single" w:sz="4" w:space="0" w:color="auto"/>
              <w:left w:val="single" w:sz="4" w:space="0" w:color="auto"/>
              <w:bottom w:val="single" w:sz="4" w:space="0" w:color="auto"/>
              <w:right w:val="single" w:sz="4" w:space="0" w:color="auto"/>
            </w:tcBorders>
            <w:shd w:val="clear" w:color="auto" w:fill="C6EFCE"/>
            <w:noWrap/>
            <w:hideMark/>
          </w:tcPr>
          <w:p w14:paraId="6060916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Modificările aduse programului național multianual de îmbunătățire a performanței energetice a clădirilor rezidențiale vor spori nivelul de ambiție al renovărilor energetice, ducând la economii de energie primară de cel puțin 30 % și de până la 60 % pentru clădirile rezidențiale, prin stabilirea unei liste actualizate de cheltuieli pentru renovările moderate sau aprofundate care vor fi eligibile pentru sprijin și prin creșterea nivelului de ambiție al indicatorilor de performanță pentru proiectele prezentate în cadrul programului.</w:t>
            </w:r>
          </w:p>
        </w:tc>
      </w:tr>
      <w:tr w:rsidR="000A27B3" w:rsidRPr="000A27B3" w14:paraId="77AC0AF3" w14:textId="77777777" w:rsidTr="000048C5">
        <w:trPr>
          <w:trHeight w:val="309"/>
          <w:jc w:val="center"/>
        </w:trPr>
        <w:tc>
          <w:tcPr>
            <w:tcW w:w="838" w:type="dxa"/>
            <w:tcBorders>
              <w:top w:val="nil"/>
              <w:left w:val="single" w:sz="4" w:space="0" w:color="auto"/>
              <w:bottom w:val="single" w:sz="4" w:space="0" w:color="auto"/>
              <w:right w:val="single" w:sz="4" w:space="0" w:color="auto"/>
            </w:tcBorders>
            <w:shd w:val="clear" w:color="auto" w:fill="C6EFCE"/>
            <w:noWrap/>
          </w:tcPr>
          <w:p w14:paraId="5B12926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91</w:t>
            </w:r>
          </w:p>
        </w:tc>
        <w:tc>
          <w:tcPr>
            <w:tcW w:w="1532" w:type="dxa"/>
            <w:tcBorders>
              <w:top w:val="nil"/>
              <w:left w:val="single" w:sz="4" w:space="0" w:color="auto"/>
              <w:bottom w:val="single" w:sz="4" w:space="0" w:color="auto"/>
              <w:right w:val="single" w:sz="4" w:space="0" w:color="auto"/>
            </w:tcBorders>
            <w:shd w:val="clear" w:color="auto" w:fill="C6EFCE"/>
            <w:noWrap/>
          </w:tcPr>
          <w:p w14:paraId="72866E6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Realizarea unui cadru normativ simplificat și actualizat care să sprijine implementarea investițiilor în tranziția spre clădiri verzi și reziliente </w:t>
            </w:r>
          </w:p>
        </w:tc>
        <w:tc>
          <w:tcPr>
            <w:tcW w:w="1252" w:type="dxa"/>
            <w:tcBorders>
              <w:top w:val="nil"/>
              <w:left w:val="single" w:sz="4" w:space="0" w:color="auto"/>
              <w:bottom w:val="single" w:sz="4" w:space="0" w:color="auto"/>
              <w:right w:val="single" w:sz="4" w:space="0" w:color="auto"/>
            </w:tcBorders>
            <w:shd w:val="clear" w:color="auto" w:fill="C6EFCE"/>
            <w:noWrap/>
          </w:tcPr>
          <w:p w14:paraId="2A47279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nil"/>
              <w:left w:val="single" w:sz="4" w:space="0" w:color="auto"/>
              <w:bottom w:val="single" w:sz="4" w:space="0" w:color="auto"/>
              <w:right w:val="single" w:sz="4" w:space="0" w:color="auto"/>
            </w:tcBorders>
            <w:shd w:val="clear" w:color="auto" w:fill="C6EFCE"/>
            <w:noWrap/>
          </w:tcPr>
          <w:p w14:paraId="06C7679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Cadrul tehnic de reglementare privind investițiile pentru tranziția către clădiri verzi și digitale este operațional</w:t>
            </w:r>
          </w:p>
        </w:tc>
        <w:tc>
          <w:tcPr>
            <w:tcW w:w="1807" w:type="dxa"/>
            <w:tcBorders>
              <w:top w:val="nil"/>
              <w:left w:val="nil"/>
              <w:bottom w:val="single" w:sz="4" w:space="0" w:color="auto"/>
              <w:right w:val="single" w:sz="4" w:space="0" w:color="auto"/>
            </w:tcBorders>
            <w:shd w:val="clear" w:color="auto" w:fill="C6EFCE"/>
            <w:noWrap/>
          </w:tcPr>
          <w:p w14:paraId="2ADEA0A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 în Monitorul Oficial</w:t>
            </w:r>
          </w:p>
        </w:tc>
        <w:tc>
          <w:tcPr>
            <w:tcW w:w="1039" w:type="dxa"/>
            <w:tcBorders>
              <w:top w:val="nil"/>
              <w:left w:val="nil"/>
              <w:bottom w:val="single" w:sz="4" w:space="0" w:color="auto"/>
              <w:right w:val="single" w:sz="4" w:space="0" w:color="auto"/>
            </w:tcBorders>
            <w:shd w:val="clear" w:color="auto" w:fill="C6EFCE"/>
            <w:noWrap/>
          </w:tcPr>
          <w:p w14:paraId="39C58CAB"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6AB254D5"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nil"/>
              <w:left w:val="nil"/>
              <w:bottom w:val="single" w:sz="4" w:space="0" w:color="auto"/>
              <w:right w:val="single" w:sz="4" w:space="0" w:color="auto"/>
            </w:tcBorders>
            <w:shd w:val="clear" w:color="auto" w:fill="C6EFCE"/>
            <w:noWrap/>
          </w:tcPr>
          <w:p w14:paraId="566D71FA"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3FBA74A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F1A665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tcPr>
          <w:p w14:paraId="62D5D7F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Cadrul tehnic de reglementare va include următoarele orientări adoptate și operaționale:</w:t>
            </w:r>
            <w:r>
              <w:rPr>
                <w:noProof/>
              </w:rPr>
              <w:t xml:space="preserve"> </w:t>
            </w:r>
            <w:r>
              <w:rPr>
                <w:noProof/>
              </w:rPr>
              <w:br/>
            </w:r>
            <w:r>
              <w:rPr>
                <w:rFonts w:ascii="Times New Roman" w:hAnsi="Times New Roman"/>
                <w:noProof/>
                <w:sz w:val="24"/>
              </w:rPr>
              <w:t xml:space="preserve">1. „Orientările privind clădirile cu consum de energie aproape zero (nZEB)” vor oferi îndrumări cu privire la punerea în aplicare tehnică a cerințelor privind nZEB, pentru a sprijini autoritățile administrației publice centrale responsabile cu monitorizarea punerii în aplicare a cerințelor privind nZEB; Orientările vor include indicatorii relevanți și mecanismele de colectare și monitorizare a acestora. </w:t>
            </w:r>
          </w:p>
          <w:p w14:paraId="40CC462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2. „Metodologia de intervenție pentru abordarea non-invazivă a eficienței energetice în clădiri cu valoare istorică” va stabili standarde pentru obținerea creșterea eficienței energetice și a resurselor a clădirilor istorice fără a le afecta valoarea arhitecturală și istorică. </w:t>
            </w:r>
          </w:p>
        </w:tc>
      </w:tr>
      <w:tr w:rsidR="000A27B3" w:rsidRPr="000A27B3" w14:paraId="2BECEED0" w14:textId="77777777" w:rsidTr="000048C5">
        <w:trPr>
          <w:trHeight w:val="309"/>
          <w:jc w:val="center"/>
        </w:trPr>
        <w:tc>
          <w:tcPr>
            <w:tcW w:w="838" w:type="dxa"/>
            <w:tcBorders>
              <w:top w:val="nil"/>
              <w:left w:val="single" w:sz="4" w:space="0" w:color="auto"/>
              <w:bottom w:val="single" w:sz="4" w:space="0" w:color="auto"/>
              <w:right w:val="single" w:sz="4" w:space="0" w:color="auto"/>
            </w:tcBorders>
            <w:shd w:val="clear" w:color="auto" w:fill="C6EFCE"/>
            <w:noWrap/>
          </w:tcPr>
          <w:p w14:paraId="1E2D02BE"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92</w:t>
            </w:r>
          </w:p>
        </w:tc>
        <w:tc>
          <w:tcPr>
            <w:tcW w:w="1532" w:type="dxa"/>
            <w:tcBorders>
              <w:top w:val="nil"/>
              <w:left w:val="single" w:sz="4" w:space="0" w:color="auto"/>
              <w:bottom w:val="single" w:sz="4" w:space="0" w:color="auto"/>
              <w:right w:val="single" w:sz="4" w:space="0" w:color="auto"/>
            </w:tcBorders>
            <w:shd w:val="clear" w:color="auto" w:fill="C6EFCE"/>
            <w:noWrap/>
          </w:tcPr>
          <w:p w14:paraId="3FCEED3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Realizarea unui cadru normativ simplificat și actualizat care să sprijine implementarea investițiilor în tranziția către clădiri verzi și reziliente </w:t>
            </w:r>
          </w:p>
        </w:tc>
        <w:tc>
          <w:tcPr>
            <w:tcW w:w="1252" w:type="dxa"/>
            <w:tcBorders>
              <w:top w:val="nil"/>
              <w:left w:val="single" w:sz="4" w:space="0" w:color="auto"/>
              <w:bottom w:val="single" w:sz="4" w:space="0" w:color="auto"/>
              <w:right w:val="single" w:sz="4" w:space="0" w:color="auto"/>
            </w:tcBorders>
            <w:shd w:val="clear" w:color="auto" w:fill="C6EFCE"/>
            <w:noWrap/>
          </w:tcPr>
          <w:p w14:paraId="0070428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nil"/>
              <w:left w:val="single" w:sz="4" w:space="0" w:color="auto"/>
              <w:bottom w:val="single" w:sz="4" w:space="0" w:color="auto"/>
              <w:right w:val="single" w:sz="4" w:space="0" w:color="auto"/>
            </w:tcBorders>
            <w:shd w:val="clear" w:color="auto" w:fill="C6EFCE"/>
            <w:noWrap/>
          </w:tcPr>
          <w:p w14:paraId="6DB5418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Reducerea termenelor de eliberare a autorizațiilor de construcție</w:t>
            </w:r>
          </w:p>
        </w:tc>
        <w:tc>
          <w:tcPr>
            <w:tcW w:w="1807" w:type="dxa"/>
            <w:tcBorders>
              <w:top w:val="nil"/>
              <w:left w:val="nil"/>
              <w:bottom w:val="single" w:sz="4" w:space="0" w:color="auto"/>
              <w:right w:val="single" w:sz="4" w:space="0" w:color="auto"/>
            </w:tcBorders>
            <w:shd w:val="clear" w:color="auto" w:fill="C6EFCE"/>
            <w:noWrap/>
          </w:tcPr>
          <w:p w14:paraId="5D9FEE59"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039" w:type="dxa"/>
            <w:tcBorders>
              <w:top w:val="nil"/>
              <w:left w:val="nil"/>
              <w:bottom w:val="single" w:sz="4" w:space="0" w:color="auto"/>
              <w:right w:val="single" w:sz="4" w:space="0" w:color="auto"/>
            </w:tcBorders>
            <w:shd w:val="clear" w:color="auto" w:fill="C6EFCE"/>
            <w:noWrap/>
          </w:tcPr>
          <w:p w14:paraId="5B87BFF2" w14:textId="77777777" w:rsidR="00271EF8" w:rsidRPr="000A27B3" w:rsidRDefault="00271EF8">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01DB8B2C"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5E76CBCF"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103" w:type="dxa"/>
            <w:tcBorders>
              <w:top w:val="nil"/>
              <w:left w:val="nil"/>
              <w:bottom w:val="single" w:sz="4" w:space="0" w:color="auto"/>
              <w:right w:val="single" w:sz="4" w:space="0" w:color="auto"/>
            </w:tcBorders>
            <w:shd w:val="clear" w:color="auto" w:fill="C6EFCE"/>
            <w:noWrap/>
          </w:tcPr>
          <w:p w14:paraId="0E75A038" w14:textId="77777777"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297" w:type="dxa"/>
            <w:tcBorders>
              <w:top w:val="nil"/>
              <w:left w:val="single" w:sz="4" w:space="0" w:color="auto"/>
              <w:bottom w:val="single" w:sz="4" w:space="0" w:color="auto"/>
              <w:right w:val="single" w:sz="4" w:space="0" w:color="auto"/>
            </w:tcBorders>
            <w:shd w:val="clear" w:color="auto" w:fill="C6EFCE"/>
            <w:noWrap/>
          </w:tcPr>
          <w:p w14:paraId="51902A8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22BD7BD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2573" w:type="dxa"/>
            <w:tcBorders>
              <w:top w:val="nil"/>
              <w:left w:val="single" w:sz="4" w:space="0" w:color="auto"/>
              <w:bottom w:val="single" w:sz="4" w:space="0" w:color="auto"/>
              <w:right w:val="single" w:sz="4" w:space="0" w:color="auto"/>
            </w:tcBorders>
            <w:shd w:val="clear" w:color="auto" w:fill="C6EFCE"/>
            <w:noWrap/>
          </w:tcPr>
          <w:p w14:paraId="5A45341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Reducerea cu cel puțin 50 % a timpului necesar pentru eliberarea autorizațiilor de construcție de către entitățile relevante comparativ cu 2020, de la 270 de zile la 135 de zile pentru întregul proces de obținere a autorizațiilor de construcție. </w:t>
            </w:r>
          </w:p>
        </w:tc>
      </w:tr>
      <w:tr w:rsidR="000A27B3" w:rsidRPr="000A27B3" w14:paraId="2F93AE20" w14:textId="77777777" w:rsidTr="000048C5">
        <w:trPr>
          <w:trHeight w:val="309"/>
          <w:jc w:val="center"/>
        </w:trPr>
        <w:tc>
          <w:tcPr>
            <w:tcW w:w="838" w:type="dxa"/>
            <w:tcBorders>
              <w:top w:val="nil"/>
              <w:left w:val="single" w:sz="4" w:space="0" w:color="auto"/>
              <w:bottom w:val="single" w:sz="4" w:space="0" w:color="auto"/>
              <w:right w:val="single" w:sz="4" w:space="0" w:color="auto"/>
            </w:tcBorders>
            <w:shd w:val="clear" w:color="auto" w:fill="C6EFCE"/>
            <w:noWrap/>
            <w:hideMark/>
          </w:tcPr>
          <w:p w14:paraId="3B9276D5"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93</w:t>
            </w:r>
          </w:p>
        </w:tc>
        <w:tc>
          <w:tcPr>
            <w:tcW w:w="1532" w:type="dxa"/>
            <w:tcBorders>
              <w:top w:val="nil"/>
              <w:left w:val="single" w:sz="4" w:space="0" w:color="auto"/>
              <w:bottom w:val="single" w:sz="4" w:space="0" w:color="auto"/>
              <w:right w:val="single" w:sz="4" w:space="0" w:color="auto"/>
            </w:tcBorders>
            <w:shd w:val="clear" w:color="auto" w:fill="C6EFCE"/>
            <w:noWrap/>
            <w:hideMark/>
          </w:tcPr>
          <w:p w14:paraId="7CE597F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2. Cadru strategic, normativ și procedural care să sprijine reziliența seismică a fondului construit</w:t>
            </w:r>
          </w:p>
        </w:tc>
        <w:tc>
          <w:tcPr>
            <w:tcW w:w="1252" w:type="dxa"/>
            <w:tcBorders>
              <w:top w:val="nil"/>
              <w:left w:val="single" w:sz="4" w:space="0" w:color="auto"/>
              <w:bottom w:val="single" w:sz="4" w:space="0" w:color="auto"/>
              <w:right w:val="single" w:sz="4" w:space="0" w:color="auto"/>
            </w:tcBorders>
            <w:shd w:val="clear" w:color="auto" w:fill="C6EFCE"/>
            <w:noWrap/>
            <w:hideMark/>
          </w:tcPr>
          <w:p w14:paraId="0F04406B"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nil"/>
              <w:left w:val="single" w:sz="4" w:space="0" w:color="auto"/>
              <w:bottom w:val="single" w:sz="4" w:space="0" w:color="auto"/>
              <w:right w:val="single" w:sz="4" w:space="0" w:color="auto"/>
            </w:tcBorders>
            <w:shd w:val="clear" w:color="auto" w:fill="C6EFCE"/>
            <w:noWrap/>
            <w:hideMark/>
          </w:tcPr>
          <w:p w14:paraId="3128003F" w14:textId="7E1B6F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Adoptarea și punerea în aplicare a Strategiei de reducere a riscului seismic pentru reabilitarea seismică a parcului imobiliar existent. </w:t>
            </w:r>
            <w:r>
              <w:rPr>
                <w:noProof/>
              </w:rPr>
              <w:br/>
              <w:t xml:space="preserve"> </w:t>
            </w:r>
            <w:r>
              <w:rPr>
                <w:noProof/>
              </w:rPr>
              <w:br/>
            </w:r>
          </w:p>
        </w:tc>
        <w:tc>
          <w:tcPr>
            <w:tcW w:w="1807" w:type="dxa"/>
            <w:tcBorders>
              <w:top w:val="nil"/>
              <w:left w:val="nil"/>
              <w:bottom w:val="single" w:sz="4" w:space="0" w:color="auto"/>
              <w:right w:val="single" w:sz="4" w:space="0" w:color="auto"/>
            </w:tcBorders>
            <w:shd w:val="clear" w:color="auto" w:fill="C6EFCE"/>
            <w:noWrap/>
            <w:hideMark/>
          </w:tcPr>
          <w:p w14:paraId="669E2D4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de către guvern a Strategiei de reducere a riscului seismic</w:t>
            </w:r>
          </w:p>
          <w:p w14:paraId="5D3BE61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p w14:paraId="5DF5FBE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p w14:paraId="40CCE18C" w14:textId="77777777" w:rsidR="00271EF8" w:rsidRPr="000A27B3" w:rsidRDefault="00271EF8">
            <w:pPr>
              <w:spacing w:after="0" w:line="240" w:lineRule="auto"/>
              <w:jc w:val="both"/>
              <w:rPr>
                <w:rFonts w:ascii="Times New Roman" w:eastAsia="Times New Roman" w:hAnsi="Times New Roman" w:cs="Times New Roman"/>
                <w:strike/>
                <w:noProof/>
                <w:sz w:val="24"/>
                <w:szCs w:val="24"/>
              </w:rPr>
            </w:pPr>
            <w:r>
              <w:rPr>
                <w:noProof/>
              </w:rPr>
              <w:t xml:space="preserve"> </w:t>
            </w:r>
            <w:r>
              <w:rPr>
                <w:noProof/>
              </w:rPr>
              <w:br/>
            </w:r>
          </w:p>
        </w:tc>
        <w:tc>
          <w:tcPr>
            <w:tcW w:w="1039" w:type="dxa"/>
            <w:tcBorders>
              <w:top w:val="nil"/>
              <w:left w:val="nil"/>
              <w:bottom w:val="single" w:sz="4" w:space="0" w:color="auto"/>
              <w:right w:val="single" w:sz="4" w:space="0" w:color="auto"/>
            </w:tcBorders>
            <w:shd w:val="clear" w:color="auto" w:fill="C6EFCE"/>
            <w:noWrap/>
            <w:hideMark/>
          </w:tcPr>
          <w:p w14:paraId="0EF5868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hideMark/>
          </w:tcPr>
          <w:p w14:paraId="7C3704F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03" w:type="dxa"/>
            <w:tcBorders>
              <w:top w:val="nil"/>
              <w:left w:val="nil"/>
              <w:bottom w:val="single" w:sz="4" w:space="0" w:color="auto"/>
              <w:right w:val="single" w:sz="4" w:space="0" w:color="auto"/>
            </w:tcBorders>
            <w:shd w:val="clear" w:color="auto" w:fill="C6EFCE"/>
            <w:noWrap/>
            <w:hideMark/>
          </w:tcPr>
          <w:p w14:paraId="65C677B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97" w:type="dxa"/>
            <w:tcBorders>
              <w:top w:val="nil"/>
              <w:left w:val="single" w:sz="4" w:space="0" w:color="auto"/>
              <w:bottom w:val="single" w:sz="4" w:space="0" w:color="auto"/>
              <w:right w:val="single" w:sz="4" w:space="0" w:color="auto"/>
            </w:tcBorders>
            <w:shd w:val="clear" w:color="auto" w:fill="C6EFCE"/>
            <w:noWrap/>
            <w:hideMark/>
          </w:tcPr>
          <w:p w14:paraId="09EB3DE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hideMark/>
          </w:tcPr>
          <w:p w14:paraId="20B1ECD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hideMark/>
          </w:tcPr>
          <w:p w14:paraId="64D85AA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Strategia va defini criteriile de prioritizare a investițiilor în reducerea riscului seismic în cazul parcului imobiliar existent, pe baza nivelului de risc seismic pentru clădiri și comunități și a beneficiilor acțiunilor de reducere a riscurilor. </w:t>
            </w:r>
            <w:bookmarkStart w:id="5" w:name="_Hlk77254549"/>
          </w:p>
          <w:bookmarkEnd w:id="5"/>
          <w:p w14:paraId="5B1ADBB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Introducerea unei metodologii de evaluare vizuală rapidă ca etapă de evaluare de nivel 2 a riscului seismic va contribui la reducerea timpului necesar pentru finalizarea efectivă a prioritizării intervențiilor privind parcul imobiliar pe baza datelor referitoare la vulnerabilitate de la câțiva ani la câteva luni. </w:t>
            </w:r>
          </w:p>
          <w:p w14:paraId="306BB88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Aceasta va lua în considerare măsurile propuse în Strategia de renovare pe termen lung, prin elaborarea unui ghid de intervenții integrate obligatoriu. </w:t>
            </w:r>
          </w:p>
        </w:tc>
      </w:tr>
      <w:tr w:rsidR="000A27B3" w:rsidRPr="000A27B3" w14:paraId="10DFB0DD" w14:textId="77777777" w:rsidTr="000048C5">
        <w:trPr>
          <w:trHeight w:val="309"/>
          <w:jc w:val="center"/>
        </w:trPr>
        <w:tc>
          <w:tcPr>
            <w:tcW w:w="838" w:type="dxa"/>
            <w:tcBorders>
              <w:top w:val="nil"/>
              <w:left w:val="single" w:sz="4" w:space="0" w:color="auto"/>
              <w:bottom w:val="single" w:sz="4" w:space="0" w:color="auto"/>
              <w:right w:val="single" w:sz="4" w:space="0" w:color="auto"/>
            </w:tcBorders>
            <w:shd w:val="clear" w:color="auto" w:fill="C6EFCE"/>
            <w:noWrap/>
            <w:hideMark/>
          </w:tcPr>
          <w:p w14:paraId="4F8BBE3E"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94</w:t>
            </w:r>
          </w:p>
        </w:tc>
        <w:tc>
          <w:tcPr>
            <w:tcW w:w="1532" w:type="dxa"/>
            <w:tcBorders>
              <w:top w:val="nil"/>
              <w:left w:val="single" w:sz="4" w:space="0" w:color="auto"/>
              <w:bottom w:val="single" w:sz="4" w:space="0" w:color="auto"/>
              <w:right w:val="single" w:sz="4" w:space="0" w:color="auto"/>
            </w:tcBorders>
            <w:shd w:val="clear" w:color="auto" w:fill="C6EFCE"/>
            <w:noWrap/>
          </w:tcPr>
          <w:p w14:paraId="3F0E285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Cadru strategic, normativ și procedural care să sprijine reziliența seismică a fondului construit </w:t>
            </w:r>
          </w:p>
        </w:tc>
        <w:tc>
          <w:tcPr>
            <w:tcW w:w="1252" w:type="dxa"/>
            <w:tcBorders>
              <w:top w:val="nil"/>
              <w:left w:val="single" w:sz="4" w:space="0" w:color="auto"/>
              <w:bottom w:val="single" w:sz="4" w:space="0" w:color="auto"/>
              <w:right w:val="single" w:sz="4" w:space="0" w:color="auto"/>
            </w:tcBorders>
            <w:shd w:val="clear" w:color="auto" w:fill="C6EFCE"/>
            <w:noWrap/>
          </w:tcPr>
          <w:p w14:paraId="1D2E66F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nil"/>
              <w:left w:val="single" w:sz="4" w:space="0" w:color="auto"/>
              <w:bottom w:val="single" w:sz="4" w:space="0" w:color="auto"/>
              <w:right w:val="single" w:sz="4" w:space="0" w:color="auto"/>
            </w:tcBorders>
            <w:shd w:val="clear" w:color="auto" w:fill="C6EFCE"/>
            <w:noWrap/>
          </w:tcPr>
          <w:p w14:paraId="18304DD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noii legi privind reducerea riscului seismic al clădirilor</w:t>
            </w:r>
            <w:r>
              <w:rPr>
                <w:noProof/>
              </w:rPr>
              <w:t xml:space="preserve"> </w:t>
            </w:r>
            <w:r>
              <w:rPr>
                <w:noProof/>
              </w:rPr>
              <w:br/>
            </w:r>
          </w:p>
        </w:tc>
        <w:tc>
          <w:tcPr>
            <w:tcW w:w="1807" w:type="dxa"/>
            <w:tcBorders>
              <w:top w:val="nil"/>
              <w:left w:val="nil"/>
              <w:bottom w:val="single" w:sz="4" w:space="0" w:color="auto"/>
              <w:right w:val="single" w:sz="4" w:space="0" w:color="auto"/>
            </w:tcBorders>
            <w:shd w:val="clear" w:color="auto" w:fill="C6EFCE"/>
            <w:noWrap/>
          </w:tcPr>
          <w:p w14:paraId="102741F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noii legi privind reducerea riscului seismic al clădirilor</w:t>
            </w:r>
            <w:r>
              <w:rPr>
                <w:noProof/>
              </w:rPr>
              <w:t xml:space="preserve"> </w:t>
            </w:r>
            <w:r>
              <w:rPr>
                <w:noProof/>
              </w:rPr>
              <w:br/>
            </w:r>
          </w:p>
        </w:tc>
        <w:tc>
          <w:tcPr>
            <w:tcW w:w="1039" w:type="dxa"/>
            <w:tcBorders>
              <w:top w:val="nil"/>
              <w:left w:val="nil"/>
              <w:bottom w:val="single" w:sz="4" w:space="0" w:color="auto"/>
              <w:right w:val="single" w:sz="4" w:space="0" w:color="auto"/>
            </w:tcBorders>
            <w:shd w:val="clear" w:color="auto" w:fill="C6EFCE"/>
            <w:noWrap/>
          </w:tcPr>
          <w:p w14:paraId="4D1998A9"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6A026AA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nil"/>
              <w:left w:val="nil"/>
              <w:bottom w:val="single" w:sz="4" w:space="0" w:color="auto"/>
              <w:right w:val="single" w:sz="4" w:space="0" w:color="auto"/>
            </w:tcBorders>
            <w:shd w:val="clear" w:color="auto" w:fill="C6EFCE"/>
            <w:noWrap/>
          </w:tcPr>
          <w:p w14:paraId="79C17727"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0E051D1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53AA47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hideMark/>
          </w:tcPr>
          <w:p w14:paraId="65C38B1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noii legi privind reducerea riscului seismic al clădirilor. Legea va acoperi următoarele acțiuni: </w:t>
            </w:r>
          </w:p>
          <w:p w14:paraId="19BCF8B5"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rPr>
            </w:pPr>
            <w:r>
              <w:rPr>
                <w:rFonts w:ascii="Times New Roman" w:hAnsi="Times New Roman"/>
                <w:noProof/>
                <w:sz w:val="24"/>
              </w:rPr>
              <w:t>va include o abordare multianuală cu privire la reabilitarea parcului imobiliar existent;</w:t>
            </w:r>
          </w:p>
          <w:p w14:paraId="019E066F"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rPr>
            </w:pPr>
            <w:r>
              <w:rPr>
                <w:rFonts w:ascii="Times New Roman" w:hAnsi="Times New Roman"/>
                <w:noProof/>
                <w:sz w:val="24"/>
              </w:rPr>
              <w:t>va introduce pe lista cheltuielilor eligibile cheltuielile cu diferitele tipuri eligibile de lucrări necesare pentru creșterea performanței energetice;</w:t>
            </w:r>
          </w:p>
          <w:p w14:paraId="26697929"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rPr>
            </w:pPr>
            <w:r>
              <w:rPr>
                <w:rFonts w:ascii="Times New Roman" w:hAnsi="Times New Roman"/>
                <w:noProof/>
                <w:sz w:val="24"/>
              </w:rPr>
              <w:t>pe lângă clădirile rezidențiale multifamiliale, va extinde programul și la clădirile publice;</w:t>
            </w:r>
          </w:p>
          <w:p w14:paraId="3759F383"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rPr>
            </w:pPr>
            <w:r>
              <w:rPr>
                <w:rFonts w:ascii="Times New Roman" w:hAnsi="Times New Roman"/>
                <w:noProof/>
                <w:sz w:val="24"/>
              </w:rPr>
              <w:t>va introduce clasa seismică RsII printre criteriile de eligibilitate, alături de clasa seismică RsI.</w:t>
            </w:r>
          </w:p>
        </w:tc>
      </w:tr>
      <w:tr w:rsidR="000A27B3" w:rsidRPr="000A27B3" w14:paraId="538C6EC4"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hideMark/>
          </w:tcPr>
          <w:p w14:paraId="7090B5F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95</w:t>
            </w:r>
          </w:p>
        </w:tc>
        <w:tc>
          <w:tcPr>
            <w:tcW w:w="1532" w:type="dxa"/>
            <w:tcBorders>
              <w:top w:val="nil"/>
              <w:left w:val="single" w:sz="4" w:space="0" w:color="auto"/>
              <w:bottom w:val="single" w:sz="4" w:space="0" w:color="auto"/>
              <w:right w:val="single" w:sz="4" w:space="0" w:color="auto"/>
            </w:tcBorders>
            <w:shd w:val="clear" w:color="auto" w:fill="C6EFCE"/>
            <w:noWrap/>
            <w:hideMark/>
          </w:tcPr>
          <w:p w14:paraId="7AA2DBD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hideMark/>
          </w:tcPr>
          <w:p w14:paraId="54D7B53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72500C8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Instituirea unei scheme naționale de sprijin pentru renovarea și renovarea integrată energetică și din punctul de vedere al eficienței (consolidare seismică și eficiență energetică) a clădirilor rezidențiale multifamiliale</w:t>
            </w:r>
            <w:r>
              <w:rPr>
                <w:noProof/>
              </w:rPr>
              <w:t xml:space="preserve"> </w:t>
            </w:r>
            <w:r>
              <w:rPr>
                <w:noProof/>
              </w:rPr>
              <w:br/>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03FD28B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Publicarea ordinului ministerial de stabilire a schemei de finanțare </w:t>
            </w:r>
          </w:p>
        </w:tc>
        <w:tc>
          <w:tcPr>
            <w:tcW w:w="1039" w:type="dxa"/>
            <w:tcBorders>
              <w:top w:val="single" w:sz="4" w:space="0" w:color="auto"/>
              <w:left w:val="nil"/>
              <w:bottom w:val="single" w:sz="4" w:space="0" w:color="auto"/>
              <w:right w:val="single" w:sz="4" w:space="0" w:color="auto"/>
            </w:tcBorders>
            <w:shd w:val="clear" w:color="auto" w:fill="C6EFCE"/>
            <w:noWrap/>
            <w:hideMark/>
          </w:tcPr>
          <w:p w14:paraId="22103C5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hideMark/>
          </w:tcPr>
          <w:p w14:paraId="63E6B39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03" w:type="dxa"/>
            <w:tcBorders>
              <w:top w:val="single" w:sz="4" w:space="0" w:color="auto"/>
              <w:left w:val="nil"/>
              <w:bottom w:val="single" w:sz="4" w:space="0" w:color="auto"/>
              <w:right w:val="single" w:sz="4" w:space="0" w:color="auto"/>
            </w:tcBorders>
            <w:shd w:val="clear" w:color="auto" w:fill="C6EFCE"/>
            <w:noWrap/>
            <w:hideMark/>
          </w:tcPr>
          <w:p w14:paraId="24854CC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97" w:type="dxa"/>
            <w:tcBorders>
              <w:top w:val="nil"/>
              <w:left w:val="single" w:sz="4" w:space="0" w:color="auto"/>
              <w:bottom w:val="single" w:sz="4" w:space="0" w:color="auto"/>
              <w:right w:val="single" w:sz="4" w:space="0" w:color="auto"/>
            </w:tcBorders>
            <w:shd w:val="clear" w:color="auto" w:fill="C6EFCE"/>
            <w:noWrap/>
            <w:hideMark/>
          </w:tcPr>
          <w:p w14:paraId="28DE3CD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hideMark/>
          </w:tcPr>
          <w:p w14:paraId="70D1BF5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hideMark/>
          </w:tcPr>
          <w:p w14:paraId="39A5D993" w14:textId="3410DEDD"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Schema va finanța renovarea energetică a cel puțin 3,2 milioane m² de clădiri rezidențiale. </w:t>
            </w:r>
          </w:p>
          <w:p w14:paraId="2A98B12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Schema va finanța următoarele tipuri de proiecte:</w:t>
            </w:r>
          </w:p>
          <w:p w14:paraId="3ED0C2FD"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 xml:space="preserve">proiecte integrate (consolidare seismică și eficiență energetică); </w:t>
            </w:r>
          </w:p>
          <w:p w14:paraId="69D548FC"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rPr>
            </w:pPr>
            <w:r>
              <w:rPr>
                <w:rFonts w:ascii="Times New Roman" w:hAnsi="Times New Roman"/>
                <w:noProof/>
                <w:sz w:val="24"/>
              </w:rPr>
              <w:t xml:space="preserve">proiecte de renovare energetică. </w:t>
            </w:r>
          </w:p>
          <w:p w14:paraId="365DED0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Schema de finanțare va garanta că cel puțin 90 % din alocarea totală va fi utilizată pentru lucrări de eficiență energetică și nu mai mult de 10 % din alocare va fi utilizată pentru consolidarea seismică și alte lucrări complementare (cum ar fi protecția împotriva incendiilor, accesibilitatea). </w:t>
            </w:r>
          </w:p>
          <w:p w14:paraId="4C5AD439" w14:textId="77777777" w:rsidR="00271EF8" w:rsidRPr="000A27B3" w:rsidRDefault="00271EF8">
            <w:pPr>
              <w:spacing w:after="0" w:line="240" w:lineRule="auto"/>
              <w:jc w:val="both"/>
              <w:rPr>
                <w:rFonts w:ascii="Times New Roman" w:eastAsia="Times New Roman" w:hAnsi="Times New Roman" w:cs="Times New Roman"/>
                <w:noProof/>
                <w:sz w:val="24"/>
              </w:rPr>
            </w:pPr>
            <w:bookmarkStart w:id="6" w:name="_Hlk79745330"/>
            <w:r>
              <w:rPr>
                <w:rFonts w:ascii="Times New Roman" w:hAnsi="Times New Roman"/>
                <w:noProof/>
                <w:sz w:val="24"/>
              </w:rPr>
              <w:t>Întreaga schemă va asigura faptul că toate contractele îndeplinesc cerința relevantă de eficiență energetică privind o reducere minimă a consumului de energie cu cel puțin 50 % în comparație cu consumul anual de energie pentru încălzire dinainte de renovare pentru fiecare clădire (cu excepția clădirilor cu statut de bun cultural), lucru care va trebui să asigure o reducere a necesarului de energie primară de cel puțin 30 % (renovare moderată) și de 60 % (renovare aprofundată) în comparație cu situația anterioară renovării și va respecta Orientările tehnice privind aplicarea principiului de „a nu aduce prejudicii semnificative” (2021/C58/01).</w:t>
            </w:r>
            <w:bookmarkEnd w:id="6"/>
          </w:p>
        </w:tc>
      </w:tr>
      <w:tr w:rsidR="000A27B3" w:rsidRPr="000A27B3" w14:paraId="07A12550"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hideMark/>
          </w:tcPr>
          <w:p w14:paraId="4D8229C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96</w:t>
            </w:r>
          </w:p>
        </w:tc>
        <w:tc>
          <w:tcPr>
            <w:tcW w:w="1532" w:type="dxa"/>
            <w:tcBorders>
              <w:top w:val="nil"/>
              <w:left w:val="single" w:sz="4" w:space="0" w:color="auto"/>
              <w:bottom w:val="single" w:sz="4" w:space="0" w:color="auto"/>
              <w:right w:val="single" w:sz="4" w:space="0" w:color="auto"/>
            </w:tcBorders>
            <w:shd w:val="clear" w:color="auto" w:fill="C6EFCE"/>
            <w:noWrap/>
            <w:hideMark/>
          </w:tcPr>
          <w:p w14:paraId="158A53B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hideMark/>
          </w:tcPr>
          <w:p w14:paraId="76BAA72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71ABD09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Instituirea unei scheme naționale de sprijin pentru renovarea și renovarea integrată în scopul asigurării eficienței energetice (consolidare seismică și eficiență energetică) pentru clădiri publice</w:t>
            </w:r>
            <w:r>
              <w:rPr>
                <w:noProof/>
              </w:rPr>
              <w:t xml:space="preserve"> </w:t>
            </w:r>
            <w:r>
              <w:rPr>
                <w:noProof/>
              </w:rPr>
              <w:br/>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676F3FF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Publicarea ordinului de instituire a schemei </w:t>
            </w:r>
          </w:p>
        </w:tc>
        <w:tc>
          <w:tcPr>
            <w:tcW w:w="1039" w:type="dxa"/>
            <w:tcBorders>
              <w:top w:val="single" w:sz="4" w:space="0" w:color="auto"/>
              <w:left w:val="nil"/>
              <w:bottom w:val="single" w:sz="4" w:space="0" w:color="auto"/>
              <w:right w:val="single" w:sz="4" w:space="0" w:color="auto"/>
            </w:tcBorders>
            <w:shd w:val="clear" w:color="auto" w:fill="C6EFCE"/>
            <w:noWrap/>
            <w:hideMark/>
          </w:tcPr>
          <w:p w14:paraId="31F70A8E"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hideMark/>
          </w:tcPr>
          <w:p w14:paraId="6D5CB92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03" w:type="dxa"/>
            <w:tcBorders>
              <w:top w:val="single" w:sz="4" w:space="0" w:color="auto"/>
              <w:left w:val="nil"/>
              <w:bottom w:val="single" w:sz="4" w:space="0" w:color="auto"/>
              <w:right w:val="single" w:sz="4" w:space="0" w:color="auto"/>
            </w:tcBorders>
            <w:shd w:val="clear" w:color="auto" w:fill="C6EFCE"/>
            <w:noWrap/>
            <w:hideMark/>
          </w:tcPr>
          <w:p w14:paraId="19382FF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97" w:type="dxa"/>
            <w:tcBorders>
              <w:top w:val="nil"/>
              <w:left w:val="single" w:sz="4" w:space="0" w:color="auto"/>
              <w:bottom w:val="single" w:sz="4" w:space="0" w:color="auto"/>
              <w:right w:val="single" w:sz="4" w:space="0" w:color="auto"/>
            </w:tcBorders>
            <w:shd w:val="clear" w:color="auto" w:fill="C6EFCE"/>
            <w:noWrap/>
            <w:hideMark/>
          </w:tcPr>
          <w:p w14:paraId="1B95CB8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hideMark/>
          </w:tcPr>
          <w:p w14:paraId="5CAD28D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hideMark/>
          </w:tcPr>
          <w:p w14:paraId="7A03DE05" w14:textId="0642A5FF"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Schema va finanța renovarea energetică a cel puțin 1,8 milioane m² de clădiri publice. Schema va asigura desfășurarea următoarelor tipuri de proiecte:</w:t>
            </w:r>
          </w:p>
          <w:p w14:paraId="01696EF0"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 xml:space="preserve">proiecte integrate (consolidare seismică și eficiență energetică); </w:t>
            </w:r>
          </w:p>
          <w:p w14:paraId="44D1B040"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proiecte de renovare energetică.</w:t>
            </w:r>
          </w:p>
          <w:p w14:paraId="3B63508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Schema de finanțare va garanta că cel puțin 90 % din alocarea totală va fi utilizată pentru lucrări de eficiență energetică și nu mai mult de 10 % din alocare va fi utilizată pentru consolidarea seismică și alte lucrări complementare (cum ar fi protecția împotriva incendiilor, accesibilitatea).</w:t>
            </w:r>
          </w:p>
          <w:p w14:paraId="6C154912" w14:textId="77777777" w:rsidR="00271EF8" w:rsidRPr="000A27B3" w:rsidRDefault="00271EF8">
            <w:pPr>
              <w:spacing w:after="0" w:line="240" w:lineRule="auto"/>
              <w:jc w:val="both"/>
              <w:rPr>
                <w:rFonts w:ascii="Times New Roman" w:eastAsia="Times New Roman" w:hAnsi="Times New Roman" w:cs="Times New Roman"/>
                <w:noProof/>
                <w:sz w:val="24"/>
              </w:rPr>
            </w:pPr>
            <w:bookmarkStart w:id="7" w:name="_Hlk79753549"/>
            <w:r>
              <w:rPr>
                <w:rFonts w:ascii="Times New Roman" w:hAnsi="Times New Roman"/>
                <w:noProof/>
                <w:sz w:val="24"/>
              </w:rPr>
              <w:t>Întreaga schemă va asigura faptul că toate contractele îndeplinesc cerința relevantă de eficiență energetică privind o reducere minimă a consumului de energie cu cel puțin 50 % în comparație cu consumul anual de energie pentru încălzire dinainte de renovare pentru fiecare clădire (cu excepția clădirilor cu statut de bun cultural), lucru care va trebui să asigure o reducere a necesarului de energie primară de cel puțin 30 % (renovare moderată) și de 60 % (renovare aprofundată) în comparație cu situația anterioară renovării și va respecta Orientările tehnice privind aplicarea principiului de „a nu aduce prejudicii semnificative” (2021/C58/01).</w:t>
            </w:r>
            <w:bookmarkEnd w:id="7"/>
          </w:p>
        </w:tc>
      </w:tr>
      <w:tr w:rsidR="000A27B3" w:rsidRPr="000A27B3" w14:paraId="50DC05BB"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hideMark/>
          </w:tcPr>
          <w:p w14:paraId="4C212595"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97</w:t>
            </w:r>
          </w:p>
        </w:tc>
        <w:tc>
          <w:tcPr>
            <w:tcW w:w="1532" w:type="dxa"/>
            <w:tcBorders>
              <w:top w:val="nil"/>
              <w:left w:val="single" w:sz="4" w:space="0" w:color="auto"/>
              <w:bottom w:val="single" w:sz="4" w:space="0" w:color="auto"/>
              <w:right w:val="single" w:sz="4" w:space="0" w:color="auto"/>
            </w:tcBorders>
            <w:shd w:val="clear" w:color="auto" w:fill="C6EFCE"/>
            <w:noWrap/>
            <w:hideMark/>
          </w:tcPr>
          <w:p w14:paraId="2EABB5D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hideMark/>
          </w:tcPr>
          <w:p w14:paraId="0C6B1A53"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03DD9E4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Cereri de propuneri pentru renovarea și renovarea integrată în scopul asigurării eficienței energetice (consolidare seismică și eficiență energetică) pentru clădiri rezidențiale</w:t>
            </w:r>
          </w:p>
        </w:tc>
        <w:tc>
          <w:tcPr>
            <w:tcW w:w="1807" w:type="dxa"/>
            <w:tcBorders>
              <w:top w:val="single" w:sz="4" w:space="0" w:color="auto"/>
              <w:left w:val="single" w:sz="4" w:space="0" w:color="auto"/>
              <w:bottom w:val="single" w:sz="4" w:space="0" w:color="auto"/>
              <w:right w:val="single" w:sz="4" w:space="0" w:color="auto"/>
            </w:tcBorders>
            <w:shd w:val="clear" w:color="auto" w:fill="C6EFCE"/>
            <w:noWrap/>
            <w:hideMark/>
          </w:tcPr>
          <w:p w14:paraId="680CA44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Publicarea specificațiilor cererii de propuneri</w:t>
            </w:r>
          </w:p>
        </w:tc>
        <w:tc>
          <w:tcPr>
            <w:tcW w:w="1039" w:type="dxa"/>
            <w:tcBorders>
              <w:top w:val="single" w:sz="4" w:space="0" w:color="auto"/>
              <w:left w:val="nil"/>
              <w:bottom w:val="single" w:sz="4" w:space="0" w:color="auto"/>
              <w:right w:val="single" w:sz="4" w:space="0" w:color="auto"/>
            </w:tcBorders>
            <w:shd w:val="clear" w:color="auto" w:fill="C6EFCE"/>
            <w:noWrap/>
            <w:hideMark/>
          </w:tcPr>
          <w:p w14:paraId="480776B6"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hideMark/>
          </w:tcPr>
          <w:p w14:paraId="6161F71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single" w:sz="4" w:space="0" w:color="auto"/>
              <w:left w:val="nil"/>
              <w:bottom w:val="single" w:sz="4" w:space="0" w:color="auto"/>
              <w:right w:val="single" w:sz="4" w:space="0" w:color="auto"/>
            </w:tcBorders>
            <w:shd w:val="clear" w:color="auto" w:fill="C6EFCE"/>
            <w:noWrap/>
            <w:hideMark/>
          </w:tcPr>
          <w:p w14:paraId="064FFD94"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hideMark/>
          </w:tcPr>
          <w:p w14:paraId="45BFC54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hideMark/>
          </w:tcPr>
          <w:p w14:paraId="6900C6B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hideMark/>
          </w:tcPr>
          <w:p w14:paraId="5DD4D0C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Următoarele trei cereri de propuneri se vor publica de către Ministerul Dezvoltării, Lucrărilor Publice și Administrației pentru renovarea ce vizează asigurarea eficienței energetice și renovarea integrată (consolidare seismică și eficiență energetică) a clădirilor rezidențiale: </w:t>
            </w:r>
          </w:p>
          <w:p w14:paraId="4859F16E"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cerere de proiecte integrate în care intervențiile de consolidare seismică se vor desfășura în mod integrat cu cele dedicate creșterii eficienței energetice. Cererea va fi destinată unităților administrative locale situate în zone în care valoarea de vârf a accelerației terenului pentru proiectare la cutremur a(g), potrivit hărții de zonare a teritoriului României din Codul de proiectare seismică P100-1, este mai mare sau egală cu 0,2 g pentru IMR=225 de ani. În cererea de propuneri se va specifica obligația de a se acorda prioritate comunităților expuse riscului de sărăcie și de excluziune socială;</w:t>
            </w:r>
          </w:p>
          <w:p w14:paraId="3D8FD6F6"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 xml:space="preserve">cerere de proiecte de renovare ce vizează asigurarea eficienței energetice, dedicată comunităților expuse riscului de sărăcie și de excluziune socială, cu un buget de cel puțin 20 % din alocarea pentru investiția 1, axa 1, corespunzând eficienței energetice; </w:t>
            </w:r>
          </w:p>
          <w:p w14:paraId="52367894"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 xml:space="preserve">cerere de proiecte de renovare teritorială ce vizează asigurarea eficienței energetice. deschisă tuturor unităților administrative locale, inclusiv celor șase sectoare ale municipiului București, pentru fiecare județ, în funcție de numărul de clădiri rezidențiale multifamiliale și de populația județului. </w:t>
            </w:r>
          </w:p>
          <w:p w14:paraId="0EBC9E1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Clădirile clasificate în clasele de risc seismic RsI și RsII vor fi excluse din contractele de eficiență energetică atribuite în cadrul celei de-a doua și a treia cerere de propuneri.</w:t>
            </w:r>
          </w:p>
          <w:p w14:paraId="750A519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Toate cele trei cereri de propuneri vor include criterii de selecție care vor stipula că toate contractele vor preciza cerința relevantă în materie de eficiență energetică de reducere minimă a consumului de energie pentru încălzire cu cel puțin 50 % în comparație cu consumul anual de energie pentru încălzire dinainte de renovare pentru fiecare clădire (cu excepția clădirilor cu statut de bun cultural), lucru care va trebui să asigure o reducere a necesarului de energie primară de cel puțin 30 % (renovare moderată) în comparație cu situația anterioară renovării. Cea de a treia cerere de propuneri va impune ca 10 % din buget să fie cheltuit pentru proiecte care obțin economii de energie primară de cel puțin 60 % (renovare aprofundată) în comparație cu situația anterioară renovării. </w:t>
            </w:r>
          </w:p>
          <w:p w14:paraId="27E806C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nu va acoperi înlocuirea centralelor de apartament pe gaz. </w:t>
            </w:r>
          </w:p>
          <w:p w14:paraId="0B582DA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Dacă după prima rundă au rămas fonduri necontractate, acestea vor fi puse la dispoziția tuturor unităților administrative locale în aceleași condiții, pe baza principiului „primul venit, primul servit”.</w:t>
            </w:r>
          </w:p>
        </w:tc>
      </w:tr>
      <w:tr w:rsidR="000A27B3" w:rsidRPr="000A27B3" w14:paraId="41E2D905"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23D4BB4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98</w:t>
            </w:r>
          </w:p>
        </w:tc>
        <w:tc>
          <w:tcPr>
            <w:tcW w:w="1532" w:type="dxa"/>
            <w:tcBorders>
              <w:top w:val="single" w:sz="4" w:space="0" w:color="auto"/>
              <w:left w:val="single" w:sz="4" w:space="0" w:color="auto"/>
              <w:bottom w:val="single" w:sz="4" w:space="0" w:color="auto"/>
              <w:right w:val="single" w:sz="4" w:space="0" w:color="auto"/>
            </w:tcBorders>
            <w:shd w:val="clear" w:color="auto" w:fill="C6EFCE"/>
            <w:noWrap/>
          </w:tcPr>
          <w:p w14:paraId="3320DB7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E916F0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nil"/>
              <w:bottom w:val="single" w:sz="4" w:space="0" w:color="auto"/>
              <w:right w:val="single" w:sz="4" w:space="0" w:color="auto"/>
            </w:tcBorders>
            <w:shd w:val="clear" w:color="auto" w:fill="C6EFCE"/>
            <w:noWrap/>
          </w:tcPr>
          <w:p w14:paraId="7C5D3BD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Cerere de propuneri de renovare ce vizează asigurarea eficienței energetice și de renovare integrată (consolidare seismică și eficiență energetică) (clădiri publice)</w:t>
            </w:r>
          </w:p>
        </w:tc>
        <w:tc>
          <w:tcPr>
            <w:tcW w:w="1807" w:type="dxa"/>
            <w:tcBorders>
              <w:top w:val="single" w:sz="4" w:space="0" w:color="auto"/>
              <w:left w:val="single" w:sz="4" w:space="0" w:color="auto"/>
              <w:bottom w:val="single" w:sz="4" w:space="0" w:color="auto"/>
              <w:right w:val="single" w:sz="4" w:space="0" w:color="auto"/>
            </w:tcBorders>
            <w:shd w:val="clear" w:color="auto" w:fill="C6EFCE"/>
            <w:noWrap/>
          </w:tcPr>
          <w:p w14:paraId="1FCE120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Publicarea specificațiilor cererii de propuneri</w:t>
            </w:r>
          </w:p>
        </w:tc>
        <w:tc>
          <w:tcPr>
            <w:tcW w:w="1039" w:type="dxa"/>
            <w:tcBorders>
              <w:top w:val="single" w:sz="4" w:space="0" w:color="auto"/>
              <w:left w:val="nil"/>
              <w:bottom w:val="single" w:sz="4" w:space="0" w:color="auto"/>
              <w:right w:val="single" w:sz="4" w:space="0" w:color="auto"/>
            </w:tcBorders>
            <w:shd w:val="clear" w:color="auto" w:fill="C6EFCE"/>
            <w:noWrap/>
          </w:tcPr>
          <w:p w14:paraId="3F959B49"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69732113"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single" w:sz="4" w:space="0" w:color="auto"/>
              <w:left w:val="nil"/>
              <w:bottom w:val="single" w:sz="4" w:space="0" w:color="auto"/>
              <w:right w:val="single" w:sz="4" w:space="0" w:color="auto"/>
            </w:tcBorders>
            <w:shd w:val="clear" w:color="auto" w:fill="C6EFCE"/>
            <w:noWrap/>
          </w:tcPr>
          <w:p w14:paraId="00C8C2C7"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30E4FCD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5BC4DF4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tcPr>
          <w:p w14:paraId="2AB6B95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Cererile de propuneri de renovare ce vizează asigurarea eficienței energetice și de renovare integrată (consolidare seismică și eficiență energetică) a clădirilor publice în vederea asigurării tranziției spre clădiri verzi și reziliente vor fi publicate de către Ministerul Dezvoltării, Lucrărilor Publice și Administrației :</w:t>
            </w:r>
          </w:p>
          <w:p w14:paraId="3EF026A7"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 xml:space="preserve">cerere de proiecte integrate în care intervențiile de consolidare seismică se vor desfășura în mod integrat cu cele dedicate creșterii eficienței energetice. Cererea va fi destinată unităților administrative locale situate în zone în care valoarea de vârf a accelerației terenului pentru proiectare la cutremur a(g), potrivit hărții de zonare a teritoriului României din Codul de proiectare seismică P100-1, este mai mare sau egală cu 0,2 g pentru IMR=225 de ani; </w:t>
            </w:r>
          </w:p>
          <w:p w14:paraId="1E07A06C" w14:textId="77777777" w:rsidR="00271EF8" w:rsidRPr="000A27B3" w:rsidRDefault="00271EF8" w:rsidP="00271EF8">
            <w:pPr>
              <w:pStyle w:val="ListParagraph"/>
              <w:numPr>
                <w:ilvl w:val="0"/>
                <w:numId w:val="46"/>
              </w:numPr>
              <w:spacing w:after="0" w:line="240" w:lineRule="auto"/>
              <w:ind w:left="178" w:hanging="218"/>
              <w:jc w:val="both"/>
              <w:rPr>
                <w:rFonts w:ascii="Times New Roman" w:eastAsia="Times New Roman" w:hAnsi="Times New Roman" w:cs="Times New Roman"/>
                <w:noProof/>
                <w:sz w:val="24"/>
                <w:szCs w:val="24"/>
              </w:rPr>
            </w:pPr>
            <w:r>
              <w:rPr>
                <w:rFonts w:ascii="Times New Roman" w:hAnsi="Times New Roman"/>
                <w:noProof/>
                <w:sz w:val="24"/>
              </w:rPr>
              <w:t xml:space="preserve">cerere de proiecte de renovare energetică moderată (80 %) și aprofundată (20 %), dedicată autorităților publice centrale, consiliilor județene, municipiilor care sunt reședință de județ și altor municipalități, inclusiv celor șase sectoare ale municipiului București. </w:t>
            </w:r>
          </w:p>
          <w:p w14:paraId="25A21B3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Clădirile clasificate în clasele de risc seismic RsI și RsII vor fi excluse din contractele atribuite în cadrul celei de a doua cereri de propuneri.</w:t>
            </w:r>
          </w:p>
          <w:p w14:paraId="56FAC78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Cele două cereri de propuneri vor include criterii de selecție care vor stipula că toate contractele vor preciza cerința relevantă în materie de eficiență energetică de reducere minimă a consumului de energie pentru încălzire cu cel puțin 50 % în comparație cu consumul anual de energie pentru încălzire dinainte de renovare pentru fiecare clădire (cu excepția clădirilor cu statut de bun cultural), lucru care va trebui să asigure o reducere a necesarului de energie primară de cel puțin 30 % (renovare moderată) în comparație cu situația anterioară renovării. Cea de a doua cerere de propuneri va impune ca 20 % din buget să fie cheltuit pentru proiecte care obțin economii de energie primară de cel puțin 60 % (renovare aprofundată) în comparație cu situația anterioară renovării.</w:t>
            </w:r>
          </w:p>
          <w:p w14:paraId="6DC44E0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nu va acoperi înlocuirea centralelor de apartament pe gaz.</w:t>
            </w:r>
          </w:p>
          <w:p w14:paraId="1EF1EB76" w14:textId="77777777" w:rsidR="00271EF8" w:rsidRPr="000A27B3" w:rsidRDefault="00271EF8">
            <w:pPr>
              <w:spacing w:before="120" w:after="0" w:line="240" w:lineRule="auto"/>
              <w:jc w:val="both"/>
              <w:rPr>
                <w:rFonts w:ascii="Times New Roman" w:eastAsia="Times New Roman" w:hAnsi="Times New Roman" w:cs="Times New Roman"/>
                <w:noProof/>
                <w:sz w:val="24"/>
              </w:rPr>
            </w:pPr>
            <w:r>
              <w:rPr>
                <w:rFonts w:ascii="Times New Roman" w:hAnsi="Times New Roman"/>
                <w:noProof/>
                <w:sz w:val="24"/>
              </w:rPr>
              <w:t>Dacă după prima rundă au rămas fonduri necontractate, acestea vor fi puse la dispoziția tuturor municipalităților în aceleași condiții, pe baza principiului „primul venit, primul servit”.</w:t>
            </w:r>
          </w:p>
        </w:tc>
      </w:tr>
      <w:tr w:rsidR="000A27B3" w:rsidRPr="000A27B3" w14:paraId="226D8022"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36AC75C6"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99</w:t>
            </w:r>
          </w:p>
        </w:tc>
        <w:tc>
          <w:tcPr>
            <w:tcW w:w="1532" w:type="dxa"/>
            <w:tcBorders>
              <w:top w:val="nil"/>
              <w:left w:val="single" w:sz="4" w:space="0" w:color="auto"/>
              <w:bottom w:val="single" w:sz="4" w:space="0" w:color="auto"/>
              <w:right w:val="single" w:sz="4" w:space="0" w:color="auto"/>
            </w:tcBorders>
            <w:shd w:val="clear" w:color="auto" w:fill="C6EFCE"/>
            <w:noWrap/>
          </w:tcPr>
          <w:p w14:paraId="112F086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tcPr>
          <w:p w14:paraId="5462C26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tcPr>
          <w:p w14:paraId="6BC8682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de renovare și renovare integrată în vederea asigurării eficienței energetice (consolidare seismică și eficiență energetică) pentru clădiri rezidențiale</w:t>
            </w:r>
          </w:p>
        </w:tc>
        <w:tc>
          <w:tcPr>
            <w:tcW w:w="1807" w:type="dxa"/>
            <w:tcBorders>
              <w:top w:val="single" w:sz="4" w:space="0" w:color="auto"/>
              <w:left w:val="nil"/>
              <w:bottom w:val="single" w:sz="4" w:space="0" w:color="auto"/>
              <w:right w:val="single" w:sz="4" w:space="0" w:color="auto"/>
            </w:tcBorders>
            <w:shd w:val="clear" w:color="auto" w:fill="C6EFCE"/>
            <w:noWrap/>
          </w:tcPr>
          <w:p w14:paraId="025029E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039" w:type="dxa"/>
            <w:tcBorders>
              <w:top w:val="single" w:sz="4" w:space="0" w:color="auto"/>
              <w:left w:val="nil"/>
              <w:bottom w:val="single" w:sz="4" w:space="0" w:color="auto"/>
              <w:right w:val="single" w:sz="4" w:space="0" w:color="auto"/>
            </w:tcBorders>
            <w:shd w:val="clear" w:color="auto" w:fill="C6EFCE"/>
            <w:noWrap/>
          </w:tcPr>
          <w:p w14:paraId="58649ACC"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26936512"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single" w:sz="4" w:space="0" w:color="auto"/>
              <w:left w:val="nil"/>
              <w:bottom w:val="single" w:sz="4" w:space="0" w:color="auto"/>
              <w:right w:val="single" w:sz="4" w:space="0" w:color="auto"/>
            </w:tcBorders>
            <w:shd w:val="clear" w:color="auto" w:fill="C6EFCE"/>
            <w:noWrap/>
          </w:tcPr>
          <w:p w14:paraId="7F992FAA"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32C67B9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37FA91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tcPr>
          <w:p w14:paraId="5387C14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de renovare ce vizează asigurarea eficienței energetice și de renovare integrată (consolidare seismică și eficiență energetică) în vederea asigurării tranziției către clădiri verzi și reziliente (clădiri rezidențiale) se va efectua în conformitate cu condițiile prevăzute în jaloanele 95 și 97.</w:t>
            </w:r>
          </w:p>
          <w:p w14:paraId="1A0DE742"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r>
      <w:tr w:rsidR="000A27B3" w:rsidRPr="000A27B3" w14:paraId="01D7B5CB"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5DD951D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100</w:t>
            </w:r>
          </w:p>
        </w:tc>
        <w:tc>
          <w:tcPr>
            <w:tcW w:w="1532" w:type="dxa"/>
            <w:tcBorders>
              <w:top w:val="nil"/>
              <w:left w:val="single" w:sz="4" w:space="0" w:color="auto"/>
              <w:bottom w:val="single" w:sz="4" w:space="0" w:color="auto"/>
              <w:right w:val="single" w:sz="4" w:space="0" w:color="auto"/>
            </w:tcBorders>
            <w:shd w:val="clear" w:color="auto" w:fill="C6EFCE"/>
            <w:noWrap/>
          </w:tcPr>
          <w:p w14:paraId="7524CB5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tcPr>
          <w:p w14:paraId="1F99B195"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tcPr>
          <w:p w14:paraId="663E670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de renovare și renovare integrată în vederea asigurării eficienței energetice (consolidare seismică și eficiență energetică) pentru clădiri publice</w:t>
            </w:r>
          </w:p>
        </w:tc>
        <w:tc>
          <w:tcPr>
            <w:tcW w:w="1807" w:type="dxa"/>
            <w:tcBorders>
              <w:top w:val="single" w:sz="4" w:space="0" w:color="auto"/>
              <w:left w:val="nil"/>
              <w:bottom w:val="single" w:sz="4" w:space="0" w:color="auto"/>
              <w:right w:val="single" w:sz="4" w:space="0" w:color="auto"/>
            </w:tcBorders>
            <w:shd w:val="clear" w:color="auto" w:fill="C6EFCE"/>
            <w:noWrap/>
          </w:tcPr>
          <w:p w14:paraId="0303B02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039" w:type="dxa"/>
            <w:tcBorders>
              <w:top w:val="single" w:sz="4" w:space="0" w:color="auto"/>
              <w:left w:val="nil"/>
              <w:bottom w:val="single" w:sz="4" w:space="0" w:color="auto"/>
              <w:right w:val="single" w:sz="4" w:space="0" w:color="auto"/>
            </w:tcBorders>
            <w:shd w:val="clear" w:color="auto" w:fill="C6EFCE"/>
            <w:noWrap/>
          </w:tcPr>
          <w:p w14:paraId="3F8A2AAD"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32940C83"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single" w:sz="4" w:space="0" w:color="auto"/>
              <w:left w:val="nil"/>
              <w:bottom w:val="single" w:sz="4" w:space="0" w:color="auto"/>
              <w:right w:val="single" w:sz="4" w:space="0" w:color="auto"/>
            </w:tcBorders>
            <w:shd w:val="clear" w:color="auto" w:fill="C6EFCE"/>
            <w:noWrap/>
          </w:tcPr>
          <w:p w14:paraId="74B0CA04"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3D42DFC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498FDDE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573" w:type="dxa"/>
            <w:tcBorders>
              <w:top w:val="nil"/>
              <w:left w:val="single" w:sz="4" w:space="0" w:color="auto"/>
              <w:bottom w:val="single" w:sz="4" w:space="0" w:color="auto"/>
              <w:right w:val="single" w:sz="4" w:space="0" w:color="auto"/>
            </w:tcBorders>
            <w:shd w:val="clear" w:color="auto" w:fill="C6EFCE"/>
            <w:noWrap/>
          </w:tcPr>
          <w:p w14:paraId="2F402C5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de renovare ce vizează asigurarea eficienței energetice și de renovare integrată (consolidare seismică și eficiență energetică) în vederea asigurării tranziției către clădiri verzi și reziliente (clădiri publice) se va efectua în conformitate cu condițiile prevăzute în jaloanele 96 și 98.</w:t>
            </w:r>
          </w:p>
          <w:p w14:paraId="4BF14458"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r>
      <w:tr w:rsidR="000A27B3" w:rsidRPr="000A27B3" w14:paraId="00D749A7"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B65EDB5"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101</w:t>
            </w:r>
          </w:p>
        </w:tc>
        <w:tc>
          <w:tcPr>
            <w:tcW w:w="1532" w:type="dxa"/>
            <w:tcBorders>
              <w:top w:val="nil"/>
              <w:left w:val="single" w:sz="4" w:space="0" w:color="auto"/>
              <w:bottom w:val="single" w:sz="4" w:space="0" w:color="auto"/>
              <w:right w:val="single" w:sz="4" w:space="0" w:color="auto"/>
            </w:tcBorders>
            <w:shd w:val="clear" w:color="auto" w:fill="C6EFCE"/>
            <w:noWrap/>
          </w:tcPr>
          <w:p w14:paraId="205D251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tcPr>
          <w:p w14:paraId="306539F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single" w:sz="4" w:space="0" w:color="auto"/>
              <w:left w:val="single" w:sz="4" w:space="0" w:color="auto"/>
              <w:bottom w:val="single" w:sz="4" w:space="0" w:color="auto"/>
              <w:right w:val="single" w:sz="4" w:space="0" w:color="auto"/>
            </w:tcBorders>
            <w:shd w:val="clear" w:color="auto" w:fill="C6EFCE"/>
            <w:noWrap/>
          </w:tcPr>
          <w:p w14:paraId="366D018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Finalizarea renovării energetice a clădirilor rezidențiale multifamiliale </w:t>
            </w:r>
          </w:p>
        </w:tc>
        <w:tc>
          <w:tcPr>
            <w:tcW w:w="1807" w:type="dxa"/>
            <w:tcBorders>
              <w:top w:val="single" w:sz="4" w:space="0" w:color="auto"/>
              <w:left w:val="nil"/>
              <w:bottom w:val="single" w:sz="4" w:space="0" w:color="auto"/>
              <w:right w:val="single" w:sz="4" w:space="0" w:color="auto"/>
            </w:tcBorders>
            <w:shd w:val="clear" w:color="auto" w:fill="C6EFCE"/>
            <w:noWrap/>
          </w:tcPr>
          <w:p w14:paraId="0EDFB717"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377F9F2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 (m</w:t>
            </w:r>
            <w:r>
              <w:rPr>
                <w:rFonts w:ascii="Times New Roman" w:hAnsi="Times New Roman"/>
                <w:noProof/>
                <w:sz w:val="24"/>
                <w:vertAlign w:val="superscript"/>
              </w:rPr>
              <w:t>2</w:t>
            </w:r>
            <w:r>
              <w:rPr>
                <w:rFonts w:ascii="Times New Roman" w:hAnsi="Times New Roman"/>
                <w:noProof/>
                <w:sz w:val="24"/>
              </w:rPr>
              <w:t>)</w:t>
            </w:r>
          </w:p>
        </w:tc>
        <w:tc>
          <w:tcPr>
            <w:tcW w:w="1200" w:type="dxa"/>
            <w:tcBorders>
              <w:top w:val="single" w:sz="4" w:space="0" w:color="auto"/>
              <w:left w:val="nil"/>
              <w:bottom w:val="single" w:sz="4" w:space="0" w:color="auto"/>
              <w:right w:val="single" w:sz="4" w:space="0" w:color="auto"/>
            </w:tcBorders>
            <w:shd w:val="clear" w:color="auto" w:fill="C6EFCE"/>
            <w:noWrap/>
          </w:tcPr>
          <w:p w14:paraId="360A9FE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103" w:type="dxa"/>
            <w:tcBorders>
              <w:top w:val="single" w:sz="4" w:space="0" w:color="auto"/>
              <w:left w:val="nil"/>
              <w:bottom w:val="single" w:sz="4" w:space="0" w:color="auto"/>
              <w:right w:val="single" w:sz="4" w:space="0" w:color="auto"/>
            </w:tcBorders>
            <w:shd w:val="clear" w:color="auto" w:fill="C6EFCE"/>
            <w:noWrap/>
          </w:tcPr>
          <w:p w14:paraId="50A4FB84" w14:textId="2FB03784"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2 050 865</w:t>
            </w:r>
          </w:p>
        </w:tc>
        <w:tc>
          <w:tcPr>
            <w:tcW w:w="1297" w:type="dxa"/>
            <w:tcBorders>
              <w:top w:val="nil"/>
              <w:left w:val="single" w:sz="4" w:space="0" w:color="auto"/>
              <w:bottom w:val="single" w:sz="4" w:space="0" w:color="auto"/>
              <w:right w:val="single" w:sz="4" w:space="0" w:color="auto"/>
            </w:tcBorders>
            <w:shd w:val="clear" w:color="auto" w:fill="C6EFCE"/>
            <w:noWrap/>
          </w:tcPr>
          <w:p w14:paraId="6451E34C" w14:textId="164E9C92"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3489CD7A" w14:textId="60D949CE"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2573" w:type="dxa"/>
            <w:tcBorders>
              <w:top w:val="nil"/>
              <w:left w:val="single" w:sz="4" w:space="0" w:color="auto"/>
              <w:bottom w:val="single" w:sz="4" w:space="0" w:color="auto"/>
              <w:right w:val="single" w:sz="4" w:space="0" w:color="auto"/>
            </w:tcBorders>
            <w:shd w:val="clear" w:color="auto" w:fill="C6EFCE"/>
            <w:noWrap/>
          </w:tcPr>
          <w:p w14:paraId="259C864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Renovarea energetică a clădirilor rezidențiale, în conformitate cu condițiile prevăzute în jaloanele 95 și 97</w:t>
            </w:r>
          </w:p>
        </w:tc>
      </w:tr>
      <w:tr w:rsidR="000A27B3" w:rsidRPr="000A27B3" w14:paraId="58D97D5C"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1A0AA55F"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103</w:t>
            </w:r>
          </w:p>
        </w:tc>
        <w:tc>
          <w:tcPr>
            <w:tcW w:w="1532" w:type="dxa"/>
            <w:tcBorders>
              <w:top w:val="nil"/>
              <w:left w:val="single" w:sz="4" w:space="0" w:color="auto"/>
              <w:bottom w:val="single" w:sz="4" w:space="0" w:color="auto"/>
              <w:right w:val="single" w:sz="4" w:space="0" w:color="auto"/>
            </w:tcBorders>
            <w:shd w:val="clear" w:color="auto" w:fill="C6EFCE"/>
            <w:noWrap/>
          </w:tcPr>
          <w:p w14:paraId="2576EA3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tcPr>
          <w:p w14:paraId="5E03ABAC"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nil"/>
              <w:left w:val="single" w:sz="4" w:space="0" w:color="auto"/>
              <w:bottom w:val="single" w:sz="4" w:space="0" w:color="auto"/>
              <w:right w:val="single" w:sz="4" w:space="0" w:color="auto"/>
            </w:tcBorders>
            <w:shd w:val="clear" w:color="auto" w:fill="C6EFCE"/>
            <w:noWrap/>
          </w:tcPr>
          <w:p w14:paraId="4DDDDD1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Finalizarea renovării energetice a clădirilor rezidențiale multifamiliale </w:t>
            </w:r>
          </w:p>
        </w:tc>
        <w:tc>
          <w:tcPr>
            <w:tcW w:w="1807" w:type="dxa"/>
            <w:tcBorders>
              <w:top w:val="single" w:sz="4" w:space="0" w:color="auto"/>
              <w:left w:val="nil"/>
              <w:bottom w:val="single" w:sz="4" w:space="0" w:color="auto"/>
              <w:right w:val="single" w:sz="4" w:space="0" w:color="auto"/>
            </w:tcBorders>
            <w:shd w:val="clear" w:color="auto" w:fill="C6EFCE"/>
            <w:noWrap/>
          </w:tcPr>
          <w:p w14:paraId="5376D17B"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104F42A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 (m</w:t>
            </w:r>
            <w:r>
              <w:rPr>
                <w:rFonts w:ascii="Times New Roman" w:hAnsi="Times New Roman"/>
                <w:noProof/>
                <w:sz w:val="24"/>
                <w:vertAlign w:val="superscript"/>
              </w:rPr>
              <w:t>2</w:t>
            </w:r>
            <w:r>
              <w:rPr>
                <w:rFonts w:ascii="Times New Roman" w:hAnsi="Times New Roman"/>
                <w:noProof/>
                <w:sz w:val="24"/>
              </w:rPr>
              <w:t>)</w:t>
            </w:r>
          </w:p>
        </w:tc>
        <w:tc>
          <w:tcPr>
            <w:tcW w:w="1200" w:type="dxa"/>
            <w:tcBorders>
              <w:top w:val="single" w:sz="4" w:space="0" w:color="auto"/>
              <w:left w:val="nil"/>
              <w:bottom w:val="single" w:sz="4" w:space="0" w:color="auto"/>
              <w:right w:val="single" w:sz="4" w:space="0" w:color="auto"/>
            </w:tcBorders>
            <w:shd w:val="clear" w:color="auto" w:fill="C6EFCE"/>
            <w:noWrap/>
          </w:tcPr>
          <w:p w14:paraId="4BBC30B8" w14:textId="65A0F2F4"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2 050 865</w:t>
            </w:r>
          </w:p>
        </w:tc>
        <w:tc>
          <w:tcPr>
            <w:tcW w:w="1103" w:type="dxa"/>
            <w:tcBorders>
              <w:top w:val="single" w:sz="4" w:space="0" w:color="auto"/>
              <w:left w:val="nil"/>
              <w:bottom w:val="single" w:sz="4" w:space="0" w:color="auto"/>
              <w:right w:val="single" w:sz="4" w:space="0" w:color="auto"/>
            </w:tcBorders>
            <w:shd w:val="clear" w:color="auto" w:fill="C6EFCE"/>
            <w:noWrap/>
          </w:tcPr>
          <w:p w14:paraId="0DA5E3F4" w14:textId="6A957752"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3 204 478</w:t>
            </w:r>
          </w:p>
        </w:tc>
        <w:tc>
          <w:tcPr>
            <w:tcW w:w="1297" w:type="dxa"/>
            <w:tcBorders>
              <w:top w:val="nil"/>
              <w:left w:val="single" w:sz="4" w:space="0" w:color="auto"/>
              <w:bottom w:val="single" w:sz="4" w:space="0" w:color="auto"/>
              <w:right w:val="single" w:sz="4" w:space="0" w:color="auto"/>
            </w:tcBorders>
            <w:shd w:val="clear" w:color="auto" w:fill="C6EFCE"/>
            <w:noWrap/>
          </w:tcPr>
          <w:p w14:paraId="3026CAB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5B3B24A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573" w:type="dxa"/>
            <w:tcBorders>
              <w:top w:val="nil"/>
              <w:left w:val="single" w:sz="4" w:space="0" w:color="auto"/>
              <w:bottom w:val="single" w:sz="4" w:space="0" w:color="auto"/>
              <w:right w:val="single" w:sz="4" w:space="0" w:color="auto"/>
            </w:tcBorders>
            <w:shd w:val="clear" w:color="auto" w:fill="C6EFCE"/>
            <w:noWrap/>
          </w:tcPr>
          <w:p w14:paraId="06FAA6B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Renovarea energetică a clădirilor rezidențiale, în conformitate cu condițiile prevăzute în jaloanele 95 și 97</w:t>
            </w:r>
          </w:p>
        </w:tc>
      </w:tr>
      <w:tr w:rsidR="000A27B3" w:rsidRPr="000A27B3" w14:paraId="51AB19FE"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2AAB20F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104</w:t>
            </w:r>
          </w:p>
        </w:tc>
        <w:tc>
          <w:tcPr>
            <w:tcW w:w="1532" w:type="dxa"/>
            <w:tcBorders>
              <w:top w:val="nil"/>
              <w:left w:val="single" w:sz="4" w:space="0" w:color="auto"/>
              <w:bottom w:val="single" w:sz="4" w:space="0" w:color="auto"/>
              <w:right w:val="single" w:sz="4" w:space="0" w:color="auto"/>
            </w:tcBorders>
            <w:shd w:val="clear" w:color="auto" w:fill="C6EFCE"/>
            <w:noWrap/>
          </w:tcPr>
          <w:p w14:paraId="021B945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 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tcPr>
          <w:p w14:paraId="7715CE4D"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nil"/>
              <w:left w:val="single" w:sz="4" w:space="0" w:color="auto"/>
              <w:bottom w:val="single" w:sz="4" w:space="0" w:color="auto"/>
              <w:right w:val="single" w:sz="4" w:space="0" w:color="auto"/>
            </w:tcBorders>
            <w:shd w:val="clear" w:color="auto" w:fill="C6EFCE"/>
            <w:noWrap/>
          </w:tcPr>
          <w:p w14:paraId="1A9848E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Finalizarea renovării energetice a clădirilor publice </w:t>
            </w:r>
          </w:p>
        </w:tc>
        <w:tc>
          <w:tcPr>
            <w:tcW w:w="1807" w:type="dxa"/>
            <w:tcBorders>
              <w:top w:val="single" w:sz="4" w:space="0" w:color="auto"/>
              <w:left w:val="nil"/>
              <w:bottom w:val="single" w:sz="4" w:space="0" w:color="auto"/>
              <w:right w:val="single" w:sz="4" w:space="0" w:color="auto"/>
            </w:tcBorders>
            <w:shd w:val="clear" w:color="auto" w:fill="C6EFCE"/>
            <w:noWrap/>
          </w:tcPr>
          <w:p w14:paraId="5F308F5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64F6FD6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 (m</w:t>
            </w:r>
            <w:r>
              <w:rPr>
                <w:rFonts w:ascii="Times New Roman" w:hAnsi="Times New Roman"/>
                <w:noProof/>
                <w:sz w:val="24"/>
                <w:vertAlign w:val="superscript"/>
              </w:rPr>
              <w:t>2</w:t>
            </w:r>
            <w:r>
              <w:rPr>
                <w:rFonts w:ascii="Times New Roman" w:hAnsi="Times New Roman"/>
                <w:noProof/>
                <w:sz w:val="24"/>
              </w:rPr>
              <w:t>)</w:t>
            </w:r>
          </w:p>
        </w:tc>
        <w:tc>
          <w:tcPr>
            <w:tcW w:w="1200" w:type="dxa"/>
            <w:tcBorders>
              <w:top w:val="single" w:sz="4" w:space="0" w:color="auto"/>
              <w:left w:val="nil"/>
              <w:bottom w:val="single" w:sz="4" w:space="0" w:color="auto"/>
              <w:right w:val="single" w:sz="4" w:space="0" w:color="auto"/>
            </w:tcBorders>
            <w:shd w:val="clear" w:color="auto" w:fill="C6EFCE"/>
            <w:noWrap/>
          </w:tcPr>
          <w:p w14:paraId="72633BB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103" w:type="dxa"/>
            <w:tcBorders>
              <w:top w:val="single" w:sz="4" w:space="0" w:color="auto"/>
              <w:left w:val="nil"/>
              <w:bottom w:val="single" w:sz="4" w:space="0" w:color="auto"/>
              <w:right w:val="single" w:sz="4" w:space="0" w:color="auto"/>
            </w:tcBorders>
            <w:shd w:val="clear" w:color="auto" w:fill="C6EFCE"/>
            <w:noWrap/>
          </w:tcPr>
          <w:p w14:paraId="63F7C921" w14:textId="030F6839"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1 204 553</w:t>
            </w:r>
          </w:p>
        </w:tc>
        <w:tc>
          <w:tcPr>
            <w:tcW w:w="1297" w:type="dxa"/>
            <w:tcBorders>
              <w:top w:val="nil"/>
              <w:left w:val="single" w:sz="4" w:space="0" w:color="auto"/>
              <w:bottom w:val="single" w:sz="4" w:space="0" w:color="auto"/>
              <w:right w:val="single" w:sz="4" w:space="0" w:color="auto"/>
            </w:tcBorders>
            <w:shd w:val="clear" w:color="auto" w:fill="C6EFCE"/>
            <w:noWrap/>
          </w:tcPr>
          <w:p w14:paraId="33EBE06A" w14:textId="011E079C"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B0D0BC9" w14:textId="7816A84A"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2025</w:t>
            </w:r>
          </w:p>
        </w:tc>
        <w:tc>
          <w:tcPr>
            <w:tcW w:w="2573" w:type="dxa"/>
            <w:tcBorders>
              <w:top w:val="nil"/>
              <w:left w:val="single" w:sz="4" w:space="0" w:color="auto"/>
              <w:bottom w:val="single" w:sz="4" w:space="0" w:color="auto"/>
              <w:right w:val="single" w:sz="4" w:space="0" w:color="auto"/>
            </w:tcBorders>
            <w:shd w:val="clear" w:color="auto" w:fill="C6EFCE"/>
            <w:noWrap/>
          </w:tcPr>
          <w:p w14:paraId="3E8A109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Renovarea energetică a clădirilor publice, în conformitate cu condițiile prevăzute în jaloanele 96 și 98</w:t>
            </w:r>
          </w:p>
        </w:tc>
      </w:tr>
      <w:tr w:rsidR="000A27B3" w:rsidRPr="000A27B3" w14:paraId="5AA383F6"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1A60E936"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106</w:t>
            </w:r>
          </w:p>
        </w:tc>
        <w:tc>
          <w:tcPr>
            <w:tcW w:w="1532" w:type="dxa"/>
            <w:tcBorders>
              <w:top w:val="nil"/>
              <w:left w:val="single" w:sz="4" w:space="0" w:color="auto"/>
              <w:bottom w:val="single" w:sz="4" w:space="0" w:color="auto"/>
              <w:right w:val="single" w:sz="4" w:space="0" w:color="auto"/>
            </w:tcBorders>
            <w:shd w:val="clear" w:color="auto" w:fill="C6EFCE"/>
            <w:noWrap/>
          </w:tcPr>
          <w:p w14:paraId="12DF834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w:t>
            </w:r>
          </w:p>
          <w:p w14:paraId="23BBF94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Instituirea unui fond pentru Valul renovării care să finanțeze lucrări de îmbunătățire a eficienței energetice a fondului construit existent</w:t>
            </w:r>
          </w:p>
        </w:tc>
        <w:tc>
          <w:tcPr>
            <w:tcW w:w="1252" w:type="dxa"/>
            <w:tcBorders>
              <w:top w:val="nil"/>
              <w:left w:val="single" w:sz="4" w:space="0" w:color="auto"/>
              <w:bottom w:val="single" w:sz="4" w:space="0" w:color="auto"/>
              <w:right w:val="single" w:sz="4" w:space="0" w:color="auto"/>
            </w:tcBorders>
            <w:shd w:val="clear" w:color="auto" w:fill="C6EFCE"/>
            <w:noWrap/>
          </w:tcPr>
          <w:p w14:paraId="7D572BB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nil"/>
              <w:left w:val="single" w:sz="4" w:space="0" w:color="auto"/>
              <w:bottom w:val="single" w:sz="4" w:space="0" w:color="auto"/>
              <w:right w:val="single" w:sz="4" w:space="0" w:color="auto"/>
            </w:tcBorders>
            <w:shd w:val="clear" w:color="auto" w:fill="C6EFCE"/>
            <w:noWrap/>
          </w:tcPr>
          <w:p w14:paraId="14355FF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Finalizarea renovării energetice a clădirilor publice </w:t>
            </w:r>
          </w:p>
        </w:tc>
        <w:tc>
          <w:tcPr>
            <w:tcW w:w="1807" w:type="dxa"/>
            <w:tcBorders>
              <w:top w:val="single" w:sz="4" w:space="0" w:color="auto"/>
              <w:left w:val="nil"/>
              <w:bottom w:val="single" w:sz="4" w:space="0" w:color="auto"/>
              <w:right w:val="single" w:sz="4" w:space="0" w:color="auto"/>
            </w:tcBorders>
            <w:shd w:val="clear" w:color="auto" w:fill="C6EFCE"/>
            <w:noWrap/>
          </w:tcPr>
          <w:p w14:paraId="5EAFD8C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1B1B434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 (m</w:t>
            </w:r>
            <w:r>
              <w:rPr>
                <w:rFonts w:ascii="Times New Roman" w:hAnsi="Times New Roman"/>
                <w:noProof/>
                <w:sz w:val="24"/>
                <w:vertAlign w:val="superscript"/>
              </w:rPr>
              <w:t>2</w:t>
            </w:r>
            <w:r>
              <w:rPr>
                <w:rFonts w:ascii="Times New Roman" w:hAnsi="Times New Roman"/>
                <w:noProof/>
                <w:sz w:val="24"/>
              </w:rPr>
              <w:t>)</w:t>
            </w:r>
          </w:p>
        </w:tc>
        <w:tc>
          <w:tcPr>
            <w:tcW w:w="1200" w:type="dxa"/>
            <w:tcBorders>
              <w:top w:val="single" w:sz="4" w:space="0" w:color="auto"/>
              <w:left w:val="nil"/>
              <w:bottom w:val="single" w:sz="4" w:space="0" w:color="auto"/>
              <w:right w:val="single" w:sz="4" w:space="0" w:color="auto"/>
            </w:tcBorders>
            <w:shd w:val="clear" w:color="auto" w:fill="C6EFCE"/>
            <w:noWrap/>
          </w:tcPr>
          <w:p w14:paraId="7FF0A220" w14:textId="5F714532"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1 204 553</w:t>
            </w:r>
          </w:p>
        </w:tc>
        <w:tc>
          <w:tcPr>
            <w:tcW w:w="1103" w:type="dxa"/>
            <w:tcBorders>
              <w:top w:val="single" w:sz="4" w:space="0" w:color="auto"/>
              <w:left w:val="nil"/>
              <w:bottom w:val="single" w:sz="4" w:space="0" w:color="auto"/>
              <w:right w:val="single" w:sz="4" w:space="0" w:color="auto"/>
            </w:tcBorders>
            <w:shd w:val="clear" w:color="auto" w:fill="C6EFCE"/>
            <w:noWrap/>
          </w:tcPr>
          <w:p w14:paraId="4D88B3B0" w14:textId="5CB5FE0E" w:rsidR="00271EF8" w:rsidRPr="000A27B3" w:rsidRDefault="00271EF8">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1 797 841</w:t>
            </w:r>
          </w:p>
          <w:p w14:paraId="10624FC4" w14:textId="77777777" w:rsidR="00271EF8" w:rsidRPr="000A27B3" w:rsidRDefault="00271EF8">
            <w:pPr>
              <w:spacing w:after="0" w:line="240" w:lineRule="auto"/>
              <w:jc w:val="both"/>
              <w:rPr>
                <w:rFonts w:ascii="Times New Roman" w:eastAsia="Times New Roman" w:hAnsi="Times New Roman" w:cs="Times New Roman"/>
                <w:noProof/>
                <w:sz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269ACA1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1B480E4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573" w:type="dxa"/>
            <w:tcBorders>
              <w:top w:val="nil"/>
              <w:left w:val="single" w:sz="4" w:space="0" w:color="auto"/>
              <w:bottom w:val="single" w:sz="4" w:space="0" w:color="auto"/>
              <w:right w:val="single" w:sz="4" w:space="0" w:color="auto"/>
            </w:tcBorders>
            <w:shd w:val="clear" w:color="auto" w:fill="C6EFCE"/>
            <w:noWrap/>
          </w:tcPr>
          <w:p w14:paraId="3657A00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Renovarea energetică a clădirilor publice, în conformitate cu condițiile prevăzute în jaloanele 96 și 98 </w:t>
            </w:r>
          </w:p>
        </w:tc>
      </w:tr>
      <w:tr w:rsidR="000A27B3" w:rsidRPr="000A27B3" w14:paraId="1EFE0F67"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E0A5686"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107</w:t>
            </w:r>
          </w:p>
        </w:tc>
        <w:tc>
          <w:tcPr>
            <w:tcW w:w="1532" w:type="dxa"/>
            <w:tcBorders>
              <w:top w:val="single" w:sz="4" w:space="0" w:color="auto"/>
              <w:left w:val="single" w:sz="4" w:space="0" w:color="auto"/>
              <w:bottom w:val="single" w:sz="4" w:space="0" w:color="auto"/>
              <w:right w:val="single" w:sz="4" w:space="0" w:color="auto"/>
            </w:tcBorders>
            <w:shd w:val="clear" w:color="auto" w:fill="C6EFCE"/>
            <w:noWrap/>
          </w:tcPr>
          <w:p w14:paraId="7DA62A9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Realizarea Registrului național al clădirilor</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ABBFF59"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single" w:sz="4" w:space="0" w:color="auto"/>
              <w:left w:val="single" w:sz="4" w:space="0" w:color="auto"/>
              <w:bottom w:val="single" w:sz="4" w:space="0" w:color="auto"/>
              <w:right w:val="single" w:sz="4" w:space="0" w:color="auto"/>
            </w:tcBorders>
            <w:shd w:val="clear" w:color="auto" w:fill="C6EFCE"/>
            <w:noWrap/>
          </w:tcPr>
          <w:p w14:paraId="493FF124" w14:textId="1D18CB55"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Registrul național digital al clădirilor este înființat și operațional </w:t>
            </w:r>
            <w:r>
              <w:rPr>
                <w:noProof/>
              </w:rPr>
              <w:br/>
            </w:r>
          </w:p>
        </w:tc>
        <w:tc>
          <w:tcPr>
            <w:tcW w:w="1807" w:type="dxa"/>
            <w:tcBorders>
              <w:top w:val="single" w:sz="4" w:space="0" w:color="auto"/>
              <w:left w:val="nil"/>
              <w:bottom w:val="single" w:sz="4" w:space="0" w:color="auto"/>
              <w:right w:val="single" w:sz="4" w:space="0" w:color="auto"/>
            </w:tcBorders>
            <w:shd w:val="clear" w:color="auto" w:fill="C6EFCE"/>
            <w:noWrap/>
          </w:tcPr>
          <w:p w14:paraId="3512DCED"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Registrul național digital al clădirilor este disponibil online, cu o secțiune-pilot care include informații referitoare la clădirile renovate prin intermediul planului național de redresare și reziliență.</w:t>
            </w:r>
          </w:p>
        </w:tc>
        <w:tc>
          <w:tcPr>
            <w:tcW w:w="1039" w:type="dxa"/>
            <w:tcBorders>
              <w:top w:val="single" w:sz="4" w:space="0" w:color="auto"/>
              <w:left w:val="nil"/>
              <w:bottom w:val="single" w:sz="4" w:space="0" w:color="auto"/>
              <w:right w:val="single" w:sz="4" w:space="0" w:color="auto"/>
            </w:tcBorders>
            <w:shd w:val="clear" w:color="auto" w:fill="C6EFCE"/>
            <w:noWrap/>
          </w:tcPr>
          <w:p w14:paraId="2FB24AB0"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65E80C90"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1103" w:type="dxa"/>
            <w:tcBorders>
              <w:top w:val="single" w:sz="4" w:space="0" w:color="auto"/>
              <w:left w:val="nil"/>
              <w:bottom w:val="single" w:sz="4" w:space="0" w:color="auto"/>
              <w:right w:val="single" w:sz="4" w:space="0" w:color="auto"/>
            </w:tcBorders>
            <w:shd w:val="clear" w:color="auto" w:fill="C6EFCE"/>
            <w:noWrap/>
          </w:tcPr>
          <w:p w14:paraId="1236ED39"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1297" w:type="dxa"/>
            <w:tcBorders>
              <w:top w:val="single" w:sz="4" w:space="0" w:color="auto"/>
              <w:left w:val="single" w:sz="4" w:space="0" w:color="auto"/>
              <w:bottom w:val="single" w:sz="4" w:space="0" w:color="auto"/>
              <w:right w:val="single" w:sz="4" w:space="0" w:color="auto"/>
            </w:tcBorders>
            <w:shd w:val="clear" w:color="auto" w:fill="C6EFCE"/>
            <w:noWrap/>
          </w:tcPr>
          <w:p w14:paraId="60374F5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single" w:sz="4" w:space="0" w:color="auto"/>
              <w:left w:val="nil"/>
              <w:bottom w:val="single" w:sz="4" w:space="0" w:color="auto"/>
              <w:right w:val="single" w:sz="4" w:space="0" w:color="auto"/>
            </w:tcBorders>
            <w:shd w:val="clear" w:color="auto" w:fill="C6EFCE"/>
            <w:noWrap/>
          </w:tcPr>
          <w:p w14:paraId="44EAA55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573" w:type="dxa"/>
            <w:tcBorders>
              <w:top w:val="single" w:sz="4" w:space="0" w:color="auto"/>
              <w:left w:val="single" w:sz="4" w:space="0" w:color="auto"/>
              <w:bottom w:val="single" w:sz="4" w:space="0" w:color="auto"/>
              <w:right w:val="single" w:sz="4" w:space="0" w:color="auto"/>
            </w:tcBorders>
            <w:shd w:val="clear" w:color="auto" w:fill="C6EFCE"/>
            <w:noWrap/>
          </w:tcPr>
          <w:p w14:paraId="78D54541"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Sistemul informatic al registrului va conține o bază de date georeferențiată a clădirilor publice și private, care va fi complementară geoportalului INSPIRE, corelată și interoperabilă cu bazele de date urbane de la nivel local și cu alte sisteme și registre naționale. Pașaportul energetic al clădirilor va face parte din logbook și va conține în format digital toate informațiile legate de intervențiile legate de energie. Logbook-urile vor face parte din Registrul național al clădirilor ca un sistem integrat.</w:t>
            </w:r>
          </w:p>
          <w:p w14:paraId="28CEC23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Scopul registrului este de a monitoriza datele privind renovarea energetică (economiile de energie, reducerea emisiilor), precum și datele privind vulnerabilitatea seismică și alte caracteristici ale clădirilor.</w:t>
            </w:r>
          </w:p>
        </w:tc>
      </w:tr>
      <w:tr w:rsidR="000A27B3" w:rsidRPr="000A27B3" w14:paraId="52700272"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13A19E37"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108</w:t>
            </w:r>
          </w:p>
        </w:tc>
        <w:tc>
          <w:tcPr>
            <w:tcW w:w="1532" w:type="dxa"/>
            <w:tcBorders>
              <w:top w:val="single" w:sz="4" w:space="0" w:color="auto"/>
              <w:left w:val="single" w:sz="4" w:space="0" w:color="auto"/>
              <w:bottom w:val="single" w:sz="4" w:space="0" w:color="auto"/>
              <w:right w:val="single" w:sz="4" w:space="0" w:color="auto"/>
            </w:tcBorders>
            <w:shd w:val="clear" w:color="auto" w:fill="C6EFCE"/>
            <w:noWrap/>
          </w:tcPr>
          <w:p w14:paraId="3A3F558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 Consolidarea capacității profesionale a specialiștilor și lucrătorilor în domeniul construcțiilor prin elaborarea de cursuri de formare privind eficiența energetică a construcțiilor</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AC0388A"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single" w:sz="4" w:space="0" w:color="auto"/>
              <w:left w:val="single" w:sz="4" w:space="0" w:color="auto"/>
              <w:bottom w:val="single" w:sz="4" w:space="0" w:color="auto"/>
              <w:right w:val="single" w:sz="4" w:space="0" w:color="auto"/>
            </w:tcBorders>
            <w:shd w:val="clear" w:color="auto" w:fill="C6EFCE"/>
            <w:noWrap/>
          </w:tcPr>
          <w:p w14:paraId="2B45D79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Instituirea unor scheme de certificare în domeniul performanței energetice a clădirilor</w:t>
            </w:r>
          </w:p>
        </w:tc>
        <w:tc>
          <w:tcPr>
            <w:tcW w:w="1807" w:type="dxa"/>
            <w:tcBorders>
              <w:top w:val="single" w:sz="4" w:space="0" w:color="auto"/>
              <w:left w:val="nil"/>
              <w:bottom w:val="single" w:sz="4" w:space="0" w:color="auto"/>
              <w:right w:val="single" w:sz="4" w:space="0" w:color="auto"/>
            </w:tcBorders>
            <w:shd w:val="clear" w:color="auto" w:fill="C6EFCE"/>
            <w:noWrap/>
          </w:tcPr>
          <w:p w14:paraId="316C339D"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1F04E8A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200" w:type="dxa"/>
            <w:tcBorders>
              <w:top w:val="single" w:sz="4" w:space="0" w:color="auto"/>
              <w:left w:val="nil"/>
              <w:bottom w:val="single" w:sz="4" w:space="0" w:color="auto"/>
              <w:right w:val="single" w:sz="4" w:space="0" w:color="auto"/>
            </w:tcBorders>
            <w:shd w:val="clear" w:color="auto" w:fill="C6EFCE"/>
            <w:noWrap/>
          </w:tcPr>
          <w:p w14:paraId="1A5D0CC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103" w:type="dxa"/>
            <w:tcBorders>
              <w:top w:val="single" w:sz="4" w:space="0" w:color="auto"/>
              <w:left w:val="nil"/>
              <w:bottom w:val="single" w:sz="4" w:space="0" w:color="auto"/>
              <w:right w:val="single" w:sz="4" w:space="0" w:color="auto"/>
            </w:tcBorders>
            <w:shd w:val="clear" w:color="auto" w:fill="C6EFCE"/>
            <w:noWrap/>
          </w:tcPr>
          <w:p w14:paraId="7EBF1EA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10</w:t>
            </w:r>
          </w:p>
        </w:tc>
        <w:tc>
          <w:tcPr>
            <w:tcW w:w="1297" w:type="dxa"/>
            <w:tcBorders>
              <w:top w:val="single" w:sz="4" w:space="0" w:color="auto"/>
              <w:left w:val="single" w:sz="4" w:space="0" w:color="auto"/>
              <w:bottom w:val="single" w:sz="4" w:space="0" w:color="auto"/>
              <w:right w:val="single" w:sz="4" w:space="0" w:color="auto"/>
            </w:tcBorders>
            <w:shd w:val="clear" w:color="auto" w:fill="C6EFCE"/>
            <w:noWrap/>
          </w:tcPr>
          <w:p w14:paraId="0507E502"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20" w:type="dxa"/>
            <w:tcBorders>
              <w:top w:val="single" w:sz="4" w:space="0" w:color="auto"/>
              <w:left w:val="nil"/>
              <w:bottom w:val="single" w:sz="4" w:space="0" w:color="auto"/>
              <w:right w:val="single" w:sz="4" w:space="0" w:color="auto"/>
            </w:tcBorders>
            <w:shd w:val="clear" w:color="auto" w:fill="C6EFCE"/>
            <w:noWrap/>
          </w:tcPr>
          <w:p w14:paraId="1AE9266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573" w:type="dxa"/>
            <w:tcBorders>
              <w:top w:val="single" w:sz="4" w:space="0" w:color="auto"/>
              <w:left w:val="single" w:sz="4" w:space="0" w:color="auto"/>
              <w:bottom w:val="single" w:sz="4" w:space="0" w:color="auto"/>
              <w:right w:val="single" w:sz="4" w:space="0" w:color="auto"/>
            </w:tcBorders>
            <w:shd w:val="clear" w:color="auto" w:fill="C6EFCE"/>
            <w:noWrap/>
          </w:tcPr>
          <w:p w14:paraId="7D737C2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vor institui cel puțin 10 scheme de certificare pentru lucrătorii și specialiștii în construcții. Certificările se vor furniza în cadrul programelor de formare sub forma unor cursuri de scurtă durată în cadrul programelor de învățare pe tot parcursul vieții, care urmează să fie oferite în diferite regiuni răspândite uniform pe teritoriul României. Cursurile de formare vor fi dedicate îmbunătățirii competențelor profesioniștilor și ale lucrătorilor în contextul renovării energetice a clădirilor.</w:t>
            </w:r>
          </w:p>
        </w:tc>
      </w:tr>
      <w:tr w:rsidR="000A27B3" w:rsidRPr="000A27B3" w14:paraId="78563255"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2E1AB47E"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109</w:t>
            </w:r>
          </w:p>
        </w:tc>
        <w:tc>
          <w:tcPr>
            <w:tcW w:w="1532" w:type="dxa"/>
            <w:tcBorders>
              <w:top w:val="nil"/>
              <w:left w:val="single" w:sz="4" w:space="0" w:color="auto"/>
              <w:bottom w:val="single" w:sz="4" w:space="0" w:color="auto"/>
              <w:right w:val="single" w:sz="4" w:space="0" w:color="auto"/>
            </w:tcBorders>
            <w:shd w:val="clear" w:color="auto" w:fill="C6EFCE"/>
            <w:noWrap/>
          </w:tcPr>
          <w:p w14:paraId="518B20E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 Consolidarea capacității profesionale a specialiștilor și lucrătorilor în domeniul construcțiilor prin elaborarea de cursuri de formare privind eficiența energetică a construcțiilor</w:t>
            </w:r>
          </w:p>
        </w:tc>
        <w:tc>
          <w:tcPr>
            <w:tcW w:w="1252" w:type="dxa"/>
            <w:tcBorders>
              <w:top w:val="nil"/>
              <w:left w:val="single" w:sz="4" w:space="0" w:color="auto"/>
              <w:bottom w:val="single" w:sz="4" w:space="0" w:color="auto"/>
              <w:right w:val="single" w:sz="4" w:space="0" w:color="auto"/>
            </w:tcBorders>
            <w:shd w:val="clear" w:color="auto" w:fill="C6EFCE"/>
            <w:noWrap/>
          </w:tcPr>
          <w:p w14:paraId="61797982"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nil"/>
              <w:left w:val="single" w:sz="4" w:space="0" w:color="auto"/>
              <w:bottom w:val="single" w:sz="4" w:space="0" w:color="auto"/>
              <w:right w:val="single" w:sz="4" w:space="0" w:color="auto"/>
            </w:tcBorders>
            <w:shd w:val="clear" w:color="auto" w:fill="C6EFCE"/>
            <w:noWrap/>
          </w:tcPr>
          <w:p w14:paraId="0C37504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Cel puțin 8 000 de specialiști și lucrători obțin certificarea absolvirii cursurilor de formare în domeniul eficienței energetice </w:t>
            </w:r>
          </w:p>
        </w:tc>
        <w:tc>
          <w:tcPr>
            <w:tcW w:w="1807" w:type="dxa"/>
            <w:tcBorders>
              <w:top w:val="single" w:sz="4" w:space="0" w:color="auto"/>
              <w:left w:val="nil"/>
              <w:bottom w:val="single" w:sz="4" w:space="0" w:color="auto"/>
              <w:right w:val="single" w:sz="4" w:space="0" w:color="auto"/>
            </w:tcBorders>
            <w:shd w:val="clear" w:color="auto" w:fill="C6EFCE"/>
            <w:noWrap/>
          </w:tcPr>
          <w:p w14:paraId="410FD51D"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176F962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200" w:type="dxa"/>
            <w:tcBorders>
              <w:top w:val="single" w:sz="4" w:space="0" w:color="auto"/>
              <w:left w:val="nil"/>
              <w:bottom w:val="single" w:sz="4" w:space="0" w:color="auto"/>
              <w:right w:val="single" w:sz="4" w:space="0" w:color="auto"/>
            </w:tcBorders>
            <w:shd w:val="clear" w:color="auto" w:fill="C6EFCE"/>
            <w:noWrap/>
          </w:tcPr>
          <w:p w14:paraId="2EDFF6C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103" w:type="dxa"/>
            <w:tcBorders>
              <w:top w:val="single" w:sz="4" w:space="0" w:color="auto"/>
              <w:left w:val="nil"/>
              <w:bottom w:val="single" w:sz="4" w:space="0" w:color="auto"/>
              <w:right w:val="single" w:sz="4" w:space="0" w:color="auto"/>
            </w:tcBorders>
            <w:shd w:val="clear" w:color="auto" w:fill="C6EFCE"/>
            <w:noWrap/>
          </w:tcPr>
          <w:p w14:paraId="610A713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8 000</w:t>
            </w:r>
          </w:p>
        </w:tc>
        <w:tc>
          <w:tcPr>
            <w:tcW w:w="1297" w:type="dxa"/>
            <w:tcBorders>
              <w:top w:val="nil"/>
              <w:left w:val="single" w:sz="4" w:space="0" w:color="auto"/>
              <w:bottom w:val="single" w:sz="4" w:space="0" w:color="auto"/>
              <w:right w:val="single" w:sz="4" w:space="0" w:color="auto"/>
            </w:tcBorders>
            <w:shd w:val="clear" w:color="auto" w:fill="C6EFCE"/>
            <w:noWrap/>
          </w:tcPr>
          <w:p w14:paraId="68A5B3F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37F660BA"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573" w:type="dxa"/>
            <w:tcBorders>
              <w:top w:val="nil"/>
              <w:left w:val="single" w:sz="4" w:space="0" w:color="auto"/>
              <w:bottom w:val="single" w:sz="4" w:space="0" w:color="auto"/>
              <w:right w:val="single" w:sz="4" w:space="0" w:color="auto"/>
            </w:tcBorders>
            <w:shd w:val="clear" w:color="auto" w:fill="C6EFCE"/>
            <w:noWrap/>
          </w:tcPr>
          <w:p w14:paraId="01E9906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8 000 de specialiști și lucrători din sectorul construcțiilor trebuie să fi obținut certificarea absolvirii cursului de formare de scurtă durată în domeniul eficienței energetice. </w:t>
            </w:r>
          </w:p>
        </w:tc>
      </w:tr>
      <w:tr w:rsidR="000A27B3" w:rsidRPr="000A27B3" w14:paraId="609F0399"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1DD5E271"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110</w:t>
            </w:r>
          </w:p>
        </w:tc>
        <w:tc>
          <w:tcPr>
            <w:tcW w:w="1532" w:type="dxa"/>
            <w:tcBorders>
              <w:top w:val="nil"/>
              <w:left w:val="single" w:sz="4" w:space="0" w:color="auto"/>
              <w:bottom w:val="single" w:sz="4" w:space="0" w:color="auto"/>
              <w:right w:val="single" w:sz="4" w:space="0" w:color="auto"/>
            </w:tcBorders>
            <w:shd w:val="clear" w:color="auto" w:fill="C6EFCE"/>
            <w:noWrap/>
          </w:tcPr>
          <w:p w14:paraId="315CC153"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4. Economie circulară și creșterea eficienței energetice a clădirilor istorice</w:t>
            </w:r>
          </w:p>
        </w:tc>
        <w:tc>
          <w:tcPr>
            <w:tcW w:w="1252" w:type="dxa"/>
            <w:tcBorders>
              <w:top w:val="nil"/>
              <w:left w:val="single" w:sz="4" w:space="0" w:color="auto"/>
              <w:bottom w:val="single" w:sz="4" w:space="0" w:color="auto"/>
              <w:right w:val="single" w:sz="4" w:space="0" w:color="auto"/>
            </w:tcBorders>
            <w:shd w:val="clear" w:color="auto" w:fill="C6EFCE"/>
            <w:noWrap/>
          </w:tcPr>
          <w:p w14:paraId="4E715070"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nil"/>
              <w:left w:val="single" w:sz="4" w:space="0" w:color="auto"/>
              <w:bottom w:val="single" w:sz="4" w:space="0" w:color="auto"/>
              <w:right w:val="single" w:sz="4" w:space="0" w:color="auto"/>
            </w:tcBorders>
            <w:shd w:val="clear" w:color="auto" w:fill="C6EFCE"/>
            <w:noWrap/>
          </w:tcPr>
          <w:p w14:paraId="6C27B6D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Este operațional un laborator pentru analiza experimentală a materialelor și soluțiilor tehnologice pentru clădirile istorice.</w:t>
            </w:r>
          </w:p>
        </w:tc>
        <w:tc>
          <w:tcPr>
            <w:tcW w:w="1807" w:type="dxa"/>
            <w:tcBorders>
              <w:top w:val="single" w:sz="4" w:space="0" w:color="auto"/>
              <w:left w:val="nil"/>
              <w:bottom w:val="single" w:sz="4" w:space="0" w:color="auto"/>
              <w:right w:val="single" w:sz="4" w:space="0" w:color="auto"/>
            </w:tcBorders>
            <w:shd w:val="clear" w:color="auto" w:fill="C6EFCE"/>
            <w:noWrap/>
          </w:tcPr>
          <w:p w14:paraId="4A9F6F3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Laboratorul este operațional. </w:t>
            </w:r>
          </w:p>
        </w:tc>
        <w:tc>
          <w:tcPr>
            <w:tcW w:w="1039" w:type="dxa"/>
            <w:tcBorders>
              <w:top w:val="single" w:sz="4" w:space="0" w:color="auto"/>
              <w:left w:val="nil"/>
              <w:bottom w:val="single" w:sz="4" w:space="0" w:color="auto"/>
              <w:right w:val="single" w:sz="4" w:space="0" w:color="auto"/>
            </w:tcBorders>
            <w:shd w:val="clear" w:color="auto" w:fill="C6EFCE"/>
            <w:noWrap/>
          </w:tcPr>
          <w:p w14:paraId="617A6187"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2EFC5C00"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103" w:type="dxa"/>
            <w:tcBorders>
              <w:top w:val="single" w:sz="4" w:space="0" w:color="auto"/>
              <w:left w:val="nil"/>
              <w:bottom w:val="single" w:sz="4" w:space="0" w:color="auto"/>
              <w:right w:val="single" w:sz="4" w:space="0" w:color="auto"/>
            </w:tcBorders>
            <w:shd w:val="clear" w:color="auto" w:fill="C6EFCE"/>
            <w:noWrap/>
          </w:tcPr>
          <w:p w14:paraId="22622B51" w14:textId="77777777" w:rsidR="00271EF8" w:rsidRPr="000A27B3" w:rsidRDefault="00271EF8">
            <w:pPr>
              <w:spacing w:after="0" w:line="240" w:lineRule="auto"/>
              <w:jc w:val="both"/>
              <w:rPr>
                <w:rFonts w:ascii="Times New Roman" w:eastAsia="Times New Roman" w:hAnsi="Times New Roman" w:cs="Times New Roman"/>
                <w:noProof/>
                <w:sz w:val="24"/>
                <w:szCs w:val="24"/>
                <w:lang w:val="en-GB"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2B24888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3397B06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573" w:type="dxa"/>
            <w:tcBorders>
              <w:top w:val="nil"/>
              <w:left w:val="single" w:sz="4" w:space="0" w:color="auto"/>
              <w:bottom w:val="single" w:sz="4" w:space="0" w:color="auto"/>
              <w:right w:val="single" w:sz="4" w:space="0" w:color="auto"/>
            </w:tcBorders>
            <w:shd w:val="clear" w:color="auto" w:fill="C6EFCE"/>
            <w:noWrap/>
          </w:tcPr>
          <w:p w14:paraId="5D56A90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Structura organizatorică și procedurile de gestionare ale laboratorului vor fi instituite, pentru a permite efectuarea testelor în conformitate cu metodele științifice. Rezultatele testului se utilizează la elaborarea procedurilor tehnice ale metodologiei ce vizează creșterea eficienței energetice a clădirilor istorice prin utilizarea de noi tehnici și materiale, în funcție de regiune, de tradiția în construcții și de caracteristicile fizice.</w:t>
            </w:r>
          </w:p>
        </w:tc>
      </w:tr>
      <w:tr w:rsidR="000A27B3" w:rsidRPr="000A27B3" w14:paraId="087C4772"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F59FC2B"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111</w:t>
            </w:r>
          </w:p>
        </w:tc>
        <w:tc>
          <w:tcPr>
            <w:tcW w:w="1532" w:type="dxa"/>
            <w:tcBorders>
              <w:top w:val="nil"/>
              <w:left w:val="single" w:sz="4" w:space="0" w:color="auto"/>
              <w:bottom w:val="single" w:sz="4" w:space="0" w:color="auto"/>
              <w:right w:val="single" w:sz="4" w:space="0" w:color="auto"/>
            </w:tcBorders>
            <w:shd w:val="clear" w:color="auto" w:fill="C6EFCE"/>
            <w:noWrap/>
          </w:tcPr>
          <w:p w14:paraId="4A2BD39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4. Economie circulară și creșterea eficienței energetice a clădirilor istorice</w:t>
            </w:r>
          </w:p>
        </w:tc>
        <w:tc>
          <w:tcPr>
            <w:tcW w:w="1252" w:type="dxa"/>
            <w:tcBorders>
              <w:top w:val="nil"/>
              <w:left w:val="single" w:sz="4" w:space="0" w:color="auto"/>
              <w:bottom w:val="single" w:sz="4" w:space="0" w:color="auto"/>
              <w:right w:val="single" w:sz="4" w:space="0" w:color="auto"/>
            </w:tcBorders>
            <w:shd w:val="clear" w:color="auto" w:fill="C6EFCE"/>
            <w:noWrap/>
          </w:tcPr>
          <w:p w14:paraId="0E602244"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807" w:type="dxa"/>
            <w:tcBorders>
              <w:top w:val="nil"/>
              <w:left w:val="single" w:sz="4" w:space="0" w:color="auto"/>
              <w:bottom w:val="single" w:sz="4" w:space="0" w:color="auto"/>
              <w:right w:val="single" w:sz="4" w:space="0" w:color="auto"/>
            </w:tcBorders>
            <w:shd w:val="clear" w:color="auto" w:fill="C6EFCE"/>
            <w:noWrap/>
          </w:tcPr>
          <w:p w14:paraId="190F5436"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Este operațional un centru-pilot în cadrul Institutului Național al Patrimoniului pentru colectarea și reutilizarea materialelor de construcție istorice</w:t>
            </w:r>
          </w:p>
        </w:tc>
        <w:tc>
          <w:tcPr>
            <w:tcW w:w="1807" w:type="dxa"/>
            <w:tcBorders>
              <w:top w:val="single" w:sz="4" w:space="0" w:color="auto"/>
              <w:left w:val="nil"/>
              <w:bottom w:val="single" w:sz="4" w:space="0" w:color="auto"/>
              <w:right w:val="single" w:sz="4" w:space="0" w:color="auto"/>
            </w:tcBorders>
            <w:shd w:val="clear" w:color="auto" w:fill="C6EFCE"/>
            <w:noWrap/>
          </w:tcPr>
          <w:p w14:paraId="7C1E565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Autorizație de funcționare este obținută.</w:t>
            </w:r>
          </w:p>
        </w:tc>
        <w:tc>
          <w:tcPr>
            <w:tcW w:w="1039" w:type="dxa"/>
            <w:tcBorders>
              <w:top w:val="single" w:sz="4" w:space="0" w:color="auto"/>
              <w:left w:val="nil"/>
              <w:bottom w:val="single" w:sz="4" w:space="0" w:color="auto"/>
              <w:right w:val="single" w:sz="4" w:space="0" w:color="auto"/>
            </w:tcBorders>
            <w:shd w:val="clear" w:color="auto" w:fill="C6EFCE"/>
            <w:noWrap/>
          </w:tcPr>
          <w:p w14:paraId="32E3F0D9"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6D9B7E2F"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103" w:type="dxa"/>
            <w:tcBorders>
              <w:top w:val="single" w:sz="4" w:space="0" w:color="auto"/>
              <w:left w:val="nil"/>
              <w:bottom w:val="single" w:sz="4" w:space="0" w:color="auto"/>
              <w:right w:val="single" w:sz="4" w:space="0" w:color="auto"/>
            </w:tcBorders>
            <w:shd w:val="clear" w:color="auto" w:fill="C6EFCE"/>
            <w:noWrap/>
          </w:tcPr>
          <w:p w14:paraId="0144CA9D" w14:textId="77777777" w:rsidR="00271EF8" w:rsidRPr="009F1DC7" w:rsidRDefault="00271EF8">
            <w:pPr>
              <w:spacing w:after="0" w:line="240" w:lineRule="auto"/>
              <w:jc w:val="both"/>
              <w:rPr>
                <w:rFonts w:ascii="Times New Roman" w:eastAsia="Times New Roman" w:hAnsi="Times New Roman" w:cs="Times New Roman"/>
                <w:noProof/>
                <w:sz w:val="24"/>
                <w:szCs w:val="24"/>
                <w:lang w:val="fr-FR" w:eastAsia="en-GB"/>
              </w:rPr>
            </w:pPr>
          </w:p>
        </w:tc>
        <w:tc>
          <w:tcPr>
            <w:tcW w:w="1297" w:type="dxa"/>
            <w:tcBorders>
              <w:top w:val="nil"/>
              <w:left w:val="single" w:sz="4" w:space="0" w:color="auto"/>
              <w:bottom w:val="single" w:sz="4" w:space="0" w:color="auto"/>
              <w:right w:val="single" w:sz="4" w:space="0" w:color="auto"/>
            </w:tcBorders>
            <w:shd w:val="clear" w:color="auto" w:fill="C6EFCE"/>
            <w:noWrap/>
          </w:tcPr>
          <w:p w14:paraId="471D8E20"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53E23818"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573" w:type="dxa"/>
            <w:tcBorders>
              <w:top w:val="nil"/>
              <w:left w:val="single" w:sz="4" w:space="0" w:color="auto"/>
              <w:bottom w:val="single" w:sz="4" w:space="0" w:color="auto"/>
              <w:right w:val="single" w:sz="4" w:space="0" w:color="auto"/>
            </w:tcBorders>
            <w:shd w:val="clear" w:color="auto" w:fill="C6EFCE"/>
            <w:noWrap/>
          </w:tcPr>
          <w:p w14:paraId="288EC730" w14:textId="5A2E0F9A"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Centrul-pilot va fi dotat cu infrastructură pentru dezmembrarea, colectarea separată și sortarea materialelor istorice, precum și cu instrumentele necesare pentru repararea materialelor colectate provenite din renovări și demolări ale clădirilor istorice. Materialele reparate vor fi reutilizate în lucrările viitoare ce vizează clădirile istorice, inclusiv cele finanțate prin această componentă. Dezvoltarea centrului se bazează pe principiile economiei circulare și respectă principiile eficienței resurselor. </w:t>
            </w:r>
          </w:p>
        </w:tc>
      </w:tr>
      <w:tr w:rsidR="000A27B3" w:rsidRPr="000A27B3" w14:paraId="19B2376F" w14:textId="77777777" w:rsidTr="000048C5">
        <w:trPr>
          <w:trHeight w:val="309"/>
          <w:jc w:val="center"/>
        </w:trPr>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22CD8D13"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112</w:t>
            </w:r>
          </w:p>
        </w:tc>
        <w:tc>
          <w:tcPr>
            <w:tcW w:w="1532" w:type="dxa"/>
            <w:tcBorders>
              <w:top w:val="nil"/>
              <w:left w:val="single" w:sz="4" w:space="0" w:color="auto"/>
              <w:bottom w:val="single" w:sz="4" w:space="0" w:color="auto"/>
              <w:right w:val="single" w:sz="4" w:space="0" w:color="auto"/>
            </w:tcBorders>
            <w:shd w:val="clear" w:color="auto" w:fill="C6EFCE"/>
            <w:noWrap/>
          </w:tcPr>
          <w:p w14:paraId="42A9CF45"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4. Economie circulară și creșterea eficienței energetice a clădirilor istorice</w:t>
            </w:r>
          </w:p>
        </w:tc>
        <w:tc>
          <w:tcPr>
            <w:tcW w:w="1252" w:type="dxa"/>
            <w:tcBorders>
              <w:top w:val="nil"/>
              <w:left w:val="single" w:sz="4" w:space="0" w:color="auto"/>
              <w:bottom w:val="single" w:sz="4" w:space="0" w:color="auto"/>
              <w:right w:val="single" w:sz="4" w:space="0" w:color="auto"/>
            </w:tcBorders>
            <w:shd w:val="clear" w:color="auto" w:fill="C6EFCE"/>
            <w:noWrap/>
          </w:tcPr>
          <w:p w14:paraId="07815AD8" w14:textId="77777777" w:rsidR="00271EF8" w:rsidRPr="000A27B3" w:rsidRDefault="00271EF8">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807" w:type="dxa"/>
            <w:tcBorders>
              <w:top w:val="nil"/>
              <w:left w:val="single" w:sz="4" w:space="0" w:color="auto"/>
              <w:bottom w:val="single" w:sz="4" w:space="0" w:color="auto"/>
              <w:right w:val="single" w:sz="4" w:space="0" w:color="auto"/>
            </w:tcBorders>
            <w:shd w:val="clear" w:color="auto" w:fill="C6EFCE"/>
            <w:noWrap/>
          </w:tcPr>
          <w:p w14:paraId="0886BC9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200 de profesioniști obțin certificarea absolvirii cursurilor de formare privind intervențiile aferente clădirilor istorice și eficiența energetică a acestora.</w:t>
            </w:r>
          </w:p>
        </w:tc>
        <w:tc>
          <w:tcPr>
            <w:tcW w:w="1807" w:type="dxa"/>
            <w:tcBorders>
              <w:top w:val="single" w:sz="4" w:space="0" w:color="auto"/>
              <w:left w:val="nil"/>
              <w:bottom w:val="single" w:sz="4" w:space="0" w:color="auto"/>
              <w:right w:val="single" w:sz="4" w:space="0" w:color="auto"/>
            </w:tcBorders>
            <w:shd w:val="clear" w:color="auto" w:fill="C6EFCE"/>
            <w:noWrap/>
          </w:tcPr>
          <w:p w14:paraId="33FE3943" w14:textId="77777777" w:rsidR="00271EF8" w:rsidRPr="009F1DC7" w:rsidRDefault="00271EF8">
            <w:pPr>
              <w:spacing w:after="0" w:line="240" w:lineRule="auto"/>
              <w:jc w:val="both"/>
              <w:rPr>
                <w:rFonts w:ascii="Times New Roman" w:eastAsia="Times New Roman" w:hAnsi="Times New Roman" w:cs="Times New Roman"/>
                <w:noProof/>
                <w:sz w:val="24"/>
                <w:szCs w:val="24"/>
                <w:lang w:eastAsia="en-GB"/>
              </w:rPr>
            </w:pPr>
          </w:p>
        </w:tc>
        <w:tc>
          <w:tcPr>
            <w:tcW w:w="1039" w:type="dxa"/>
            <w:tcBorders>
              <w:top w:val="single" w:sz="4" w:space="0" w:color="auto"/>
              <w:left w:val="nil"/>
              <w:bottom w:val="single" w:sz="4" w:space="0" w:color="auto"/>
              <w:right w:val="single" w:sz="4" w:space="0" w:color="auto"/>
            </w:tcBorders>
            <w:shd w:val="clear" w:color="auto" w:fill="C6EFCE"/>
            <w:noWrap/>
          </w:tcPr>
          <w:p w14:paraId="3AE78699"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200" w:type="dxa"/>
            <w:tcBorders>
              <w:top w:val="single" w:sz="4" w:space="0" w:color="auto"/>
              <w:left w:val="nil"/>
              <w:bottom w:val="single" w:sz="4" w:space="0" w:color="auto"/>
              <w:right w:val="single" w:sz="4" w:space="0" w:color="auto"/>
            </w:tcBorders>
            <w:shd w:val="clear" w:color="auto" w:fill="C6EFCE"/>
            <w:noWrap/>
          </w:tcPr>
          <w:p w14:paraId="5F236B74"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103" w:type="dxa"/>
            <w:tcBorders>
              <w:top w:val="single" w:sz="4" w:space="0" w:color="auto"/>
              <w:left w:val="nil"/>
              <w:bottom w:val="single" w:sz="4" w:space="0" w:color="auto"/>
              <w:right w:val="single" w:sz="4" w:space="0" w:color="auto"/>
            </w:tcBorders>
            <w:shd w:val="clear" w:color="auto" w:fill="C6EFCE"/>
            <w:noWrap/>
          </w:tcPr>
          <w:p w14:paraId="6CDE331B"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200</w:t>
            </w:r>
          </w:p>
        </w:tc>
        <w:tc>
          <w:tcPr>
            <w:tcW w:w="1297" w:type="dxa"/>
            <w:tcBorders>
              <w:top w:val="nil"/>
              <w:left w:val="single" w:sz="4" w:space="0" w:color="auto"/>
              <w:bottom w:val="single" w:sz="4" w:space="0" w:color="auto"/>
              <w:right w:val="single" w:sz="4" w:space="0" w:color="auto"/>
            </w:tcBorders>
            <w:shd w:val="clear" w:color="auto" w:fill="C6EFCE"/>
            <w:noWrap/>
          </w:tcPr>
          <w:p w14:paraId="235B7737"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6F93BBF"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2573" w:type="dxa"/>
            <w:tcBorders>
              <w:top w:val="nil"/>
              <w:left w:val="single" w:sz="4" w:space="0" w:color="auto"/>
              <w:bottom w:val="single" w:sz="4" w:space="0" w:color="auto"/>
              <w:right w:val="single" w:sz="4" w:space="0" w:color="auto"/>
            </w:tcBorders>
            <w:shd w:val="clear" w:color="auto" w:fill="C6EFCE"/>
            <w:noWrap/>
          </w:tcPr>
          <w:p w14:paraId="2275BBCC" w14:textId="77777777" w:rsidR="00271EF8" w:rsidRPr="000A27B3" w:rsidRDefault="00271EF8">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200 de profesioniști vor fi obținut certificarea absolvirii cursurilor de formare privind eficiența energetică în domeniul clădirilor istorice. </w:t>
            </w:r>
          </w:p>
        </w:tc>
      </w:tr>
    </w:tbl>
    <w:p w14:paraId="65056B3F" w14:textId="77777777" w:rsidR="00271EF8" w:rsidRPr="000A27B3" w:rsidRDefault="00271EF8">
      <w:pPr>
        <w:spacing w:before="120" w:after="120" w:line="240" w:lineRule="auto"/>
        <w:ind w:left="850"/>
        <w:jc w:val="both"/>
        <w:rPr>
          <w:rFonts w:ascii="Times New Roman" w:hAnsi="Times New Roman" w:cs="Times New Roman"/>
          <w:noProof/>
          <w:sz w:val="24"/>
          <w:szCs w:val="24"/>
          <w:lang w:val="en-GB"/>
        </w:rPr>
        <w:sectPr w:rsidR="00271EF8" w:rsidRPr="000A27B3">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20"/>
          <w:docGrid w:linePitch="360"/>
        </w:sectPr>
      </w:pPr>
    </w:p>
    <w:p w14:paraId="5207574A" w14:textId="77777777" w:rsidR="00500CF9" w:rsidRPr="000A27B3" w:rsidRDefault="00500CF9">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 xml:space="preserve">COMPONENTA 6: Energie </w:t>
      </w:r>
    </w:p>
    <w:p w14:paraId="7EAC8B4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Sectorul energetic este cea mai mare sursă (66 %) de emisii de gaze cu efect de seră (GES) din România. În Planul său național pentru energie și climă (PNIESC), România estimează un necesar de investiții în sectorul energetic în valoare de aproximativ 22,6 miliarde EUR în perioada 2021-2030 pentru a atinge obiectivele de politică ale PNIESC pentru 2030.</w:t>
      </w:r>
    </w:p>
    <w:p w14:paraId="3C67CAA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componentei este de a aborda principalele provocări ale sectorului energetic din România în ceea ce privește decarbonizarea și poluarea aerului. Componenta vizează, în special, accelerarea decarbonizării sectorului energetic prin eliminarea treptată a centralelor pe bază de lignit și cărbune până în 2032 și prin facilitarea utilizării surselor regenerabile de energie și a surselor alternative de energie, cum ar fi hidrogenul verde. Componenta urmărește, de asemenea, să sporească flexibilitatea rețelei de energie electrică, să digitalizeze sectorul energetic și să reducă intensitatea energetică a industriei. Se vizează, de asemenea, îmbunătățirea guvernanței corporative a întreprinderilor de stat din sectorul energetic</w:t>
      </w:r>
    </w:p>
    <w:p w14:paraId="74D65AC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Aceste investiții și reforme vor aborda recomandările specifice adresate României în ultimii doi ani de a „axa politica economică în materie de investiții pe sectorul […] energetic cu emisii scăzute de dioxid de carbon și pe eficiența energetică (recomandarea specifică 4, 2019) și de a „direcționa cu prioritate investițiile către tranziția ecologică […], în special către […] producția și utilizarea energiei în mod nepoluant și eficient, precum și către infrastructura de mediu, inclusiv în regiunile miniere” (recomandarea specifică 3, 2020).</w:t>
      </w:r>
    </w:p>
    <w:p w14:paraId="5E659CFF"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va aduce prejudicii semnificative obiectivelor de mediu, în sensul articolului 17 din Regulamentul (UE) 2020/852, ținând seama de descrierea măsurilor și a măsurilor de atenuare stabilite în Planul de redresare și reziliență în conformitate cu Orientările tehnice DNSH (2021/C58/01).</w:t>
      </w:r>
    </w:p>
    <w:p w14:paraId="7B44C3AA"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F.1. </w:t>
      </w:r>
      <w:r>
        <w:rPr>
          <w:noProof/>
        </w:rPr>
        <w:tab/>
      </w:r>
      <w:r>
        <w:rPr>
          <w:rFonts w:ascii="Times New Roman" w:hAnsi="Times New Roman"/>
          <w:b/>
          <w:noProof/>
          <w:sz w:val="24"/>
        </w:rPr>
        <w:t>Descrierea reformelor și a investițiilor pentru care se prevede acordarea sprijinului financiar nerambursabil</w:t>
      </w:r>
    </w:p>
    <w:p w14:paraId="18135994"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1. Reforma pieței de energie electrică, prin înlocuirea cărbunelui din mixul energetic și susținerea unui cadru legislativ și de reglementare stimulativ pentru investițiile private în producția de electricitate din surse regenerabile</w:t>
      </w:r>
    </w:p>
    <w:p w14:paraId="3960505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decarbonizarea sectorului energetic, cu accent pe generarea de energie electrică. Reforma vizează două măsuri principale: eliminarea treptată a cărbunelui și creșterea capacității de generare a energiei electrice din surse regenerabile.</w:t>
      </w:r>
    </w:p>
    <w:p w14:paraId="3EF60D3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Primul element de reformă vizează eliminarea treptată a centralelor electrice pe bază de cărbune și de lignit până în 2032. Legea privind decarbonizarea și legislația secundară aferentă care stabilește calendarul dezafectării capacității totale instalate de cărbune și lignit vor intra în vigoare până la 30 iunie 2022. O capacitate instalată totală de 3 780 MW de producție de energie electrică pe bază de cărbune și lignit va fi dezafectată până la 31 decembrie 2025.</w:t>
      </w:r>
    </w:p>
    <w:p w14:paraId="0064DB82"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Al doilea element de reformă vizează facilitarea și accelerarea utilizării energiei din surse regenerabile în mixul energetic românesc. Pe lângă transpunerea legislației Uniunii, noua lege privind energia: i) va introduce contracte pentru diferență (CfD) ca principal mecanism de sprijin al investițiilor în producția de energie din surse regenerabile; ii) va permite negocierea directă a contractelor de achiziție de energie electrică (CAEE) de către toți producătorii de energie; iii) va simplifica procedurile de acordare a licențelor și a autorizațiilor pentru investițiile în energia din surse regenerabile, stabilind termene de răspuns administrative mai scurte și obligatorii și punând în aplicare proceduri de responsabilizare pentru întârzierile nejustificate; iv) va introduce un cadru de sprijin specific pentru investițiile în energia din surse regenerabile offshore în regiunile care în prezent sunt exploatate insuficient; și v) va implementa răspunsul la cerere pe piața de echilibrare pentru a reduce consumul la orele de vârf și a spori participarea consumatorilor industriali pe piața energiei. </w:t>
      </w:r>
    </w:p>
    <w:p w14:paraId="3845C16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Noua lege privind energia va intra în vigoare până la 30 iunie 2023. Ca urmare a acestor acțiuni, o capacitate suplimentară de cel puțin 3 000 MW de energie din surse regenerabile (eoliană și solară) va deveni operațională și va fi conectată la rețea până la 30 iunie 2026.</w:t>
      </w:r>
    </w:p>
    <w:p w14:paraId="67184DBA"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2.</w:t>
      </w:r>
      <w:r>
        <w:rPr>
          <w:rFonts w:ascii="Times New Roman" w:hAnsi="Times New Roman"/>
          <w:noProof/>
          <w:u w:val="single"/>
        </w:rPr>
        <w:t xml:space="preserve"> Îmbunătățirea guvernanței corporative a companiilor de stat din sectorul energetic</w:t>
      </w:r>
    </w:p>
    <w:p w14:paraId="2A6AB63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vizează îmbunătățirea guvernanței corporative a întreprinderilor de stat, axându-se pe sectorul energetic. În special, reforma va îmbunătăți transparența și competitivitatea procesului de selecție și numire a membrilor consiliilor de administrație și/sau de supraveghere ale societăților de stat din sectorul energetic. Aceste consilii vor avea un mandat de patru ani, iar sistemul de remunerare a membrilor acestora se va baza pe obiective cantitative și calitative legate de performanța financiară și în materie de servicii. </w:t>
      </w:r>
    </w:p>
    <w:p w14:paraId="5ADDD13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se va finaliza până la 31 decembrie 2022. Reforma va finaliza, de asemenea, listarea unui pachet Hidroelectrica de până la 15 % până la 30 iunie 2023.</w:t>
      </w:r>
    </w:p>
    <w:p w14:paraId="0AB03EBE"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 xml:space="preserve">Reforma 3. Bugetarea verde </w:t>
      </w:r>
    </w:p>
    <w:p w14:paraId="2663B9FE"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prezent, România nu utilizează practici de bugetare verde. Obiectivul acestei reforme este de a permite monitorizarea cheltuielilor bugetare verzi și evaluarea impactului politicii fiscale asupra mediului și a climei. În cadrul acestei reforme, Ministerul Finanțelor va elabora și aplica o metodologie de evaluare a impactului liniilor bugetare individuale asupra obiectivelor de mediu, în conformitate cu taxonomia UE pentru activitățile durabile și cu Orientările tehnice DNSH (2021/C58/01). Reforma va spori capacitatea autorităților publice locale de a pune în aplicare practici bugetare verzi.</w:t>
      </w:r>
    </w:p>
    <w:p w14:paraId="5AE31D3D"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Metodologia va fi adoptată, publicată și implementată până la 30 septembrie 2023. </w:t>
      </w:r>
    </w:p>
    <w:p w14:paraId="3D328631" w14:textId="77777777" w:rsidR="00500CF9" w:rsidRPr="009F1DC7" w:rsidRDefault="00500CF9">
      <w:pPr>
        <w:spacing w:before="120" w:after="120" w:line="240" w:lineRule="auto"/>
        <w:ind w:left="850"/>
        <w:jc w:val="both"/>
        <w:rPr>
          <w:rFonts w:ascii="Times New Roman" w:hAnsi="Times New Roman" w:cs="Times New Roman"/>
          <w:noProof/>
          <w:sz w:val="24"/>
          <w:szCs w:val="24"/>
          <w:lang w:val="fr-FR"/>
        </w:rPr>
        <w:sectPr w:rsidR="00500CF9" w:rsidRPr="009F1DC7" w:rsidSect="00ED6412">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p w14:paraId="5652DE37" w14:textId="77777777" w:rsidR="00500CF9" w:rsidRPr="000A27B3" w:rsidRDefault="00500CF9">
      <w:pPr>
        <w:keepNext/>
        <w:spacing w:before="120" w:after="120" w:line="240" w:lineRule="auto"/>
        <w:jc w:val="both"/>
        <w:outlineLvl w:val="1"/>
        <w:rPr>
          <w:rFonts w:ascii="Times New Roman" w:eastAsiaTheme="majorEastAsia" w:hAnsi="Times New Roman" w:cs="Times New Roman"/>
          <w:bCs/>
          <w:noProof/>
          <w:sz w:val="24"/>
          <w:szCs w:val="24"/>
          <w:u w:val="single"/>
        </w:rPr>
      </w:pPr>
      <w:r>
        <w:rPr>
          <w:rFonts w:ascii="Times New Roman" w:hAnsi="Times New Roman"/>
          <w:b/>
          <w:noProof/>
          <w:sz w:val="24"/>
        </w:rPr>
        <w:t xml:space="preserve">F.2. </w:t>
      </w:r>
      <w:r>
        <w:rPr>
          <w:noProof/>
        </w:rPr>
        <w:tab/>
      </w:r>
      <w:r>
        <w:rPr>
          <w:rFonts w:ascii="Times New Roman" w:hAnsi="Times New Roman"/>
          <w:b/>
          <w:noProof/>
          <w:sz w:val="24"/>
        </w:rPr>
        <w:t>Jaloane, ținte, indicatori și calendarul de monitorizare și implementare aplicabile sprijinului financiar nerambursabil</w:t>
      </w:r>
    </w:p>
    <w:tbl>
      <w:tblPr>
        <w:tblW w:w="15593" w:type="dxa"/>
        <w:jc w:val="center"/>
        <w:tblLayout w:type="fixed"/>
        <w:tblLook w:val="04A0" w:firstRow="1" w:lastRow="0" w:firstColumn="1" w:lastColumn="0" w:noHBand="0" w:noVBand="1"/>
      </w:tblPr>
      <w:tblGrid>
        <w:gridCol w:w="791"/>
        <w:gridCol w:w="1823"/>
        <w:gridCol w:w="1350"/>
        <w:gridCol w:w="1653"/>
        <w:gridCol w:w="1822"/>
        <w:gridCol w:w="1196"/>
        <w:gridCol w:w="1200"/>
        <w:gridCol w:w="1200"/>
        <w:gridCol w:w="960"/>
        <w:gridCol w:w="707"/>
        <w:gridCol w:w="2891"/>
      </w:tblGrid>
      <w:tr w:rsidR="000A27B3" w:rsidRPr="000A27B3" w14:paraId="3B1ABAB9" w14:textId="77777777" w:rsidTr="000048C5">
        <w:trPr>
          <w:trHeight w:val="567"/>
          <w:tblHeader/>
          <w:jc w:val="center"/>
        </w:trPr>
        <w:tc>
          <w:tcPr>
            <w:tcW w:w="7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423CAB5"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5CB8"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05C5F4"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Jalon/țintă</w:t>
            </w:r>
          </w:p>
        </w:tc>
        <w:tc>
          <w:tcPr>
            <w:tcW w:w="16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87E395"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32789C" w14:textId="4EBF3861"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596"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2D49DC54" w14:textId="58BCE18D"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667" w:type="dxa"/>
            <w:gridSpan w:val="2"/>
            <w:tcBorders>
              <w:top w:val="single" w:sz="4" w:space="0" w:color="auto"/>
              <w:left w:val="nil"/>
              <w:bottom w:val="single" w:sz="4" w:space="0" w:color="auto"/>
              <w:right w:val="single" w:sz="4" w:space="0" w:color="auto"/>
            </w:tcBorders>
            <w:shd w:val="clear" w:color="auto" w:fill="BDD7EE"/>
            <w:vAlign w:val="center"/>
            <w:hideMark/>
          </w:tcPr>
          <w:p w14:paraId="05964C53" w14:textId="1499C266"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0048C5">
              <w:rPr>
                <w:rFonts w:ascii="Times New Roman" w:hAnsi="Times New Roman"/>
                <w:b/>
                <w:noProof/>
                <w:sz w:val="24"/>
              </w:rPr>
              <w:br/>
            </w:r>
            <w:r>
              <w:rPr>
                <w:rFonts w:ascii="Times New Roman" w:hAnsi="Times New Roman"/>
                <w:b/>
                <w:noProof/>
                <w:sz w:val="24"/>
              </w:rPr>
              <w:t>țintelor</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1FABC67"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67206E8" w14:textId="77777777" w:rsidTr="000048C5">
        <w:trPr>
          <w:trHeight w:val="522"/>
          <w:tblHeader/>
          <w:jc w:val="center"/>
        </w:trPr>
        <w:tc>
          <w:tcPr>
            <w:tcW w:w="791" w:type="dxa"/>
            <w:vMerge/>
            <w:tcBorders>
              <w:top w:val="single" w:sz="4" w:space="0" w:color="auto"/>
              <w:left w:val="single" w:sz="4" w:space="0" w:color="auto"/>
              <w:bottom w:val="single" w:sz="4" w:space="0" w:color="auto"/>
              <w:right w:val="single" w:sz="4" w:space="0" w:color="auto"/>
            </w:tcBorders>
            <w:hideMark/>
          </w:tcPr>
          <w:p w14:paraId="0B7A1610"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65AD28E5"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F06C52A"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14:paraId="01C6AC49"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3DCC1FB2"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196" w:type="dxa"/>
            <w:tcBorders>
              <w:top w:val="nil"/>
              <w:left w:val="single" w:sz="4" w:space="0" w:color="auto"/>
              <w:bottom w:val="single" w:sz="4" w:space="0" w:color="auto"/>
              <w:right w:val="single" w:sz="4" w:space="0" w:color="auto"/>
            </w:tcBorders>
            <w:shd w:val="clear" w:color="auto" w:fill="BDD7EE"/>
            <w:vAlign w:val="center"/>
            <w:hideMark/>
          </w:tcPr>
          <w:p w14:paraId="5AE8CBD4"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00" w:type="dxa"/>
            <w:tcBorders>
              <w:top w:val="nil"/>
              <w:left w:val="nil"/>
              <w:bottom w:val="single" w:sz="4" w:space="0" w:color="auto"/>
              <w:right w:val="single" w:sz="4" w:space="0" w:color="auto"/>
            </w:tcBorders>
            <w:shd w:val="clear" w:color="auto" w:fill="BDD7EE"/>
            <w:vAlign w:val="center"/>
            <w:hideMark/>
          </w:tcPr>
          <w:p w14:paraId="2FE05E88"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Valoare de referință </w:t>
            </w:r>
          </w:p>
        </w:tc>
        <w:tc>
          <w:tcPr>
            <w:tcW w:w="1200" w:type="dxa"/>
            <w:tcBorders>
              <w:top w:val="nil"/>
              <w:left w:val="nil"/>
              <w:bottom w:val="single" w:sz="4" w:space="0" w:color="auto"/>
              <w:right w:val="single" w:sz="4" w:space="0" w:color="auto"/>
            </w:tcBorders>
            <w:shd w:val="clear" w:color="auto" w:fill="BDD7EE"/>
            <w:vAlign w:val="center"/>
            <w:hideMark/>
          </w:tcPr>
          <w:p w14:paraId="4D974B11"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960" w:type="dxa"/>
            <w:tcBorders>
              <w:top w:val="nil"/>
              <w:left w:val="nil"/>
              <w:bottom w:val="single" w:sz="4" w:space="0" w:color="auto"/>
              <w:right w:val="single" w:sz="4" w:space="0" w:color="auto"/>
            </w:tcBorders>
            <w:shd w:val="clear" w:color="auto" w:fill="BDD7EE"/>
            <w:vAlign w:val="center"/>
            <w:hideMark/>
          </w:tcPr>
          <w:p w14:paraId="4027A5D7"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07" w:type="dxa"/>
            <w:tcBorders>
              <w:top w:val="nil"/>
              <w:left w:val="nil"/>
              <w:bottom w:val="single" w:sz="4" w:space="0" w:color="auto"/>
              <w:right w:val="single" w:sz="4" w:space="0" w:color="auto"/>
            </w:tcBorders>
            <w:shd w:val="clear" w:color="auto" w:fill="BDD7EE"/>
            <w:vAlign w:val="center"/>
            <w:hideMark/>
          </w:tcPr>
          <w:p w14:paraId="4C11FAB4"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2891" w:type="dxa"/>
            <w:vMerge/>
            <w:tcBorders>
              <w:top w:val="single" w:sz="4" w:space="0" w:color="auto"/>
              <w:bottom w:val="single" w:sz="4" w:space="0" w:color="auto"/>
              <w:right w:val="single" w:sz="4" w:space="0" w:color="auto"/>
            </w:tcBorders>
            <w:vAlign w:val="center"/>
            <w:hideMark/>
          </w:tcPr>
          <w:p w14:paraId="68CB9DCF" w14:textId="77777777" w:rsidR="00500CF9" w:rsidRPr="000A27B3" w:rsidRDefault="00500CF9">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2BFDC50B"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3F7FE40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113</w:t>
            </w:r>
          </w:p>
        </w:tc>
        <w:tc>
          <w:tcPr>
            <w:tcW w:w="1823" w:type="dxa"/>
            <w:tcBorders>
              <w:top w:val="single" w:sz="4" w:space="0" w:color="auto"/>
              <w:left w:val="nil"/>
              <w:bottom w:val="single" w:sz="4" w:space="0" w:color="auto"/>
              <w:right w:val="single" w:sz="4" w:space="0" w:color="auto"/>
            </w:tcBorders>
            <w:shd w:val="clear" w:color="auto" w:fill="C6EFCE"/>
            <w:noWrap/>
          </w:tcPr>
          <w:p w14:paraId="285B89A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Reforma pieței de energie electrică, prin înlocuirea cărbunelui din mixul energetic și susținerea unui cadru legislativ și de reglementare stimulativ pentru investițiile private în producția de electricitate din surse regenerabile </w:t>
            </w:r>
          </w:p>
        </w:tc>
        <w:tc>
          <w:tcPr>
            <w:tcW w:w="1350" w:type="dxa"/>
            <w:tcBorders>
              <w:top w:val="single" w:sz="4" w:space="0" w:color="auto"/>
              <w:left w:val="nil"/>
              <w:bottom w:val="single" w:sz="4" w:space="0" w:color="auto"/>
              <w:right w:val="single" w:sz="4" w:space="0" w:color="auto"/>
            </w:tcBorders>
            <w:shd w:val="clear" w:color="auto" w:fill="C6EFCE"/>
            <w:noWrap/>
          </w:tcPr>
          <w:p w14:paraId="5ABDA75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53" w:type="dxa"/>
            <w:tcBorders>
              <w:top w:val="single" w:sz="4" w:space="0" w:color="auto"/>
              <w:left w:val="nil"/>
              <w:bottom w:val="single" w:sz="4" w:space="0" w:color="auto"/>
              <w:right w:val="single" w:sz="4" w:space="0" w:color="auto"/>
            </w:tcBorders>
            <w:shd w:val="clear" w:color="auto" w:fill="C6EFCE"/>
            <w:noWrap/>
          </w:tcPr>
          <w:p w14:paraId="38C960E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Dezafectarea capacității de producție de energie electrică pe bază de cărbune </w:t>
            </w:r>
          </w:p>
        </w:tc>
        <w:tc>
          <w:tcPr>
            <w:tcW w:w="1822" w:type="dxa"/>
            <w:tcBorders>
              <w:top w:val="single" w:sz="4" w:space="0" w:color="auto"/>
              <w:left w:val="nil"/>
              <w:bottom w:val="single" w:sz="4" w:space="0" w:color="auto"/>
              <w:right w:val="single" w:sz="4" w:space="0" w:color="auto"/>
            </w:tcBorders>
            <w:shd w:val="clear" w:color="auto" w:fill="C6EFCE"/>
            <w:noWrap/>
          </w:tcPr>
          <w:p w14:paraId="2096CB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96" w:type="dxa"/>
            <w:tcBorders>
              <w:top w:val="single" w:sz="4" w:space="0" w:color="auto"/>
              <w:left w:val="nil"/>
              <w:bottom w:val="single" w:sz="4" w:space="0" w:color="auto"/>
              <w:right w:val="single" w:sz="4" w:space="0" w:color="auto"/>
            </w:tcBorders>
            <w:shd w:val="clear" w:color="auto" w:fill="C6EFCE"/>
            <w:noWrap/>
          </w:tcPr>
          <w:p w14:paraId="541210D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Megawatt (MW)</w:t>
            </w:r>
          </w:p>
        </w:tc>
        <w:tc>
          <w:tcPr>
            <w:tcW w:w="1200" w:type="dxa"/>
            <w:tcBorders>
              <w:top w:val="single" w:sz="4" w:space="0" w:color="auto"/>
              <w:left w:val="nil"/>
              <w:bottom w:val="single" w:sz="4" w:space="0" w:color="auto"/>
              <w:right w:val="single" w:sz="4" w:space="0" w:color="auto"/>
            </w:tcBorders>
            <w:shd w:val="clear" w:color="auto" w:fill="C6EFCE"/>
            <w:noWrap/>
          </w:tcPr>
          <w:p w14:paraId="541D988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0</w:t>
            </w:r>
          </w:p>
        </w:tc>
        <w:tc>
          <w:tcPr>
            <w:tcW w:w="1200" w:type="dxa"/>
            <w:tcBorders>
              <w:top w:val="single" w:sz="4" w:space="0" w:color="auto"/>
              <w:left w:val="nil"/>
              <w:bottom w:val="single" w:sz="4" w:space="0" w:color="auto"/>
              <w:right w:val="single" w:sz="4" w:space="0" w:color="auto"/>
            </w:tcBorders>
            <w:shd w:val="clear" w:color="auto" w:fill="C6EFCE"/>
            <w:noWrap/>
          </w:tcPr>
          <w:p w14:paraId="0E71F76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1 695</w:t>
            </w:r>
          </w:p>
        </w:tc>
        <w:tc>
          <w:tcPr>
            <w:tcW w:w="960" w:type="dxa"/>
            <w:tcBorders>
              <w:top w:val="single" w:sz="4" w:space="0" w:color="auto"/>
              <w:left w:val="nil"/>
              <w:bottom w:val="single" w:sz="4" w:space="0" w:color="auto"/>
              <w:right w:val="single" w:sz="4" w:space="0" w:color="auto"/>
            </w:tcBorders>
            <w:shd w:val="clear" w:color="auto" w:fill="C6EFCE"/>
            <w:noWrap/>
          </w:tcPr>
          <w:p w14:paraId="452DA56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07" w:type="dxa"/>
            <w:tcBorders>
              <w:top w:val="single" w:sz="4" w:space="0" w:color="auto"/>
              <w:left w:val="nil"/>
              <w:bottom w:val="single" w:sz="4" w:space="0" w:color="auto"/>
              <w:right w:val="single" w:sz="4" w:space="0" w:color="auto"/>
            </w:tcBorders>
            <w:shd w:val="clear" w:color="auto" w:fill="C6EFCE"/>
            <w:noWrap/>
          </w:tcPr>
          <w:p w14:paraId="0330337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2021</w:t>
            </w:r>
          </w:p>
        </w:tc>
        <w:tc>
          <w:tcPr>
            <w:tcW w:w="2891" w:type="dxa"/>
            <w:tcBorders>
              <w:top w:val="single" w:sz="4" w:space="0" w:color="auto"/>
              <w:left w:val="nil"/>
              <w:bottom w:val="single" w:sz="4" w:space="0" w:color="auto"/>
              <w:right w:val="single" w:sz="4" w:space="0" w:color="auto"/>
            </w:tcBorders>
            <w:shd w:val="clear" w:color="auto" w:fill="C6EFCE"/>
            <w:noWrap/>
          </w:tcPr>
          <w:p w14:paraId="6B33598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 fost dezafectată o capacitate instalată de producție a energiei electrice pe bază de cărbune de 1 695 MW.</w:t>
            </w:r>
          </w:p>
        </w:tc>
      </w:tr>
      <w:tr w:rsidR="000A27B3" w:rsidRPr="000A27B3" w14:paraId="30E7EB37"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417D08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114</w:t>
            </w:r>
          </w:p>
        </w:tc>
        <w:tc>
          <w:tcPr>
            <w:tcW w:w="1823" w:type="dxa"/>
            <w:tcBorders>
              <w:top w:val="single" w:sz="4" w:space="0" w:color="auto"/>
              <w:left w:val="nil"/>
              <w:bottom w:val="single" w:sz="4" w:space="0" w:color="auto"/>
              <w:right w:val="single" w:sz="4" w:space="0" w:color="auto"/>
            </w:tcBorders>
            <w:shd w:val="clear" w:color="auto" w:fill="C6EFCE"/>
            <w:noWrap/>
          </w:tcPr>
          <w:p w14:paraId="74B4022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Reforma pieței de energie electrică, prin înlocuirea cărbunelui din mixul energetic și susținerea unui cadru legislativ și de reglementare stimulativ pentru investițiile private în producția de electricitate din surse regenerabile </w:t>
            </w:r>
          </w:p>
        </w:tc>
        <w:tc>
          <w:tcPr>
            <w:tcW w:w="1350" w:type="dxa"/>
            <w:tcBorders>
              <w:top w:val="single" w:sz="4" w:space="0" w:color="auto"/>
              <w:left w:val="nil"/>
              <w:bottom w:val="single" w:sz="4" w:space="0" w:color="auto"/>
              <w:right w:val="single" w:sz="4" w:space="0" w:color="auto"/>
            </w:tcBorders>
            <w:shd w:val="clear" w:color="auto" w:fill="C6EFCE"/>
            <w:noWrap/>
          </w:tcPr>
          <w:p w14:paraId="38C39B5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432C08B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legii privind decarbonizarea prin care se adoptă calendarul de eliminare treptată a cărbunelui/lignitului</w:t>
            </w:r>
          </w:p>
        </w:tc>
        <w:tc>
          <w:tcPr>
            <w:tcW w:w="1822" w:type="dxa"/>
            <w:tcBorders>
              <w:top w:val="single" w:sz="4" w:space="0" w:color="auto"/>
              <w:left w:val="nil"/>
              <w:bottom w:val="single" w:sz="4" w:space="0" w:color="auto"/>
              <w:right w:val="single" w:sz="4" w:space="0" w:color="auto"/>
            </w:tcBorders>
            <w:shd w:val="clear" w:color="auto" w:fill="C6EFCE"/>
            <w:noWrap/>
          </w:tcPr>
          <w:p w14:paraId="0B581F3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normativ</w:t>
            </w:r>
          </w:p>
        </w:tc>
        <w:tc>
          <w:tcPr>
            <w:tcW w:w="1196" w:type="dxa"/>
            <w:tcBorders>
              <w:top w:val="single" w:sz="4" w:space="0" w:color="auto"/>
              <w:left w:val="nil"/>
              <w:bottom w:val="single" w:sz="4" w:space="0" w:color="auto"/>
              <w:right w:val="single" w:sz="4" w:space="0" w:color="auto"/>
            </w:tcBorders>
            <w:shd w:val="clear" w:color="auto" w:fill="C6EFCE"/>
            <w:noWrap/>
          </w:tcPr>
          <w:p w14:paraId="4EB251A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29F44BB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1C0A6F1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5754D8F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07" w:type="dxa"/>
            <w:tcBorders>
              <w:top w:val="single" w:sz="4" w:space="0" w:color="auto"/>
              <w:left w:val="nil"/>
              <w:bottom w:val="single" w:sz="4" w:space="0" w:color="auto"/>
              <w:right w:val="single" w:sz="4" w:space="0" w:color="auto"/>
            </w:tcBorders>
            <w:shd w:val="clear" w:color="auto" w:fill="C6EFCE"/>
            <w:noWrap/>
          </w:tcPr>
          <w:p w14:paraId="6D144F2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891" w:type="dxa"/>
            <w:tcBorders>
              <w:top w:val="single" w:sz="4" w:space="0" w:color="auto"/>
              <w:left w:val="nil"/>
              <w:bottom w:val="single" w:sz="4" w:space="0" w:color="auto"/>
              <w:right w:val="single" w:sz="4" w:space="0" w:color="auto"/>
            </w:tcBorders>
            <w:shd w:val="clear" w:color="auto" w:fill="C6EFCE"/>
            <w:noWrap/>
          </w:tcPr>
          <w:p w14:paraId="3F2C5ED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Până în al doilea trimestru al anului 2022, va intra în vigoare o lege privind decarbonizarea (și legislația secundară aferentă), care va prevedea un calendar până în 2032 pentru:</w:t>
            </w:r>
          </w:p>
          <w:p w14:paraId="243EF3E9" w14:textId="77777777" w:rsidR="00500CF9" w:rsidRPr="000A27B3" w:rsidRDefault="00500CF9" w:rsidP="00500CF9">
            <w:pPr>
              <w:pStyle w:val="ListParagraph"/>
              <w:numPr>
                <w:ilvl w:val="0"/>
                <w:numId w:val="48"/>
              </w:numPr>
              <w:spacing w:after="0" w:line="240" w:lineRule="auto"/>
              <w:ind w:left="187" w:hanging="218"/>
              <w:jc w:val="both"/>
              <w:rPr>
                <w:rFonts w:ascii="Times New Roman" w:eastAsia="Times New Roman" w:hAnsi="Times New Roman" w:cs="Times New Roman"/>
                <w:noProof/>
                <w:sz w:val="24"/>
              </w:rPr>
            </w:pPr>
            <w:r>
              <w:rPr>
                <w:rFonts w:ascii="Times New Roman" w:hAnsi="Times New Roman"/>
                <w:noProof/>
                <w:sz w:val="24"/>
              </w:rPr>
              <w:t>Dezafectarea capacității totale de producție de energie electrică instalată pe bază de cărbune/lignit (și anume, 4 590 MW).</w:t>
            </w:r>
          </w:p>
          <w:p w14:paraId="1E200604" w14:textId="77777777" w:rsidR="00500CF9" w:rsidRPr="000A27B3" w:rsidRDefault="00500CF9" w:rsidP="00500CF9">
            <w:pPr>
              <w:pStyle w:val="ListParagraph"/>
              <w:numPr>
                <w:ilvl w:val="0"/>
                <w:numId w:val="48"/>
              </w:numPr>
              <w:spacing w:after="0" w:line="240" w:lineRule="auto"/>
              <w:ind w:left="187" w:hanging="218"/>
              <w:jc w:val="both"/>
              <w:rPr>
                <w:rFonts w:ascii="Times New Roman" w:eastAsia="Times New Roman" w:hAnsi="Times New Roman" w:cs="Times New Roman"/>
                <w:noProof/>
                <w:sz w:val="24"/>
              </w:rPr>
            </w:pPr>
            <w:r>
              <w:rPr>
                <w:rFonts w:ascii="Times New Roman" w:hAnsi="Times New Roman"/>
                <w:noProof/>
                <w:sz w:val="24"/>
              </w:rPr>
              <w:t>Măsuri referitoare la reabilitarea minelor care urmează să fie închise (de exemplu, refacerea solului în zonele miniere, cum ar fi stratul superior al solului și refacerea vegetației, depozitele de deșeuri, amenajarea terenului după închidere pentru refacerea peisajului).</w:t>
            </w:r>
          </w:p>
          <w:p w14:paraId="4D938F29" w14:textId="77777777" w:rsidR="00500CF9" w:rsidRPr="000A27B3" w:rsidRDefault="00500CF9" w:rsidP="00500CF9">
            <w:pPr>
              <w:pStyle w:val="ListParagraph"/>
              <w:numPr>
                <w:ilvl w:val="0"/>
                <w:numId w:val="48"/>
              </w:numPr>
              <w:spacing w:after="0" w:line="240" w:lineRule="auto"/>
              <w:ind w:left="187" w:hanging="218"/>
              <w:jc w:val="both"/>
              <w:rPr>
                <w:rFonts w:ascii="Times New Roman" w:eastAsia="Times New Roman" w:hAnsi="Times New Roman" w:cs="Times New Roman"/>
                <w:noProof/>
                <w:sz w:val="24"/>
              </w:rPr>
            </w:pPr>
            <w:r>
              <w:rPr>
                <w:rFonts w:ascii="Times New Roman" w:hAnsi="Times New Roman"/>
                <w:noProof/>
                <w:sz w:val="24"/>
              </w:rPr>
              <w:t xml:space="preserve">Măsuri de actualizare a competențelor (reconversie și recalificare profesională) și alte măsuri cu impact socioeconomic asupra comunităților afectate. </w:t>
            </w:r>
          </w:p>
        </w:tc>
      </w:tr>
      <w:tr w:rsidR="000A27B3" w:rsidRPr="000A27B3" w14:paraId="5982C74D"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4C37763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115</w:t>
            </w:r>
          </w:p>
        </w:tc>
        <w:tc>
          <w:tcPr>
            <w:tcW w:w="1823" w:type="dxa"/>
            <w:tcBorders>
              <w:top w:val="single" w:sz="4" w:space="0" w:color="auto"/>
              <w:left w:val="nil"/>
              <w:bottom w:val="single" w:sz="4" w:space="0" w:color="auto"/>
              <w:right w:val="single" w:sz="4" w:space="0" w:color="auto"/>
            </w:tcBorders>
            <w:shd w:val="clear" w:color="auto" w:fill="C6EFCE"/>
            <w:noWrap/>
          </w:tcPr>
          <w:p w14:paraId="06BF290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Reforma pieței de energie electrică, prin înlocuirea cărbunelui din mixul energetic și susținerea unui cadru legislativ și de reglementare stimulativ pentru investițiile private în producția de electricitate din surse regenerabile</w:t>
            </w:r>
          </w:p>
        </w:tc>
        <w:tc>
          <w:tcPr>
            <w:tcW w:w="1350" w:type="dxa"/>
            <w:tcBorders>
              <w:top w:val="single" w:sz="4" w:space="0" w:color="auto"/>
              <w:left w:val="nil"/>
              <w:bottom w:val="single" w:sz="4" w:space="0" w:color="auto"/>
              <w:right w:val="single" w:sz="4" w:space="0" w:color="auto"/>
            </w:tcBorders>
            <w:shd w:val="clear" w:color="auto" w:fill="C6EFCE"/>
            <w:noWrap/>
          </w:tcPr>
          <w:p w14:paraId="6E9492A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53" w:type="dxa"/>
            <w:tcBorders>
              <w:top w:val="single" w:sz="4" w:space="0" w:color="auto"/>
              <w:left w:val="nil"/>
              <w:bottom w:val="single" w:sz="4" w:space="0" w:color="auto"/>
              <w:right w:val="single" w:sz="4" w:space="0" w:color="auto"/>
            </w:tcBorders>
            <w:shd w:val="clear" w:color="auto" w:fill="C6EFCE"/>
            <w:noWrap/>
          </w:tcPr>
          <w:p w14:paraId="54CA1C1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Scoaterea din operare a capacității de producție a energiei electrice pe bază de lignit</w:t>
            </w:r>
          </w:p>
        </w:tc>
        <w:tc>
          <w:tcPr>
            <w:tcW w:w="1822" w:type="dxa"/>
            <w:tcBorders>
              <w:top w:val="single" w:sz="4" w:space="0" w:color="auto"/>
              <w:left w:val="nil"/>
              <w:bottom w:val="single" w:sz="4" w:space="0" w:color="auto"/>
              <w:right w:val="single" w:sz="4" w:space="0" w:color="auto"/>
            </w:tcBorders>
            <w:shd w:val="clear" w:color="auto" w:fill="C6EFCE"/>
            <w:noWrap/>
          </w:tcPr>
          <w:p w14:paraId="68A41330"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196" w:type="dxa"/>
            <w:tcBorders>
              <w:top w:val="single" w:sz="4" w:space="0" w:color="auto"/>
              <w:left w:val="nil"/>
              <w:bottom w:val="single" w:sz="4" w:space="0" w:color="auto"/>
              <w:right w:val="single" w:sz="4" w:space="0" w:color="auto"/>
            </w:tcBorders>
            <w:shd w:val="clear" w:color="auto" w:fill="C6EFCE"/>
            <w:noWrap/>
          </w:tcPr>
          <w:p w14:paraId="7981162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Megawatt (MW)</w:t>
            </w:r>
          </w:p>
        </w:tc>
        <w:tc>
          <w:tcPr>
            <w:tcW w:w="1200" w:type="dxa"/>
            <w:tcBorders>
              <w:top w:val="single" w:sz="4" w:space="0" w:color="auto"/>
              <w:left w:val="nil"/>
              <w:bottom w:val="single" w:sz="4" w:space="0" w:color="auto"/>
              <w:right w:val="single" w:sz="4" w:space="0" w:color="auto"/>
            </w:tcBorders>
            <w:shd w:val="clear" w:color="auto" w:fill="C6EFCE"/>
            <w:noWrap/>
          </w:tcPr>
          <w:p w14:paraId="683C418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1 695</w:t>
            </w:r>
          </w:p>
        </w:tc>
        <w:tc>
          <w:tcPr>
            <w:tcW w:w="1200" w:type="dxa"/>
            <w:tcBorders>
              <w:top w:val="single" w:sz="4" w:space="0" w:color="auto"/>
              <w:left w:val="nil"/>
              <w:bottom w:val="single" w:sz="4" w:space="0" w:color="auto"/>
              <w:right w:val="single" w:sz="4" w:space="0" w:color="auto"/>
            </w:tcBorders>
            <w:shd w:val="clear" w:color="auto" w:fill="C6EFCE"/>
            <w:noWrap/>
          </w:tcPr>
          <w:p w14:paraId="6AAA535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2 355</w:t>
            </w:r>
          </w:p>
        </w:tc>
        <w:tc>
          <w:tcPr>
            <w:tcW w:w="960" w:type="dxa"/>
            <w:tcBorders>
              <w:top w:val="single" w:sz="4" w:space="0" w:color="auto"/>
              <w:left w:val="nil"/>
              <w:bottom w:val="single" w:sz="4" w:space="0" w:color="auto"/>
              <w:right w:val="single" w:sz="4" w:space="0" w:color="auto"/>
            </w:tcBorders>
            <w:shd w:val="clear" w:color="auto" w:fill="C6EFCE"/>
            <w:noWrap/>
          </w:tcPr>
          <w:p w14:paraId="234B5FF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07" w:type="dxa"/>
            <w:tcBorders>
              <w:top w:val="single" w:sz="4" w:space="0" w:color="auto"/>
              <w:left w:val="nil"/>
              <w:bottom w:val="single" w:sz="4" w:space="0" w:color="auto"/>
              <w:right w:val="single" w:sz="4" w:space="0" w:color="auto"/>
            </w:tcBorders>
            <w:shd w:val="clear" w:color="auto" w:fill="C6EFCE"/>
            <w:noWrap/>
          </w:tcPr>
          <w:p w14:paraId="1DAE0F4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891" w:type="dxa"/>
            <w:tcBorders>
              <w:top w:val="single" w:sz="4" w:space="0" w:color="auto"/>
              <w:left w:val="nil"/>
              <w:bottom w:val="single" w:sz="4" w:space="0" w:color="auto"/>
              <w:right w:val="single" w:sz="4" w:space="0" w:color="auto"/>
            </w:tcBorders>
            <w:shd w:val="clear" w:color="auto" w:fill="C6EFCE"/>
            <w:noWrap/>
          </w:tcPr>
          <w:p w14:paraId="398DE520" w14:textId="1AB80E3F"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O capacitate instalată cumulată de producție de energie electrică pe bază de cărbune și lignit de 2 355 MW trebuie să fi fost oprită, din care o capacitate de 2 025 MW să fi fost dezafectată, iar o capacitate de 330 MW să fi fost dezafectată temporar.</w:t>
            </w:r>
            <w:r>
              <w:rPr>
                <w:noProof/>
              </w:rPr>
              <w:t xml:space="preserve"> </w:t>
            </w:r>
            <w:r>
              <w:rPr>
                <w:rFonts w:ascii="Times New Roman" w:hAnsi="Times New Roman"/>
                <w:noProof/>
                <w:sz w:val="24"/>
              </w:rPr>
              <w:t>Capacitatea dezafectată temporar trebuie dezafectată până în 2025 și poate fi activată, urmând să producă energie electrică, numai în circumstanțele specifice prevăzute la articolul 4 din Actul legislativ privind decarbonizarea și în deplină conformitate cu legislația relevantă a UE, inclusiv cu normele privind ajutoarele de stat.</w:t>
            </w:r>
          </w:p>
          <w:p w14:paraId="139BC289" w14:textId="77777777" w:rsidR="00500CF9" w:rsidRPr="009F1DC7" w:rsidRDefault="00500CF9">
            <w:pPr>
              <w:spacing w:after="0" w:line="240" w:lineRule="auto"/>
              <w:jc w:val="both"/>
              <w:rPr>
                <w:rFonts w:ascii="Times New Roman" w:eastAsia="Times New Roman" w:hAnsi="Times New Roman" w:cs="Times New Roman"/>
                <w:noProof/>
                <w:sz w:val="24"/>
                <w:lang w:eastAsia="en-GB"/>
              </w:rPr>
            </w:pPr>
          </w:p>
        </w:tc>
      </w:tr>
      <w:tr w:rsidR="000A27B3" w:rsidRPr="000A27B3" w14:paraId="5229A3ED"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0924C46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116</w:t>
            </w:r>
          </w:p>
        </w:tc>
        <w:tc>
          <w:tcPr>
            <w:tcW w:w="1823" w:type="dxa"/>
            <w:tcBorders>
              <w:top w:val="single" w:sz="4" w:space="0" w:color="auto"/>
              <w:left w:val="nil"/>
              <w:bottom w:val="single" w:sz="4" w:space="0" w:color="auto"/>
              <w:right w:val="single" w:sz="4" w:space="0" w:color="auto"/>
            </w:tcBorders>
            <w:shd w:val="clear" w:color="auto" w:fill="C6EFCE"/>
            <w:noWrap/>
          </w:tcPr>
          <w:p w14:paraId="628F0DF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Reforma pieței de energie electrică, prin înlocuirea cărbunelui din mixul energetic și susținerea unui cadru legislativ și de reglementare stimulativ pentru investițiile private în producția de electricitate din surse regenerabile</w:t>
            </w:r>
          </w:p>
        </w:tc>
        <w:tc>
          <w:tcPr>
            <w:tcW w:w="1350" w:type="dxa"/>
            <w:tcBorders>
              <w:top w:val="single" w:sz="4" w:space="0" w:color="auto"/>
              <w:left w:val="nil"/>
              <w:bottom w:val="single" w:sz="4" w:space="0" w:color="auto"/>
              <w:right w:val="single" w:sz="4" w:space="0" w:color="auto"/>
            </w:tcBorders>
            <w:shd w:val="clear" w:color="auto" w:fill="C6EFCE"/>
            <w:noWrap/>
          </w:tcPr>
          <w:p w14:paraId="25187EB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37C1600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noii legi privind energia</w:t>
            </w:r>
          </w:p>
        </w:tc>
        <w:tc>
          <w:tcPr>
            <w:tcW w:w="1822" w:type="dxa"/>
            <w:tcBorders>
              <w:top w:val="single" w:sz="4" w:space="0" w:color="auto"/>
              <w:left w:val="nil"/>
              <w:bottom w:val="single" w:sz="4" w:space="0" w:color="auto"/>
              <w:right w:val="single" w:sz="4" w:space="0" w:color="auto"/>
            </w:tcBorders>
            <w:shd w:val="clear" w:color="auto" w:fill="C6EFCE"/>
            <w:noWrap/>
          </w:tcPr>
          <w:p w14:paraId="108F00C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privind energia</w:t>
            </w:r>
          </w:p>
        </w:tc>
        <w:tc>
          <w:tcPr>
            <w:tcW w:w="1196" w:type="dxa"/>
            <w:tcBorders>
              <w:top w:val="single" w:sz="4" w:space="0" w:color="auto"/>
              <w:left w:val="nil"/>
              <w:bottom w:val="single" w:sz="4" w:space="0" w:color="auto"/>
              <w:right w:val="single" w:sz="4" w:space="0" w:color="auto"/>
            </w:tcBorders>
            <w:shd w:val="clear" w:color="auto" w:fill="C6EFCE"/>
            <w:noWrap/>
          </w:tcPr>
          <w:p w14:paraId="591DD09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67D9470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15873E5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006EBB0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07" w:type="dxa"/>
            <w:tcBorders>
              <w:top w:val="single" w:sz="4" w:space="0" w:color="auto"/>
              <w:left w:val="nil"/>
              <w:bottom w:val="single" w:sz="4" w:space="0" w:color="auto"/>
              <w:right w:val="single" w:sz="4" w:space="0" w:color="auto"/>
            </w:tcBorders>
            <w:shd w:val="clear" w:color="auto" w:fill="C6EFCE"/>
            <w:noWrap/>
          </w:tcPr>
          <w:p w14:paraId="3309392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891" w:type="dxa"/>
            <w:tcBorders>
              <w:top w:val="single" w:sz="4" w:space="0" w:color="auto"/>
              <w:left w:val="nil"/>
              <w:bottom w:val="single" w:sz="4" w:space="0" w:color="auto"/>
              <w:right w:val="single" w:sz="4" w:space="0" w:color="auto"/>
            </w:tcBorders>
            <w:shd w:val="clear" w:color="auto" w:fill="C6EFCE"/>
            <w:noWrap/>
            <w:vAlign w:val="bottom"/>
          </w:tcPr>
          <w:p w14:paraId="03E28FEC" w14:textId="38A54D80" w:rsidR="00500CF9" w:rsidRPr="000A27B3" w:rsidRDefault="00500CF9" w:rsidP="006E029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unei noi legi privind energia (și a eventualelor acte legislative secundare necesare), care: </w:t>
            </w:r>
            <w:r>
              <w:rPr>
                <w:noProof/>
              </w:rPr>
              <w:br/>
            </w:r>
            <w:r>
              <w:rPr>
                <w:rFonts w:ascii="Times New Roman" w:hAnsi="Times New Roman"/>
                <w:noProof/>
                <w:sz w:val="24"/>
              </w:rPr>
              <w:t>va implementa contractele pentru diferență (CfD);</w:t>
            </w:r>
          </w:p>
          <w:p w14:paraId="25B80E4A" w14:textId="77777777" w:rsidR="00500CF9" w:rsidRPr="000A27B3" w:rsidRDefault="00500CF9" w:rsidP="00500CF9">
            <w:pPr>
              <w:pStyle w:val="ListParagraph"/>
              <w:numPr>
                <w:ilvl w:val="0"/>
                <w:numId w:val="47"/>
              </w:numPr>
              <w:spacing w:after="0" w:line="240" w:lineRule="auto"/>
              <w:ind w:left="187" w:hanging="218"/>
              <w:jc w:val="both"/>
              <w:rPr>
                <w:rFonts w:ascii="Times New Roman" w:eastAsia="Times New Roman" w:hAnsi="Times New Roman" w:cs="Times New Roman"/>
                <w:noProof/>
                <w:sz w:val="24"/>
              </w:rPr>
            </w:pPr>
            <w:r>
              <w:rPr>
                <w:rFonts w:ascii="Times New Roman" w:hAnsi="Times New Roman"/>
                <w:noProof/>
                <w:sz w:val="24"/>
              </w:rPr>
              <w:t>va institui contracte de achiziție de energie electrică din surse regenerabile (CAEE);</w:t>
            </w:r>
          </w:p>
          <w:p w14:paraId="2108FBE6" w14:textId="77777777" w:rsidR="00500CF9" w:rsidRPr="000A27B3" w:rsidRDefault="00500CF9" w:rsidP="00500CF9">
            <w:pPr>
              <w:pStyle w:val="ListParagraph"/>
              <w:numPr>
                <w:ilvl w:val="0"/>
                <w:numId w:val="47"/>
              </w:numPr>
              <w:spacing w:after="0" w:line="240" w:lineRule="auto"/>
              <w:ind w:left="187" w:hanging="218"/>
              <w:jc w:val="both"/>
              <w:rPr>
                <w:rFonts w:ascii="Times New Roman" w:eastAsia="Times New Roman" w:hAnsi="Times New Roman" w:cs="Times New Roman"/>
                <w:noProof/>
                <w:sz w:val="24"/>
              </w:rPr>
            </w:pPr>
            <w:r>
              <w:rPr>
                <w:rFonts w:ascii="Times New Roman" w:hAnsi="Times New Roman"/>
                <w:noProof/>
                <w:sz w:val="24"/>
              </w:rPr>
              <w:t xml:space="preserve">va simplifica procedurile de acordare a licențelor și a autorizațiilor pentru investițiile în energia din surse regenerabile, stabilind termene de răspuns administrativ scurte și obligatorii și proceduri de responsabilizare pentru întârzierile nejustificate, reducerea documentației și a procedurilor necesare și introducerea unui nou cadru specific pentru centralele pe bază de energie din surse regenerabile offshore; </w:t>
            </w:r>
          </w:p>
          <w:p w14:paraId="70B45B90" w14:textId="77777777" w:rsidR="00500CF9" w:rsidRPr="000A27B3" w:rsidRDefault="00500CF9" w:rsidP="00500CF9">
            <w:pPr>
              <w:pStyle w:val="ListParagraph"/>
              <w:numPr>
                <w:ilvl w:val="0"/>
                <w:numId w:val="47"/>
              </w:numPr>
              <w:spacing w:after="0" w:line="240" w:lineRule="auto"/>
              <w:ind w:left="187" w:hanging="218"/>
              <w:jc w:val="both"/>
              <w:rPr>
                <w:rFonts w:ascii="Times New Roman" w:eastAsia="Times New Roman" w:hAnsi="Times New Roman" w:cs="Times New Roman"/>
                <w:noProof/>
                <w:sz w:val="24"/>
              </w:rPr>
            </w:pPr>
            <w:r>
              <w:rPr>
                <w:rFonts w:ascii="Times New Roman" w:hAnsi="Times New Roman"/>
                <w:noProof/>
                <w:sz w:val="24"/>
              </w:rPr>
              <w:t>va implementa răspunsul la cerere pe piața de echilibrare.</w:t>
            </w:r>
          </w:p>
        </w:tc>
      </w:tr>
      <w:tr w:rsidR="000A27B3" w:rsidRPr="000A27B3" w14:paraId="61723D59"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2282A00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117</w:t>
            </w:r>
          </w:p>
        </w:tc>
        <w:tc>
          <w:tcPr>
            <w:tcW w:w="1823" w:type="dxa"/>
            <w:tcBorders>
              <w:top w:val="single" w:sz="4" w:space="0" w:color="auto"/>
              <w:left w:val="nil"/>
              <w:bottom w:val="single" w:sz="4" w:space="0" w:color="auto"/>
              <w:right w:val="single" w:sz="4" w:space="0" w:color="auto"/>
            </w:tcBorders>
            <w:shd w:val="clear" w:color="auto" w:fill="C6EFCE"/>
            <w:noWrap/>
          </w:tcPr>
          <w:p w14:paraId="0841F9B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Reforma pieței de energie electrică, prin înlocuirea cărbunelui din mixul energetic și susținerea unui cadru legislativ și de reglementare stimulativ pentru investițiile private în producția de electricitate din surse regenerabile</w:t>
            </w:r>
          </w:p>
        </w:tc>
        <w:tc>
          <w:tcPr>
            <w:tcW w:w="1350" w:type="dxa"/>
            <w:tcBorders>
              <w:top w:val="single" w:sz="4" w:space="0" w:color="auto"/>
              <w:left w:val="nil"/>
              <w:bottom w:val="single" w:sz="4" w:space="0" w:color="auto"/>
              <w:right w:val="single" w:sz="4" w:space="0" w:color="auto"/>
            </w:tcBorders>
            <w:shd w:val="clear" w:color="auto" w:fill="C6EFCE"/>
            <w:noWrap/>
          </w:tcPr>
          <w:p w14:paraId="6615E52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710402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Semnarea contractelor pentru diferență pentru surse regenerabile </w:t>
            </w:r>
          </w:p>
        </w:tc>
        <w:tc>
          <w:tcPr>
            <w:tcW w:w="1822" w:type="dxa"/>
            <w:tcBorders>
              <w:top w:val="single" w:sz="4" w:space="0" w:color="auto"/>
              <w:left w:val="nil"/>
              <w:bottom w:val="single" w:sz="4" w:space="0" w:color="auto"/>
              <w:right w:val="single" w:sz="4" w:space="0" w:color="auto"/>
            </w:tcBorders>
            <w:shd w:val="clear" w:color="auto" w:fill="C6EFCE"/>
            <w:noWrap/>
          </w:tcPr>
          <w:p w14:paraId="41D8F93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tuturor contractelor</w:t>
            </w:r>
          </w:p>
        </w:tc>
        <w:tc>
          <w:tcPr>
            <w:tcW w:w="1196" w:type="dxa"/>
            <w:tcBorders>
              <w:top w:val="single" w:sz="4" w:space="0" w:color="auto"/>
              <w:left w:val="nil"/>
              <w:bottom w:val="single" w:sz="4" w:space="0" w:color="auto"/>
              <w:right w:val="single" w:sz="4" w:space="0" w:color="auto"/>
            </w:tcBorders>
            <w:shd w:val="clear" w:color="auto" w:fill="C6EFCE"/>
            <w:noWrap/>
          </w:tcPr>
          <w:p w14:paraId="3BDEC56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6C488A6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35F2D79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404619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07" w:type="dxa"/>
            <w:tcBorders>
              <w:top w:val="single" w:sz="4" w:space="0" w:color="auto"/>
              <w:left w:val="nil"/>
              <w:bottom w:val="single" w:sz="4" w:space="0" w:color="auto"/>
              <w:right w:val="single" w:sz="4" w:space="0" w:color="auto"/>
            </w:tcBorders>
            <w:shd w:val="clear" w:color="auto" w:fill="C6EFCE"/>
            <w:noWrap/>
          </w:tcPr>
          <w:p w14:paraId="5C557B7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891" w:type="dxa"/>
            <w:tcBorders>
              <w:top w:val="single" w:sz="4" w:space="0" w:color="auto"/>
              <w:left w:val="nil"/>
              <w:bottom w:val="single" w:sz="4" w:space="0" w:color="auto"/>
              <w:right w:val="single" w:sz="4" w:space="0" w:color="auto"/>
            </w:tcBorders>
            <w:shd w:val="clear" w:color="auto" w:fill="C6EFCE"/>
            <w:noWrap/>
          </w:tcPr>
          <w:p w14:paraId="566E52FB" w14:textId="635C71AE"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în urma primei runde de proceduri de licitație pentru alocarea contractelor pentru diferență (CfD) pentru promovarea producției de energie electrică din surse regenerabile (cel puțin 1 500 MW de capacitate instalată), în conformitate cu Orientările tehnice privind aplicarea principiului de „a nu aduce prejudicii semnificative” (2021/C58/01),</w:t>
            </w:r>
            <w:r>
              <w:rPr>
                <w:noProof/>
              </w:rPr>
              <w:t xml:space="preserve"> </w:t>
            </w:r>
            <w:r>
              <w:rPr>
                <w:rFonts w:ascii="Times New Roman" w:hAnsi="Times New Roman"/>
                <w:noProof/>
                <w:sz w:val="24"/>
              </w:rPr>
              <w:t>va fi finanțată din alte fonduri ale UE.</w:t>
            </w:r>
          </w:p>
        </w:tc>
      </w:tr>
      <w:tr w:rsidR="000A27B3" w:rsidRPr="000A27B3" w14:paraId="5862F0C0"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76A87B2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118</w:t>
            </w:r>
          </w:p>
        </w:tc>
        <w:tc>
          <w:tcPr>
            <w:tcW w:w="1823" w:type="dxa"/>
            <w:tcBorders>
              <w:top w:val="single" w:sz="4" w:space="0" w:color="auto"/>
              <w:left w:val="nil"/>
              <w:bottom w:val="single" w:sz="4" w:space="0" w:color="auto"/>
              <w:right w:val="single" w:sz="4" w:space="0" w:color="auto"/>
            </w:tcBorders>
            <w:shd w:val="clear" w:color="auto" w:fill="C6EFCE"/>
            <w:noWrap/>
          </w:tcPr>
          <w:p w14:paraId="388AC3F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Reforma pieței de energie electrică, prin înlocuirea cărbunelui din mixul energetic și susținerea unui cadru legislativ și de reglementare stimulativ pentru investițiile private în producția de electricitate din surse regenerabile</w:t>
            </w:r>
          </w:p>
        </w:tc>
        <w:tc>
          <w:tcPr>
            <w:tcW w:w="1350" w:type="dxa"/>
            <w:tcBorders>
              <w:top w:val="single" w:sz="4" w:space="0" w:color="auto"/>
              <w:left w:val="nil"/>
              <w:bottom w:val="single" w:sz="4" w:space="0" w:color="auto"/>
              <w:right w:val="single" w:sz="4" w:space="0" w:color="auto"/>
            </w:tcBorders>
            <w:shd w:val="clear" w:color="auto" w:fill="C6EFCE"/>
            <w:noWrap/>
          </w:tcPr>
          <w:p w14:paraId="3E8BD6C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15BB958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Semnarea contractelor pentru diferență pentru surse regenerabile </w:t>
            </w:r>
          </w:p>
        </w:tc>
        <w:tc>
          <w:tcPr>
            <w:tcW w:w="1822" w:type="dxa"/>
            <w:tcBorders>
              <w:top w:val="single" w:sz="4" w:space="0" w:color="auto"/>
              <w:left w:val="nil"/>
              <w:bottom w:val="single" w:sz="4" w:space="0" w:color="auto"/>
              <w:right w:val="single" w:sz="4" w:space="0" w:color="auto"/>
            </w:tcBorders>
            <w:shd w:val="clear" w:color="auto" w:fill="C6EFCE"/>
            <w:noWrap/>
          </w:tcPr>
          <w:p w14:paraId="5863C12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tuturor contractelor atribuite</w:t>
            </w:r>
          </w:p>
        </w:tc>
        <w:tc>
          <w:tcPr>
            <w:tcW w:w="1196" w:type="dxa"/>
            <w:tcBorders>
              <w:top w:val="single" w:sz="4" w:space="0" w:color="auto"/>
              <w:left w:val="nil"/>
              <w:bottom w:val="single" w:sz="4" w:space="0" w:color="auto"/>
              <w:right w:val="single" w:sz="4" w:space="0" w:color="auto"/>
            </w:tcBorders>
            <w:shd w:val="clear" w:color="auto" w:fill="C6EFCE"/>
            <w:noWrap/>
          </w:tcPr>
          <w:p w14:paraId="05F57A44"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356043A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4910BD1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2233815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07" w:type="dxa"/>
            <w:tcBorders>
              <w:top w:val="single" w:sz="4" w:space="0" w:color="auto"/>
              <w:left w:val="nil"/>
              <w:bottom w:val="single" w:sz="4" w:space="0" w:color="auto"/>
              <w:right w:val="single" w:sz="4" w:space="0" w:color="auto"/>
            </w:tcBorders>
            <w:shd w:val="clear" w:color="auto" w:fill="C6EFCE"/>
            <w:noWrap/>
          </w:tcPr>
          <w:p w14:paraId="2CF49EF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2891" w:type="dxa"/>
            <w:tcBorders>
              <w:top w:val="single" w:sz="4" w:space="0" w:color="auto"/>
              <w:left w:val="nil"/>
              <w:bottom w:val="single" w:sz="4" w:space="0" w:color="auto"/>
              <w:right w:val="single" w:sz="4" w:space="0" w:color="auto"/>
            </w:tcBorders>
            <w:shd w:val="clear" w:color="auto" w:fill="C6EFCE"/>
            <w:noWrap/>
          </w:tcPr>
          <w:p w14:paraId="3F847AAC" w14:textId="2D1D39F4"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în urma cele de a doua runde de proceduri de licitație pentru alocarea contractelor pentru diferență (CfD) pentru promovarea producției de energie electrică din surse regenerabile (cel puțin 2 000 MW de capacitate instalată suplimentară), în conformitate cu Orientările tehnice privind aplicarea principiului de „a nu aduce prejudicii semnificative” (2021/C58/01),</w:t>
            </w:r>
            <w:r>
              <w:rPr>
                <w:noProof/>
              </w:rPr>
              <w:t xml:space="preserve"> </w:t>
            </w:r>
            <w:r>
              <w:rPr>
                <w:rFonts w:ascii="Times New Roman" w:hAnsi="Times New Roman"/>
                <w:noProof/>
                <w:sz w:val="24"/>
              </w:rPr>
              <w:t>va fi finanțată din alte fonduri ale UE.</w:t>
            </w:r>
          </w:p>
        </w:tc>
      </w:tr>
      <w:tr w:rsidR="000A27B3" w:rsidRPr="000A27B3" w14:paraId="7C624723"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66BACE8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119</w:t>
            </w:r>
          </w:p>
        </w:tc>
        <w:tc>
          <w:tcPr>
            <w:tcW w:w="1823" w:type="dxa"/>
            <w:tcBorders>
              <w:top w:val="single" w:sz="4" w:space="0" w:color="auto"/>
              <w:left w:val="nil"/>
              <w:bottom w:val="single" w:sz="4" w:space="0" w:color="auto"/>
              <w:right w:val="single" w:sz="4" w:space="0" w:color="auto"/>
            </w:tcBorders>
            <w:shd w:val="clear" w:color="auto" w:fill="C6EFCE"/>
            <w:noWrap/>
          </w:tcPr>
          <w:p w14:paraId="2792675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Reforma pieței de energie electrică, prin înlocuirea cărbunelui din mixul energetic și susținerea unui cadru legislativ și de reglementare stimulativ pentru investițiile private în producția de electricitate din surse regenerabile</w:t>
            </w:r>
          </w:p>
        </w:tc>
        <w:tc>
          <w:tcPr>
            <w:tcW w:w="1350" w:type="dxa"/>
            <w:tcBorders>
              <w:top w:val="single" w:sz="4" w:space="0" w:color="auto"/>
              <w:left w:val="nil"/>
              <w:bottom w:val="single" w:sz="4" w:space="0" w:color="auto"/>
              <w:right w:val="single" w:sz="4" w:space="0" w:color="auto"/>
            </w:tcBorders>
            <w:shd w:val="clear" w:color="auto" w:fill="C6EFCE"/>
            <w:noWrap/>
          </w:tcPr>
          <w:p w14:paraId="36933AF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53" w:type="dxa"/>
            <w:tcBorders>
              <w:top w:val="single" w:sz="4" w:space="0" w:color="auto"/>
              <w:left w:val="nil"/>
              <w:bottom w:val="single" w:sz="4" w:space="0" w:color="auto"/>
              <w:right w:val="single" w:sz="4" w:space="0" w:color="auto"/>
            </w:tcBorders>
            <w:shd w:val="clear" w:color="auto" w:fill="C6EFCE"/>
            <w:noWrap/>
          </w:tcPr>
          <w:p w14:paraId="4949DEB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Scoaterea din operare a capacității de producție a energiei electrice pe bază de lignit </w:t>
            </w:r>
          </w:p>
        </w:tc>
        <w:tc>
          <w:tcPr>
            <w:tcW w:w="1822" w:type="dxa"/>
            <w:tcBorders>
              <w:top w:val="single" w:sz="4" w:space="0" w:color="auto"/>
              <w:left w:val="nil"/>
              <w:bottom w:val="single" w:sz="4" w:space="0" w:color="auto"/>
              <w:right w:val="single" w:sz="4" w:space="0" w:color="auto"/>
            </w:tcBorders>
            <w:shd w:val="clear" w:color="auto" w:fill="C6EFCE"/>
            <w:noWrap/>
          </w:tcPr>
          <w:p w14:paraId="31F1C2C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96" w:type="dxa"/>
            <w:tcBorders>
              <w:top w:val="single" w:sz="4" w:space="0" w:color="auto"/>
              <w:left w:val="nil"/>
              <w:bottom w:val="single" w:sz="4" w:space="0" w:color="auto"/>
              <w:right w:val="single" w:sz="4" w:space="0" w:color="auto"/>
            </w:tcBorders>
            <w:shd w:val="clear" w:color="auto" w:fill="C6EFCE"/>
            <w:noWrap/>
          </w:tcPr>
          <w:p w14:paraId="22CB5F1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Megawatt (MW)</w:t>
            </w:r>
          </w:p>
        </w:tc>
        <w:tc>
          <w:tcPr>
            <w:tcW w:w="1200" w:type="dxa"/>
            <w:tcBorders>
              <w:top w:val="single" w:sz="4" w:space="0" w:color="auto"/>
              <w:left w:val="nil"/>
              <w:bottom w:val="single" w:sz="4" w:space="0" w:color="auto"/>
              <w:right w:val="single" w:sz="4" w:space="0" w:color="auto"/>
            </w:tcBorders>
            <w:shd w:val="clear" w:color="auto" w:fill="C6EFCE"/>
            <w:noWrap/>
          </w:tcPr>
          <w:p w14:paraId="6F0C7BD4" w14:textId="6D6C3D53"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2 025 </w:t>
            </w:r>
          </w:p>
        </w:tc>
        <w:tc>
          <w:tcPr>
            <w:tcW w:w="1200" w:type="dxa"/>
            <w:tcBorders>
              <w:top w:val="single" w:sz="4" w:space="0" w:color="auto"/>
              <w:left w:val="nil"/>
              <w:bottom w:val="single" w:sz="4" w:space="0" w:color="auto"/>
              <w:right w:val="single" w:sz="4" w:space="0" w:color="auto"/>
            </w:tcBorders>
            <w:shd w:val="clear" w:color="auto" w:fill="C6EFCE"/>
            <w:noWrap/>
          </w:tcPr>
          <w:p w14:paraId="4CF758D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3 780</w:t>
            </w:r>
          </w:p>
        </w:tc>
        <w:tc>
          <w:tcPr>
            <w:tcW w:w="960" w:type="dxa"/>
            <w:tcBorders>
              <w:top w:val="single" w:sz="4" w:space="0" w:color="auto"/>
              <w:left w:val="nil"/>
              <w:bottom w:val="single" w:sz="4" w:space="0" w:color="auto"/>
              <w:right w:val="single" w:sz="4" w:space="0" w:color="auto"/>
            </w:tcBorders>
            <w:shd w:val="clear" w:color="auto" w:fill="C6EFCE"/>
            <w:noWrap/>
          </w:tcPr>
          <w:p w14:paraId="4819295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07" w:type="dxa"/>
            <w:tcBorders>
              <w:top w:val="single" w:sz="4" w:space="0" w:color="auto"/>
              <w:left w:val="nil"/>
              <w:bottom w:val="single" w:sz="4" w:space="0" w:color="auto"/>
              <w:right w:val="single" w:sz="4" w:space="0" w:color="auto"/>
            </w:tcBorders>
            <w:shd w:val="clear" w:color="auto" w:fill="C6EFCE"/>
            <w:noWrap/>
          </w:tcPr>
          <w:p w14:paraId="0854EA7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2891" w:type="dxa"/>
            <w:tcBorders>
              <w:top w:val="single" w:sz="4" w:space="0" w:color="auto"/>
              <w:left w:val="nil"/>
              <w:bottom w:val="single" w:sz="4" w:space="0" w:color="auto"/>
              <w:right w:val="single" w:sz="4" w:space="0" w:color="auto"/>
            </w:tcBorders>
            <w:shd w:val="clear" w:color="auto" w:fill="C6EFCE"/>
            <w:noWrap/>
          </w:tcPr>
          <w:p w14:paraId="3CB4BA77" w14:textId="5F8FC5B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O capacitate totală instalată de producție de energie electrică pe bază de cărbune și lignit de 3 780 MW a fost dezafectată și înlocuită parțial cu o producție de energie electrică pe bază de gaz, flexibilă, eficientă și rezistentă în timp, sau cu o producție combinată de energie electrică și energie termică pe gaz, care permite utilizarea gazelor regenerabile și cu emisii scăzute de dioxid de carbon de 1 300 MW</w:t>
            </w:r>
            <w:r>
              <w:rPr>
                <w:noProof/>
              </w:rPr>
              <w:t xml:space="preserve"> </w:t>
            </w:r>
            <w:r>
              <w:rPr>
                <w:rFonts w:ascii="Times New Roman" w:hAnsi="Times New Roman"/>
                <w:noProof/>
                <w:sz w:val="24"/>
              </w:rPr>
              <w:t>va fi finanțată din alte fonduri ale UE.</w:t>
            </w:r>
          </w:p>
        </w:tc>
      </w:tr>
      <w:tr w:rsidR="000A27B3" w:rsidRPr="000A27B3" w14:paraId="5134EAF9"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614FF6B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120</w:t>
            </w:r>
          </w:p>
        </w:tc>
        <w:tc>
          <w:tcPr>
            <w:tcW w:w="1823" w:type="dxa"/>
            <w:tcBorders>
              <w:top w:val="single" w:sz="4" w:space="0" w:color="auto"/>
              <w:left w:val="nil"/>
              <w:bottom w:val="single" w:sz="4" w:space="0" w:color="auto"/>
              <w:right w:val="single" w:sz="4" w:space="0" w:color="auto"/>
            </w:tcBorders>
            <w:shd w:val="clear" w:color="auto" w:fill="C6EFCE"/>
            <w:noWrap/>
          </w:tcPr>
          <w:p w14:paraId="53B96F3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Reforma pieței de energie electrică, prin înlocuirea cărbunelui din mixul energetic și susținerea unui cadru legislativ și de reglementare stimulativ pentru investițiile private în producția de electricitate din surse regenerabile</w:t>
            </w:r>
          </w:p>
        </w:tc>
        <w:tc>
          <w:tcPr>
            <w:tcW w:w="1350" w:type="dxa"/>
            <w:tcBorders>
              <w:top w:val="single" w:sz="4" w:space="0" w:color="auto"/>
              <w:left w:val="nil"/>
              <w:bottom w:val="single" w:sz="4" w:space="0" w:color="auto"/>
              <w:right w:val="single" w:sz="4" w:space="0" w:color="auto"/>
            </w:tcBorders>
            <w:shd w:val="clear" w:color="auto" w:fill="C6EFCE"/>
            <w:noWrap/>
          </w:tcPr>
          <w:p w14:paraId="0BECD14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53" w:type="dxa"/>
            <w:tcBorders>
              <w:top w:val="single" w:sz="4" w:space="0" w:color="auto"/>
              <w:left w:val="nil"/>
              <w:bottom w:val="single" w:sz="4" w:space="0" w:color="auto"/>
              <w:right w:val="single" w:sz="4" w:space="0" w:color="auto"/>
            </w:tcBorders>
            <w:shd w:val="clear" w:color="auto" w:fill="C6EFCE"/>
            <w:noWrap/>
          </w:tcPr>
          <w:p w14:paraId="17243B2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Capacitate suplimentară de energie din surse regenerabile dată în folosință </w:t>
            </w:r>
          </w:p>
        </w:tc>
        <w:tc>
          <w:tcPr>
            <w:tcW w:w="1822" w:type="dxa"/>
            <w:tcBorders>
              <w:top w:val="single" w:sz="4" w:space="0" w:color="auto"/>
              <w:left w:val="nil"/>
              <w:bottom w:val="single" w:sz="4" w:space="0" w:color="auto"/>
              <w:right w:val="single" w:sz="4" w:space="0" w:color="auto"/>
            </w:tcBorders>
            <w:shd w:val="clear" w:color="auto" w:fill="C6EFCE"/>
            <w:noWrap/>
          </w:tcPr>
          <w:p w14:paraId="63FEE64B"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196" w:type="dxa"/>
            <w:tcBorders>
              <w:top w:val="single" w:sz="4" w:space="0" w:color="auto"/>
              <w:left w:val="nil"/>
              <w:bottom w:val="single" w:sz="4" w:space="0" w:color="auto"/>
              <w:right w:val="single" w:sz="4" w:space="0" w:color="auto"/>
            </w:tcBorders>
            <w:shd w:val="clear" w:color="auto" w:fill="C6EFCE"/>
            <w:noWrap/>
          </w:tcPr>
          <w:p w14:paraId="44D5A6E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Megawatt (MW)</w:t>
            </w:r>
          </w:p>
        </w:tc>
        <w:tc>
          <w:tcPr>
            <w:tcW w:w="1200" w:type="dxa"/>
            <w:tcBorders>
              <w:top w:val="single" w:sz="4" w:space="0" w:color="auto"/>
              <w:left w:val="nil"/>
              <w:bottom w:val="single" w:sz="4" w:space="0" w:color="auto"/>
              <w:right w:val="single" w:sz="4" w:space="0" w:color="auto"/>
            </w:tcBorders>
            <w:shd w:val="clear" w:color="auto" w:fill="C6EFCE"/>
            <w:noWrap/>
          </w:tcPr>
          <w:p w14:paraId="53700B8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4 408</w:t>
            </w:r>
          </w:p>
        </w:tc>
        <w:tc>
          <w:tcPr>
            <w:tcW w:w="1200" w:type="dxa"/>
            <w:tcBorders>
              <w:top w:val="single" w:sz="4" w:space="0" w:color="auto"/>
              <w:left w:val="nil"/>
              <w:bottom w:val="single" w:sz="4" w:space="0" w:color="auto"/>
              <w:right w:val="single" w:sz="4" w:space="0" w:color="auto"/>
            </w:tcBorders>
            <w:shd w:val="clear" w:color="auto" w:fill="C6EFCE"/>
            <w:noWrap/>
          </w:tcPr>
          <w:p w14:paraId="0C78568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7 408</w:t>
            </w:r>
          </w:p>
        </w:tc>
        <w:tc>
          <w:tcPr>
            <w:tcW w:w="960" w:type="dxa"/>
            <w:tcBorders>
              <w:top w:val="single" w:sz="4" w:space="0" w:color="auto"/>
              <w:left w:val="nil"/>
              <w:bottom w:val="single" w:sz="4" w:space="0" w:color="auto"/>
              <w:right w:val="single" w:sz="4" w:space="0" w:color="auto"/>
            </w:tcBorders>
            <w:shd w:val="clear" w:color="auto" w:fill="C6EFCE"/>
            <w:noWrap/>
          </w:tcPr>
          <w:p w14:paraId="7F9C29E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07" w:type="dxa"/>
            <w:tcBorders>
              <w:top w:val="single" w:sz="4" w:space="0" w:color="auto"/>
              <w:left w:val="nil"/>
              <w:bottom w:val="single" w:sz="4" w:space="0" w:color="auto"/>
              <w:right w:val="single" w:sz="4" w:space="0" w:color="auto"/>
            </w:tcBorders>
            <w:shd w:val="clear" w:color="auto" w:fill="C6EFCE"/>
            <w:noWrap/>
          </w:tcPr>
          <w:p w14:paraId="2500208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891" w:type="dxa"/>
            <w:tcBorders>
              <w:top w:val="single" w:sz="4" w:space="0" w:color="auto"/>
              <w:left w:val="nil"/>
              <w:bottom w:val="single" w:sz="4" w:space="0" w:color="auto"/>
              <w:right w:val="single" w:sz="4" w:space="0" w:color="auto"/>
            </w:tcBorders>
            <w:shd w:val="clear" w:color="auto" w:fill="C6EFCE"/>
            <w:noWrap/>
          </w:tcPr>
          <w:p w14:paraId="10EC3834" w14:textId="55BCB3AD"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O capacitate suplimentară de energie din surse regenerabile (eoliană și solară) de cel puțin 3 000 MW comparativ cu capacitatea instalată existentă (eoliană și solară) a fost dată în exploatare și conectată la rețea, urmând să fie finanțată parțial din alte fonduri ale UE.</w:t>
            </w:r>
          </w:p>
        </w:tc>
      </w:tr>
      <w:tr w:rsidR="000A27B3" w:rsidRPr="000A27B3" w14:paraId="01870DD3"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7627224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121</w:t>
            </w:r>
          </w:p>
        </w:tc>
        <w:tc>
          <w:tcPr>
            <w:tcW w:w="1823" w:type="dxa"/>
            <w:tcBorders>
              <w:top w:val="single" w:sz="4" w:space="0" w:color="auto"/>
              <w:left w:val="nil"/>
              <w:bottom w:val="single" w:sz="4" w:space="0" w:color="auto"/>
              <w:right w:val="single" w:sz="4" w:space="0" w:color="auto"/>
            </w:tcBorders>
            <w:shd w:val="clear" w:color="auto" w:fill="C6EFCE"/>
            <w:noWrap/>
          </w:tcPr>
          <w:p w14:paraId="565A029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Îmbunătățirea guvernanței corporative a întreprinderilor de stat din sectorul energetic </w:t>
            </w:r>
          </w:p>
        </w:tc>
        <w:tc>
          <w:tcPr>
            <w:tcW w:w="1350" w:type="dxa"/>
            <w:tcBorders>
              <w:top w:val="single" w:sz="4" w:space="0" w:color="auto"/>
              <w:left w:val="nil"/>
              <w:bottom w:val="single" w:sz="4" w:space="0" w:color="auto"/>
              <w:right w:val="single" w:sz="4" w:space="0" w:color="auto"/>
            </w:tcBorders>
            <w:shd w:val="clear" w:color="auto" w:fill="C6EFCE"/>
            <w:noWrap/>
          </w:tcPr>
          <w:p w14:paraId="5623033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183E7DE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Îmbunătățirea guvernanței corporative a companiilor de stat din sectorul energetic</w:t>
            </w:r>
          </w:p>
        </w:tc>
        <w:tc>
          <w:tcPr>
            <w:tcW w:w="1822" w:type="dxa"/>
            <w:tcBorders>
              <w:top w:val="single" w:sz="4" w:space="0" w:color="auto"/>
              <w:left w:val="nil"/>
              <w:bottom w:val="single" w:sz="4" w:space="0" w:color="auto"/>
              <w:right w:val="single" w:sz="4" w:space="0" w:color="auto"/>
            </w:tcBorders>
            <w:shd w:val="clear" w:color="auto" w:fill="C6EFCE"/>
            <w:noWrap/>
          </w:tcPr>
          <w:p w14:paraId="3071514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selecției și numirii consiliilor de administrație</w:t>
            </w:r>
          </w:p>
        </w:tc>
        <w:tc>
          <w:tcPr>
            <w:tcW w:w="1196" w:type="dxa"/>
            <w:tcBorders>
              <w:top w:val="single" w:sz="4" w:space="0" w:color="auto"/>
              <w:left w:val="nil"/>
              <w:bottom w:val="single" w:sz="4" w:space="0" w:color="auto"/>
              <w:right w:val="single" w:sz="4" w:space="0" w:color="auto"/>
            </w:tcBorders>
            <w:shd w:val="clear" w:color="auto" w:fill="C6EFCE"/>
            <w:noWrap/>
          </w:tcPr>
          <w:p w14:paraId="0648C1E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304386F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299DBFF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23D9775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07" w:type="dxa"/>
            <w:tcBorders>
              <w:top w:val="single" w:sz="4" w:space="0" w:color="auto"/>
              <w:left w:val="nil"/>
              <w:bottom w:val="single" w:sz="4" w:space="0" w:color="auto"/>
              <w:right w:val="single" w:sz="4" w:space="0" w:color="auto"/>
            </w:tcBorders>
            <w:shd w:val="clear" w:color="auto" w:fill="C6EFCE"/>
            <w:noWrap/>
          </w:tcPr>
          <w:p w14:paraId="68C30E1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891" w:type="dxa"/>
            <w:tcBorders>
              <w:top w:val="single" w:sz="4" w:space="0" w:color="auto"/>
              <w:left w:val="nil"/>
              <w:bottom w:val="single" w:sz="4" w:space="0" w:color="auto"/>
              <w:right w:val="single" w:sz="4" w:space="0" w:color="auto"/>
            </w:tcBorders>
            <w:shd w:val="clear" w:color="auto" w:fill="C6EFCE"/>
            <w:noWrap/>
            <w:vAlign w:val="bottom"/>
          </w:tcPr>
          <w:p w14:paraId="1E00033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Selecția și numirea membrilor consiliilor de administrație și/sau de supraveghere ale tuturor întreprinderilor naționale de stat aflate în subordinea Ministerului Energiei (de exemplu, Hidroelectrica, Romgaz, Nuclearelectrica) pe baza unei proceduri transparente și competitive pentru un mandat de 4 ani, sistemul de remunerare fiind bazat pe obiective cantitative și calitative legate de performanța financiară (cum ar fi veniturile și rentabilitatea, implicarea bugetului de stat) și de performanța serviciilor (de exemplu, pe baza unui sondaj reprezentativ privind satisfacția clienților realizat de un organism independent).</w:t>
            </w:r>
          </w:p>
        </w:tc>
      </w:tr>
      <w:tr w:rsidR="000A27B3" w:rsidRPr="000A27B3" w14:paraId="79B5BED1"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352A12C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122</w:t>
            </w:r>
          </w:p>
        </w:tc>
        <w:tc>
          <w:tcPr>
            <w:tcW w:w="1823" w:type="dxa"/>
            <w:tcBorders>
              <w:top w:val="single" w:sz="4" w:space="0" w:color="auto"/>
              <w:left w:val="nil"/>
              <w:bottom w:val="single" w:sz="4" w:space="0" w:color="auto"/>
              <w:right w:val="single" w:sz="4" w:space="0" w:color="auto"/>
            </w:tcBorders>
            <w:shd w:val="clear" w:color="auto" w:fill="C6EFCE"/>
            <w:noWrap/>
          </w:tcPr>
          <w:p w14:paraId="2A1EF57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Îmbunătățirea guvernanței corporative a întreprinderilor de stat din sectorul energetic </w:t>
            </w:r>
          </w:p>
        </w:tc>
        <w:tc>
          <w:tcPr>
            <w:tcW w:w="1350" w:type="dxa"/>
            <w:tcBorders>
              <w:top w:val="single" w:sz="4" w:space="0" w:color="auto"/>
              <w:left w:val="nil"/>
              <w:bottom w:val="single" w:sz="4" w:space="0" w:color="auto"/>
              <w:right w:val="single" w:sz="4" w:space="0" w:color="auto"/>
            </w:tcBorders>
            <w:shd w:val="clear" w:color="auto" w:fill="C6EFCE"/>
            <w:noWrap/>
          </w:tcPr>
          <w:p w14:paraId="00BBE32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43056C1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listării unui pachet de până 15 % din acțiunile Hidroelectrica</w:t>
            </w:r>
          </w:p>
        </w:tc>
        <w:tc>
          <w:tcPr>
            <w:tcW w:w="1822" w:type="dxa"/>
            <w:tcBorders>
              <w:top w:val="single" w:sz="4" w:space="0" w:color="auto"/>
              <w:left w:val="nil"/>
              <w:bottom w:val="single" w:sz="4" w:space="0" w:color="auto"/>
              <w:right w:val="single" w:sz="4" w:space="0" w:color="auto"/>
            </w:tcBorders>
            <w:shd w:val="clear" w:color="auto" w:fill="C6EFCE"/>
            <w:noWrap/>
          </w:tcPr>
          <w:p w14:paraId="420FF97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ofertei publice inițiale</w:t>
            </w:r>
          </w:p>
        </w:tc>
        <w:tc>
          <w:tcPr>
            <w:tcW w:w="1196" w:type="dxa"/>
            <w:tcBorders>
              <w:top w:val="single" w:sz="4" w:space="0" w:color="auto"/>
              <w:left w:val="nil"/>
              <w:bottom w:val="single" w:sz="4" w:space="0" w:color="auto"/>
              <w:right w:val="single" w:sz="4" w:space="0" w:color="auto"/>
            </w:tcBorders>
            <w:shd w:val="clear" w:color="auto" w:fill="C6EFCE"/>
            <w:noWrap/>
          </w:tcPr>
          <w:p w14:paraId="79E349A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1F8CDD8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7A1AC89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708F7A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07" w:type="dxa"/>
            <w:tcBorders>
              <w:top w:val="single" w:sz="4" w:space="0" w:color="auto"/>
              <w:left w:val="nil"/>
              <w:bottom w:val="single" w:sz="4" w:space="0" w:color="auto"/>
              <w:right w:val="single" w:sz="4" w:space="0" w:color="auto"/>
            </w:tcBorders>
            <w:shd w:val="clear" w:color="auto" w:fill="C6EFCE"/>
            <w:noWrap/>
          </w:tcPr>
          <w:p w14:paraId="4B57274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891" w:type="dxa"/>
            <w:tcBorders>
              <w:top w:val="single" w:sz="4" w:space="0" w:color="auto"/>
              <w:left w:val="nil"/>
              <w:bottom w:val="single" w:sz="4" w:space="0" w:color="auto"/>
              <w:right w:val="single" w:sz="4" w:space="0" w:color="auto"/>
            </w:tcBorders>
            <w:shd w:val="clear" w:color="auto" w:fill="C6EFCE"/>
            <w:noWrap/>
          </w:tcPr>
          <w:p w14:paraId="698A4CE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În urma publicării prospectului de listare, un pachet de acțiuni de până la 15 % din Hidroelectrica va fi tranzacționat pe bursă după o ofertă publică inițială.</w:t>
            </w:r>
          </w:p>
        </w:tc>
      </w:tr>
      <w:tr w:rsidR="000A27B3" w:rsidRPr="000A27B3" w14:paraId="25E8758B" w14:textId="77777777" w:rsidTr="000048C5">
        <w:trPr>
          <w:trHeight w:val="309"/>
          <w:jc w:val="center"/>
        </w:trPr>
        <w:tc>
          <w:tcPr>
            <w:tcW w:w="791" w:type="dxa"/>
            <w:tcBorders>
              <w:top w:val="single" w:sz="4" w:space="0" w:color="auto"/>
              <w:left w:val="single" w:sz="4" w:space="0" w:color="auto"/>
              <w:bottom w:val="single" w:sz="4" w:space="0" w:color="auto"/>
              <w:right w:val="single" w:sz="4" w:space="0" w:color="auto"/>
            </w:tcBorders>
            <w:shd w:val="clear" w:color="auto" w:fill="C6EFCE"/>
            <w:noWrap/>
          </w:tcPr>
          <w:p w14:paraId="4C6643E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123</w:t>
            </w:r>
          </w:p>
        </w:tc>
        <w:tc>
          <w:tcPr>
            <w:tcW w:w="1823" w:type="dxa"/>
            <w:tcBorders>
              <w:top w:val="single" w:sz="4" w:space="0" w:color="auto"/>
              <w:left w:val="nil"/>
              <w:bottom w:val="single" w:sz="4" w:space="0" w:color="auto"/>
              <w:right w:val="single" w:sz="4" w:space="0" w:color="auto"/>
            </w:tcBorders>
            <w:shd w:val="clear" w:color="auto" w:fill="C6EFCE"/>
            <w:noWrap/>
          </w:tcPr>
          <w:p w14:paraId="0A479EA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3. Bugetarea verde </w:t>
            </w:r>
          </w:p>
        </w:tc>
        <w:tc>
          <w:tcPr>
            <w:tcW w:w="1350" w:type="dxa"/>
            <w:tcBorders>
              <w:top w:val="single" w:sz="4" w:space="0" w:color="auto"/>
              <w:left w:val="nil"/>
              <w:bottom w:val="single" w:sz="4" w:space="0" w:color="auto"/>
              <w:right w:val="single" w:sz="4" w:space="0" w:color="auto"/>
            </w:tcBorders>
            <w:shd w:val="clear" w:color="auto" w:fill="C6EFCE"/>
            <w:noWrap/>
          </w:tcPr>
          <w:p w14:paraId="789E4D2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53" w:type="dxa"/>
            <w:tcBorders>
              <w:top w:val="single" w:sz="4" w:space="0" w:color="auto"/>
              <w:left w:val="nil"/>
              <w:bottom w:val="single" w:sz="4" w:space="0" w:color="auto"/>
              <w:right w:val="single" w:sz="4" w:space="0" w:color="auto"/>
            </w:tcBorders>
            <w:shd w:val="clear" w:color="auto" w:fill="C6EFCE"/>
            <w:noWrap/>
          </w:tcPr>
          <w:p w14:paraId="6C038F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și aplicarea unei metodologii de planificare bugetară verde</w:t>
            </w:r>
          </w:p>
        </w:tc>
        <w:tc>
          <w:tcPr>
            <w:tcW w:w="1822" w:type="dxa"/>
            <w:tcBorders>
              <w:top w:val="single" w:sz="4" w:space="0" w:color="auto"/>
              <w:left w:val="nil"/>
              <w:bottom w:val="single" w:sz="4" w:space="0" w:color="auto"/>
              <w:right w:val="single" w:sz="4" w:space="0" w:color="auto"/>
            </w:tcBorders>
            <w:shd w:val="clear" w:color="auto" w:fill="C6EFCE"/>
            <w:noWrap/>
          </w:tcPr>
          <w:p w14:paraId="5FA0B34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Elaborarea și începerea aplicării unei metodologii de planificare bugetară verde</w:t>
            </w:r>
          </w:p>
        </w:tc>
        <w:tc>
          <w:tcPr>
            <w:tcW w:w="1196" w:type="dxa"/>
            <w:tcBorders>
              <w:top w:val="single" w:sz="4" w:space="0" w:color="auto"/>
              <w:left w:val="nil"/>
              <w:bottom w:val="single" w:sz="4" w:space="0" w:color="auto"/>
              <w:right w:val="single" w:sz="4" w:space="0" w:color="auto"/>
            </w:tcBorders>
            <w:shd w:val="clear" w:color="auto" w:fill="C6EFCE"/>
            <w:noWrap/>
          </w:tcPr>
          <w:p w14:paraId="330AEE22"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455E566F"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200" w:type="dxa"/>
            <w:tcBorders>
              <w:top w:val="single" w:sz="4" w:space="0" w:color="auto"/>
              <w:left w:val="nil"/>
              <w:bottom w:val="single" w:sz="4" w:space="0" w:color="auto"/>
              <w:right w:val="single" w:sz="4" w:space="0" w:color="auto"/>
            </w:tcBorders>
            <w:shd w:val="clear" w:color="auto" w:fill="C6EFCE"/>
            <w:noWrap/>
          </w:tcPr>
          <w:p w14:paraId="4F26B01F"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1A3F804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07" w:type="dxa"/>
            <w:tcBorders>
              <w:top w:val="single" w:sz="4" w:space="0" w:color="auto"/>
              <w:left w:val="nil"/>
              <w:bottom w:val="single" w:sz="4" w:space="0" w:color="auto"/>
              <w:right w:val="single" w:sz="4" w:space="0" w:color="auto"/>
            </w:tcBorders>
            <w:shd w:val="clear" w:color="auto" w:fill="C6EFCE"/>
            <w:noWrap/>
          </w:tcPr>
          <w:p w14:paraId="11284C8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891" w:type="dxa"/>
            <w:tcBorders>
              <w:top w:val="single" w:sz="4" w:space="0" w:color="auto"/>
              <w:left w:val="nil"/>
              <w:bottom w:val="single" w:sz="4" w:space="0" w:color="auto"/>
              <w:right w:val="single" w:sz="4" w:space="0" w:color="auto"/>
            </w:tcBorders>
            <w:shd w:val="clear" w:color="auto" w:fill="C6EFCE"/>
            <w:noWrap/>
          </w:tcPr>
          <w:p w14:paraId="520BB34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Ministerul Finanțelor va finaliza și aplica o metodologie de evaluare a impactului liniilor bugetare individuale asupra obiectivelor de mediu, în conformitate cu taxonomia UE pentru activitățile durabile și cu Orientările tehnice privind aplicarea principiului de „a nu aduce prejudicii semnificative” (2021/C58/01). Metodologia se va adopta, publica și aplica și va permite monitorizarea cheltuielilor bugetare verzi și evaluarea impactului politicii fiscale asupra mediului și climei.</w:t>
            </w:r>
          </w:p>
        </w:tc>
      </w:tr>
    </w:tbl>
    <w:p w14:paraId="5824EF86" w14:textId="77777777" w:rsidR="00500CF9" w:rsidRPr="009F1DC7" w:rsidRDefault="00500CF9">
      <w:pPr>
        <w:keepNext/>
        <w:spacing w:before="120" w:after="120" w:line="240" w:lineRule="auto"/>
        <w:jc w:val="both"/>
        <w:outlineLvl w:val="1"/>
        <w:rPr>
          <w:rFonts w:ascii="Times New Roman" w:eastAsiaTheme="majorEastAsia" w:hAnsi="Times New Roman" w:cs="Times New Roman"/>
          <w:b/>
          <w:bCs/>
          <w:noProof/>
          <w:sz w:val="24"/>
          <w:szCs w:val="24"/>
        </w:rPr>
        <w:sectPr w:rsidR="00500CF9" w:rsidRPr="009F1DC7">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417" w:right="1134" w:bottom="1417" w:left="1134" w:header="709" w:footer="709" w:gutter="0"/>
          <w:cols w:space="720"/>
          <w:docGrid w:linePitch="360"/>
        </w:sectPr>
      </w:pPr>
    </w:p>
    <w:p w14:paraId="1C05D2E8"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F.3. </w:t>
      </w:r>
      <w:r>
        <w:rPr>
          <w:noProof/>
        </w:rPr>
        <w:tab/>
      </w:r>
      <w:r>
        <w:rPr>
          <w:rFonts w:ascii="Times New Roman" w:hAnsi="Times New Roman"/>
          <w:b/>
          <w:noProof/>
          <w:sz w:val="24"/>
        </w:rPr>
        <w:t xml:space="preserve">Descrierea reformelor și a investițiilor pentru împrumut </w:t>
      </w:r>
    </w:p>
    <w:p w14:paraId="2678BEFD"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4. Dezvoltarea unui cadru legislativ și de reglementare favorabil tehnologiilor viitorului, în special hidrogen și soluții de stocare</w:t>
      </w:r>
    </w:p>
    <w:p w14:paraId="0143A5F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modifica cadrul legislativ și de reglementare existent pentru a introduce măsuri de sprijinire și facilitare a utilizării hidrogenului din surse regenerabile, cu accent pe sectorul transporturilor și energiei (gaze și energie electrică). În special, reforma va elabora o Strategie națională dedicată hidrogenului și un plan de acțiune al strategiei, stabilind calendarul pentru punerea în aplicare a măsurilor din strategie. Reforma va elimina toate obstacolele legislative și administrative din calea dezvoltării tehnologiei hidrogenului din surse regenerabile și va contribui la realizarea viitoarelor obiective naționale și europene privind producția, stocarea, transportul și utilizarea hidrogenului din surse regenerabile până în 2030.</w:t>
      </w:r>
    </w:p>
    <w:p w14:paraId="1B419A3E"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Prin intermediul unor acte de reglementare, aparatele pregătite pentru hidrogen (cum ar fi centralele de apartament) și echipamentele vor fi obligatorii începând cu 1 ianuarie 2026 pentru toate instalațiile noi.</w:t>
      </w:r>
    </w:p>
    <w:p w14:paraId="3EC6FCE3"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conformitate cu articolul 7 alineatul (2) din Regulamentul privind redresarea și reziliența, România a solicitat sprijin tehnic din instrumentul de asistență tehnică pentru elaborarea Strategiei naționale dedicate hidrogenului, inclusiv pentru definirea unui set de politici de orientare, coordonare și mobilizare a investițiilor publice și private în domeniile producției, depozitării, transportului și consumului/utilizării hidrogenului (gazelor din surse regenerabile), inclusiv pentru revizuirea cadrului legislativ necesar pentru stimularea acestui domeniu. Modificările aduse cadrului legislativ și de reglementare pe baza Strategiei naționale dedicate hidrogenului și a planului de acțiune aferent vor fi finalizate până la 31 martie 2023.</w:t>
      </w:r>
    </w:p>
    <w:p w14:paraId="72E076ED"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 xml:space="preserve">Reforma 5. Reducerea intensității energetice a economiei prin dezvoltarea unui mecanism sustenabil de stimulare a eficienței energetice în industrie </w:t>
      </w:r>
    </w:p>
    <w:p w14:paraId="283F5E2E"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de a facilita investițiile în eficiența energetică în industrie și de a spori reziliența sectorului industrial. </w:t>
      </w:r>
    </w:p>
    <w:p w14:paraId="220CDCC2"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i) va elimina obstacolele din calea contractelor de performanță energetică; ii) va introduce supravegherea pieței în ceea ce privește eficiența energetică pentru a asigura conformitatea produselor cu standardele de proiectare ecologică, iii) va îmbunătăți cunoașterea de către IMM-uri a măsurilor, programelor și beneficiilor în materie de eficiență energetică; iv) va crea un sistem de monitorizare pentru implementarea recomandărilor formulate în urma auditurilor energetice în sectoarele ETS; v) va introduce noi standarde pentru instrumentele financiare verzi. </w:t>
      </w:r>
    </w:p>
    <w:p w14:paraId="627DD45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se va finaliza până la 31 decembrie 2022.</w:t>
      </w:r>
    </w:p>
    <w:p w14:paraId="104813F5"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6. Creșterea competitivității și decarbonizarea sectorului de încălzire - răcire</w:t>
      </w:r>
    </w:p>
    <w:p w14:paraId="3832454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de a contribui la decarbonizarea sectorului încălzirii și răcirii. </w:t>
      </w:r>
    </w:p>
    <w:p w14:paraId="7B98226F"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i) va clarifica cadrul responsabilităților, stabilind responsabilitățile care le revin autorităților centrale și cele care le revin autorităților locale pentru gestionarea sectorului încălzirii și răcirii și va extinde aplicarea Legii privind guvernanța corporativă la furnizorii de încălzire centralizată; ii) va asigura durabilitatea și trasabilitatea biomasei pentru a preveni orice impact negativ al utilizării bioenergiei asupra biodiversității și pădurilor și pentru a diversifica mixul energetic pentru încălzire și răcire, utilizând alte materii prime decât biomasa forestieră; iii) le va permite blocurilor de apartamente și asociațiilor de locatari aferente să producă și să vândă excesul de energie solară și, eventual, eoliană în forme mai flexibile, prin crearea unor scheme de contorizare netă, simplificarea procedurilor de racordare și introducerea de stimulente.</w:t>
      </w:r>
    </w:p>
    <w:p w14:paraId="166DE946"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se va finaliza până la 31 decembrie 2023.</w:t>
      </w:r>
    </w:p>
    <w:p w14:paraId="119ADA1B" w14:textId="65455BB4"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2: Capacitățile de producție a hidrogenului verde care să fie utilizat pentru stocarea energiei electrice și/sau pentru decarbonizarea industriei</w:t>
      </w:r>
    </w:p>
    <w:p w14:paraId="6F1F696F" w14:textId="74E08485"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contribui la utilizarea hidrogenului verde în conformitate cu Strategia UE privind hidrogenul, prin instalarea unor capacități de producție a hidrogenului verde de cel puțin 60 MW</w:t>
      </w:r>
      <w:r>
        <w:rPr>
          <w:rFonts w:ascii="Times New Roman" w:hAnsi="Times New Roman"/>
          <w:noProof/>
          <w:sz w:val="24"/>
          <w:vertAlign w:val="subscript"/>
        </w:rPr>
        <w:t>H2</w:t>
      </w:r>
      <w:r>
        <w:rPr>
          <w:rFonts w:ascii="Times New Roman" w:hAnsi="Times New Roman"/>
          <w:noProof/>
          <w:sz w:val="24"/>
        </w:rPr>
        <w:t xml:space="preserve"> în electrolizoare, care să producă cel puțin 10 000 de tone de hidrogen din surse regenerabile.</w:t>
      </w:r>
    </w:p>
    <w:p w14:paraId="231CC4C2"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31 decembrie 2025. </w:t>
      </w:r>
    </w:p>
    <w:p w14:paraId="21B4FCA7"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3: Dezvoltarea unei producții combinate de energie termică și energie electrică (CHP) pe gaz flexibilă și de înaltă eficiență în sectorul încălzirii centralizate, în vederea atingerii unei decarbonizări adânci</w:t>
      </w:r>
    </w:p>
    <w:p w14:paraId="374D52A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contribui la abordarea provocărilor cu care se confruntă România în tranziția de la sursele de energie pe bază de cărbune și lignit. În special, investiția va asigura furnizarea de energie termică consumatorilor în contextul eliminării treptate a producției de energie electrică și termică pe bază de cărbune.</w:t>
      </w:r>
    </w:p>
    <w:p w14:paraId="2C68D584" w14:textId="5CED3C75"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duce la instalarea unei capacități de producție combinată de energie termică și energie electrică pe gaz adaptate exigențelor viitorului, flexibile și de înaltă eficiență, care să permită utilizarea gazelor din surse regenerabile și cu emisii scăzute de carbon, de cel puțin 300</w:t>
      </w:r>
      <w:r w:rsidR="000048C5">
        <w:rPr>
          <w:rFonts w:ascii="Times New Roman" w:hAnsi="Times New Roman"/>
          <w:noProof/>
          <w:sz w:val="24"/>
        </w:rPr>
        <w:t> </w:t>
      </w:r>
      <w:r>
        <w:rPr>
          <w:rFonts w:ascii="Times New Roman" w:hAnsi="Times New Roman"/>
          <w:noProof/>
          <w:sz w:val="24"/>
        </w:rPr>
        <w:t xml:space="preserve">MWe. </w:t>
      </w:r>
    </w:p>
    <w:p w14:paraId="70FEA1B9" w14:textId="367865C3" w:rsidR="00951B60" w:rsidRPr="009F1DC7" w:rsidRDefault="00951B60" w:rsidP="00951B60">
      <w:pPr>
        <w:spacing w:before="120" w:after="120" w:line="240" w:lineRule="auto"/>
        <w:jc w:val="both"/>
        <w:rPr>
          <w:rFonts w:ascii="Times New Roman" w:hAnsi="Times New Roman"/>
          <w:noProof/>
          <w:sz w:val="24"/>
        </w:rPr>
      </w:pPr>
    </w:p>
    <w:p w14:paraId="5439D26D" w14:textId="4E1E06FB" w:rsidR="00951B60" w:rsidRPr="000A27B3" w:rsidRDefault="00951B60" w:rsidP="00951B60">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această măsură nu va prejudicia în mod semnificativ obiectivele de mediu în sensul articolului 17 din Regulamentul (UE) 2020/852, ținând seama de descrierea măsurii și de etapele de atenuare prevăzute în planul de redresare și reziliență în conformitate cu Orientările tehnice DNSH (2021/C58/01). Acest lucru va fi asigurat prin intermediul următoarelor măsuri însoțitoare: </w:t>
      </w:r>
    </w:p>
    <w:p w14:paraId="494A90BD" w14:textId="77777777" w:rsidR="00951B60" w:rsidRPr="000A27B3" w:rsidRDefault="00951B60" w:rsidP="00951B60">
      <w:pPr>
        <w:numPr>
          <w:ilvl w:val="0"/>
          <w:numId w:val="236"/>
        </w:num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4 din componenta 6, combinată cu investiția 2 din componenta 6, include planuri credibile de creștere a utilizării gazelor din surse regenerabile și cu emisii scăzute de dioxid de carbon prin adoptarea și punerea în aplicare a unei strategii și a unui plan de acțiune naționale privind hidrogenul și prin instalarea de capacități de producție a hidrogenului din surse regenerabile; și </w:t>
      </w:r>
    </w:p>
    <w:p w14:paraId="4C9F8723" w14:textId="17D07E91" w:rsidR="00951B60" w:rsidRPr="000A27B3" w:rsidRDefault="00951B60" w:rsidP="00951B60">
      <w:pPr>
        <w:numPr>
          <w:ilvl w:val="0"/>
          <w:numId w:val="236"/>
        </w:num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1 din componenta 6 duce la închiderea instalațiilor de producere a energiei electrice și a energiei termice pe bază de cărbune și lignit, care generează mult mai mult emisii de dioxid de carbon decât producția combinată de energie termică și electrică pe gaz de înaltă eficiență din cadrul acestei investiții. Închiderea unei cantități cumulate de 3 780 MW de capacitate pe bază de cărbune/lignit va avea loc până la 31 decembrie 2025, această capacitate fiind cu mult mai mare decât capacitatea combinată de energie termică și electrică pe gaz de 300 MW care urmează să fie instalată în cadrul acestei investiții și decât capacitatea de alimentare cu gaz de 1 300 MW care este planificată să fie instalată ca înlocuitor; și </w:t>
      </w:r>
    </w:p>
    <w:p w14:paraId="1F1039CF" w14:textId="438B1398" w:rsidR="00951B60" w:rsidRPr="000A27B3" w:rsidRDefault="00951B60" w:rsidP="00951B60">
      <w:pPr>
        <w:numPr>
          <w:ilvl w:val="0"/>
          <w:numId w:val="236"/>
        </w:num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1 din componenta 6 duce la instalarea unei capacități suplimentare de energie din surse regenerabile de cel puțin 3 000 MW până în 2026, ceea ce arată că România are o traiectorie credibilă de creștere a ponderii energiei din surse regenerabile în vederea atingerii obiectivului său privind energia din surse regenerabile pentru 2030 stabilit în Planul național privind energia și clima. Întrucât România intenționează să mărească acest obiectiv, o a doua rundă de licitații pentru atribuirea contractelor pentru diferență pentru sursele regenerabile de energie va fi lansată până la 30 iunie 2025, pentru a demonstra o traiectorie credibilă de creștere a ponderii energiei din surse regenerabile către obiectivul majorat; și </w:t>
      </w:r>
    </w:p>
    <w:p w14:paraId="4C8689D9" w14:textId="77777777" w:rsidR="00951B60" w:rsidRPr="000A27B3" w:rsidRDefault="00951B60" w:rsidP="00951B60">
      <w:pPr>
        <w:numPr>
          <w:ilvl w:val="0"/>
          <w:numId w:val="236"/>
        </w:num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1 din componenta 6 include reforme și investiții concrete ce vizează creșterea ponderii surselor regenerabile de energie, cum ar fi punerea în aplicare a contractelor pentru diferență, încheierea de contracte de achiziție de energie electrică din surse regenerabile, simplificarea procedurilor de acordare a licențelor și de autorizare pentru investițiile în surse regenerabile, stabilirea unor termene scurte în care administrația trebuie să dea un răspuns, iar acestea să fie obligatorii, și proceduri de responsabilizare pentru întârzierile inutile, reducerea documentației și a procedurilor necesare și introducerea unui nou cadru specific pentru centralele de energie din surse regenerabile offshore. </w:t>
      </w:r>
    </w:p>
    <w:p w14:paraId="0F35DB41" w14:textId="77777777" w:rsidR="00500CF9" w:rsidRPr="000A27B3" w:rsidRDefault="00500CF9">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În plus, Programul Național de Control al Poluării Atmosferice (PNCPA), care ar fi trebuit să fie prezentat Comisiei până în luna aprilie 2019, ca cerință legală a UE în temeiul Directivei (UE) 2016/2284, va fi aprobat până la 30 iunie 2022 (a se vedea nota de subsol 1 din secțiunea referitoare la reforma 1 din cadrul componentei de transport sustenabil).</w:t>
      </w:r>
    </w:p>
    <w:p w14:paraId="20290C3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61C6EF13"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4. Lanț industrial de producție și/sau asamblare și/sau reciclare a bateriilor, a celulelor și panourilor fotovoltaice (inclusiv echipamente auxiliare) și noi capacități de stocare a energiei electrice</w:t>
      </w:r>
    </w:p>
    <w:p w14:paraId="27CE9C39"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spori flexibilitatea rețelei de energie electrică și de a contribui la integrarea unor capacități suplimentare de generare a energiei din surse regenerabile.</w:t>
      </w:r>
    </w:p>
    <w:p w14:paraId="3C4BF4E6"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Investiția prevede trei subinvestiții: </w:t>
      </w:r>
    </w:p>
    <w:p w14:paraId="48FEEC41" w14:textId="43E4C5B4" w:rsidR="00500CF9" w:rsidRPr="000A27B3" w:rsidRDefault="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Prima subinvestiție, în lanțul valoric al bateriilor (fabricare, asamblare și reciclare), va duce la atingerea unei capacități anuale totale de fabricare și asamblare a bateriilor de cel puțin 2 GW până la 30 iunie 2026, în urma unei cereri de proiecte cu criterii de selecție care să asigure conformitatea cu Orientările tehnice privind aplicarea principiului de „a nu aduce prejudicii semnificative” (2021/C58/01). Aceste criterii vor exclude de la sprijinul acordat în cadrul acestei măsuri în special activitățile legate de depozite de deșeuri, incineratoare</w:t>
      </w:r>
      <w:r w:rsidRPr="000A27B3">
        <w:rPr>
          <w:rFonts w:ascii="Times New Roman" w:hAnsi="Times New Roman" w:cs="Times New Roman"/>
          <w:noProof/>
          <w:sz w:val="24"/>
          <w:szCs w:val="24"/>
          <w:bdr w:val="none" w:sz="0" w:space="0" w:color="auto" w:frame="1"/>
          <w:vertAlign w:val="superscript"/>
          <w:lang w:val="en-GB"/>
        </w:rPr>
        <w:footnoteReference w:id="3"/>
      </w:r>
      <w:r>
        <w:rPr>
          <w:rFonts w:ascii="Times New Roman" w:hAnsi="Times New Roman"/>
          <w:noProof/>
          <w:sz w:val="24"/>
          <w:bdr w:val="none" w:sz="0" w:space="0" w:color="auto" w:frame="1"/>
        </w:rPr>
        <w:t xml:space="preserve"> și instalații de tratare mecano-biologică a deșeurilor</w:t>
      </w:r>
      <w:r w:rsidRPr="000A27B3">
        <w:rPr>
          <w:rFonts w:ascii="Times New Roman" w:hAnsi="Times New Roman" w:cs="Times New Roman"/>
          <w:noProof/>
          <w:sz w:val="24"/>
          <w:szCs w:val="24"/>
          <w:bdr w:val="none" w:sz="0" w:space="0" w:color="auto" w:frame="1"/>
          <w:vertAlign w:val="superscript"/>
          <w:lang w:val="en-GB"/>
        </w:rPr>
        <w:footnoteReference w:id="4"/>
      </w:r>
      <w:r>
        <w:rPr>
          <w:rFonts w:ascii="Times New Roman" w:hAnsi="Times New Roman"/>
          <w:noProof/>
          <w:sz w:val="24"/>
          <w:bdr w:val="none" w:sz="0" w:space="0" w:color="auto" w:frame="1"/>
        </w:rPr>
        <w:t>, precum și activitățile legate de extracția materiilor prime.</w:t>
      </w:r>
    </w:p>
    <w:p w14:paraId="76BA4523" w14:textId="3A815864" w:rsidR="00500CF9" w:rsidRPr="000A27B3" w:rsidRDefault="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A doua subinvestiție, în lanțul valoric al celulelor și panourilor fotovoltaice (fabricare, asamblare și reciclare), va duce la atingerea unei capacități anuale totale de cel puțin 200 MW de celule și panouri fotovoltaice până la 30 iunie 2026, în urma unei cereri de proiecte cu criterii de selecție care să asigure conformitatea cu Orientările tehnice privind aplicarea principiului de „a nu aduce prejudicii semnificative” (2021/C58/01). Aceste criterii vor exclude de la sprijinul acordat în cadrul acestei măsuri în special activitățile legate de depozite de deșeuri, incineratoare</w:t>
      </w:r>
      <w:r w:rsidRPr="000A27B3">
        <w:rPr>
          <w:rFonts w:ascii="Times New Roman" w:hAnsi="Times New Roman" w:cs="Times New Roman"/>
          <w:noProof/>
          <w:sz w:val="24"/>
          <w:szCs w:val="24"/>
          <w:bdr w:val="none" w:sz="0" w:space="0" w:color="auto" w:frame="1"/>
          <w:vertAlign w:val="superscript"/>
          <w:lang w:val="en-GB"/>
        </w:rPr>
        <w:footnoteReference w:id="5"/>
      </w:r>
      <w:r>
        <w:rPr>
          <w:rFonts w:ascii="Times New Roman" w:hAnsi="Times New Roman"/>
          <w:noProof/>
          <w:sz w:val="24"/>
          <w:bdr w:val="none" w:sz="0" w:space="0" w:color="auto" w:frame="1"/>
        </w:rPr>
        <w:t xml:space="preserve"> și instalații de tratare mecano-biologică a deșeurilor</w:t>
      </w:r>
      <w:r w:rsidRPr="000A27B3">
        <w:rPr>
          <w:rFonts w:ascii="Times New Roman" w:hAnsi="Times New Roman" w:cs="Times New Roman"/>
          <w:noProof/>
          <w:sz w:val="24"/>
          <w:szCs w:val="24"/>
          <w:bdr w:val="none" w:sz="0" w:space="0" w:color="auto" w:frame="1"/>
          <w:vertAlign w:val="superscript"/>
          <w:lang w:val="en-GB"/>
        </w:rPr>
        <w:footnoteReference w:id="6"/>
      </w:r>
      <w:r>
        <w:rPr>
          <w:rFonts w:ascii="Times New Roman" w:hAnsi="Times New Roman"/>
          <w:noProof/>
          <w:sz w:val="24"/>
          <w:bdr w:val="none" w:sz="0" w:space="0" w:color="auto" w:frame="1"/>
        </w:rPr>
        <w:t>, precum și activitățile legate de extracția materiilor prime.</w:t>
      </w:r>
    </w:p>
    <w:p w14:paraId="62FB5383" w14:textId="0F28D18B" w:rsidR="00500CF9" w:rsidRPr="000A27B3" w:rsidRDefault="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Obiectivul celei de a treia subinvestiții este de a instala o capacitate totală de stocare a energiei electrice de cel puțin 240 MW (sau 480 MWh) până la 30 iunie 2026, în urma unei cereri de proiecte cu criterii de selecție care să asigure conformitatea cu Orientările tehnice privind aplicarea principiului de „a nu aduce prejudicii semnificative” (2021/C58/01).</w:t>
      </w:r>
    </w:p>
    <w:p w14:paraId="5EBFB5E9" w14:textId="05AF6943"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7BB28601"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5. Asigurarea eficienței energetice în sectorul industrial</w:t>
      </w:r>
    </w:p>
    <w:p w14:paraId="0ACBD6D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spori eficiența energetică a industriei, ca de exemplu prin reducerea consumului de energie, dezvoltarea de sisteme de digitalizare a contorizării consumului de energie și sporirea consumului din producția proprie de energie și energie termică.</w:t>
      </w:r>
    </w:p>
    <w:p w14:paraId="48FCCC8B" w14:textId="3565D10F"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Investiția va duce la o reducere de cel puțin 30 % a emisiilor directe și indirecte de GES în comparație cu emisiile </w:t>
      </w:r>
      <w:r>
        <w:rPr>
          <w:rFonts w:ascii="Times New Roman" w:hAnsi="Times New Roman"/>
          <w:i/>
          <w:iCs/>
          <w:noProof/>
          <w:sz w:val="24"/>
        </w:rPr>
        <w:t>ex ante</w:t>
      </w:r>
      <w:r>
        <w:rPr>
          <w:rFonts w:ascii="Times New Roman" w:hAnsi="Times New Roman"/>
          <w:noProof/>
          <w:sz w:val="24"/>
        </w:rPr>
        <w:t xml:space="preserve"> pentru cel puțin 30 de proiecte, reducerea urmând să fie monitorizată prin intermediul unei platforme informatice pentru centralizarea și analiza consumului național de energie.</w:t>
      </w:r>
    </w:p>
    <w:p w14:paraId="253FC850" w14:textId="02B0A5D8"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măsurii cu Orientările tehnice privind aplicarea principiului de „a nu aduce prejudicii semnificative” (2021/C58/01), criteriile de eligibilitate prevăzute în caietul de sarcini pentru viitoarele cereri de proiecte vor exclude următoarea listă de activități: (i) activitățile legate de combustibili fosili, inclusiv utilizarea în aval</w:t>
      </w:r>
      <w:r w:rsidRPr="000A27B3">
        <w:rPr>
          <w:rFonts w:ascii="Times New Roman" w:hAnsi="Times New Roman" w:cs="Times New Roman"/>
          <w:noProof/>
          <w:sz w:val="24"/>
          <w:vertAlign w:val="superscript"/>
          <w:lang w:val="en-GB"/>
        </w:rPr>
        <w:footnoteReference w:id="7"/>
      </w:r>
      <w:r>
        <w:rPr>
          <w:rFonts w:ascii="Times New Roman" w:hAnsi="Times New Roman"/>
          <w:noProof/>
          <w:sz w:val="24"/>
        </w:rPr>
        <w:t>; (ii) activitățile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8"/>
      </w:r>
      <w:r>
        <w:rPr>
          <w:rFonts w:ascii="Times New Roman" w:hAnsi="Times New Roman"/>
          <w:noProof/>
          <w:sz w:val="24"/>
        </w:rPr>
        <w:t>; (iii) activitățile legate de depozite de deșeuri, incineratoare</w:t>
      </w:r>
      <w:r w:rsidRPr="000A27B3">
        <w:rPr>
          <w:rFonts w:ascii="Times New Roman" w:hAnsi="Times New Roman" w:cs="Times New Roman"/>
          <w:noProof/>
          <w:sz w:val="24"/>
          <w:vertAlign w:val="superscript"/>
          <w:lang w:val="en-GB"/>
        </w:rPr>
        <w:footnoteReference w:id="9"/>
      </w:r>
      <w:r>
        <w:rPr>
          <w:rFonts w:ascii="Times New Roman" w:hAnsi="Times New Roman"/>
          <w:noProof/>
          <w:sz w:val="24"/>
        </w:rPr>
        <w:t xml:space="preserve"> și instalații de tratare mecano­biologică a deșeurilor</w:t>
      </w:r>
      <w:r w:rsidRPr="000A27B3">
        <w:rPr>
          <w:rFonts w:ascii="Times New Roman" w:hAnsi="Times New Roman" w:cs="Times New Roman"/>
          <w:noProof/>
          <w:sz w:val="24"/>
          <w:vertAlign w:val="superscript"/>
          <w:lang w:val="en-GB"/>
        </w:rPr>
        <w:footnoteReference w:id="10"/>
      </w:r>
      <w:r>
        <w:rPr>
          <w:rFonts w:ascii="Times New Roman" w:hAnsi="Times New Roman"/>
          <w:noProof/>
          <w:sz w:val="24"/>
        </w:rPr>
        <w:t>; și (iv) activitățile în cadrul cărora eliminarea pe termen lung a deșeurilor poate dăuna mediului.</w:t>
      </w:r>
      <w:r w:rsidR="004C4C72">
        <w:rPr>
          <w:rFonts w:ascii="Times New Roman" w:hAnsi="Times New Roman"/>
          <w:noProof/>
          <w:sz w:val="24"/>
        </w:rPr>
        <w:t xml:space="preserve"> </w:t>
      </w:r>
      <w:r>
        <w:rPr>
          <w:rFonts w:ascii="Times New Roman" w:hAnsi="Times New Roman"/>
          <w:noProof/>
          <w:sz w:val="24"/>
        </w:rPr>
        <w:t xml:space="preserve">În plus, mandatul va impune condiția ca numai activitățile care respectă legislația UE și legislația națională relevantă în materie de mediu să poată fi selectate. </w:t>
      </w:r>
    </w:p>
    <w:p w14:paraId="1AF47A69" w14:textId="77777777" w:rsidR="00500CF9" w:rsidRPr="000A27B3" w:rsidRDefault="00500CF9">
      <w:pPr>
        <w:spacing w:before="120" w:after="120" w:line="240" w:lineRule="auto"/>
        <w:jc w:val="both"/>
        <w:rPr>
          <w:rFonts w:ascii="Times New Roman" w:hAnsi="Times New Roman" w:cs="Times New Roman"/>
          <w:iCs/>
          <w:noProof/>
          <w:sz w:val="24"/>
          <w:szCs w:val="24"/>
        </w:rPr>
      </w:pPr>
      <w:r>
        <w:rPr>
          <w:rFonts w:ascii="Times New Roman" w:hAnsi="Times New Roman"/>
          <w:noProof/>
          <w:sz w:val="24"/>
        </w:rPr>
        <w:t>Implementarea investiției va fi finalizată până la 31 decembrie 2025.</w:t>
      </w:r>
    </w:p>
    <w:p w14:paraId="3008BD5A" w14:textId="77777777" w:rsidR="00500CF9" w:rsidRPr="009F1DC7" w:rsidRDefault="00500CF9">
      <w:pPr>
        <w:spacing w:before="120" w:after="120" w:line="240" w:lineRule="auto"/>
        <w:ind w:left="850"/>
        <w:jc w:val="both"/>
        <w:rPr>
          <w:rFonts w:ascii="Times New Roman" w:hAnsi="Times New Roman" w:cs="Times New Roman"/>
          <w:i/>
          <w:noProof/>
          <w:sz w:val="24"/>
          <w:szCs w:val="24"/>
          <w:lang w:val="fr-FR"/>
        </w:rPr>
      </w:pPr>
    </w:p>
    <w:p w14:paraId="5A54E9CE" w14:textId="77777777" w:rsidR="00500CF9" w:rsidRPr="009F1DC7" w:rsidRDefault="00500CF9">
      <w:pPr>
        <w:spacing w:before="120" w:after="120" w:line="240" w:lineRule="auto"/>
        <w:ind w:left="850"/>
        <w:jc w:val="both"/>
        <w:rPr>
          <w:rFonts w:ascii="Times New Roman" w:hAnsi="Times New Roman" w:cs="Times New Roman"/>
          <w:i/>
          <w:noProof/>
          <w:sz w:val="24"/>
          <w:szCs w:val="24"/>
          <w:lang w:val="fr-FR"/>
        </w:rPr>
        <w:sectPr w:rsidR="00500CF9" w:rsidRPr="009F1DC7">
          <w:headerReference w:type="even" r:id="rId126"/>
          <w:headerReference w:type="default" r:id="rId127"/>
          <w:footerReference w:type="even" r:id="rId128"/>
          <w:footerReference w:type="default" r:id="rId129"/>
          <w:headerReference w:type="first" r:id="rId130"/>
          <w:footerReference w:type="first" r:id="rId131"/>
          <w:pgSz w:w="11907" w:h="16839"/>
          <w:pgMar w:top="1134" w:right="1417" w:bottom="1134" w:left="1417" w:header="709" w:footer="709" w:gutter="0"/>
          <w:cols w:space="720"/>
          <w:docGrid w:linePitch="360"/>
        </w:sectPr>
      </w:pPr>
    </w:p>
    <w:p w14:paraId="069A61F3"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F.4. </w:t>
      </w:r>
      <w:r>
        <w:rPr>
          <w:noProof/>
        </w:rPr>
        <w:tab/>
      </w:r>
      <w:r>
        <w:rPr>
          <w:rFonts w:ascii="Times New Roman" w:hAnsi="Times New Roman"/>
          <w:b/>
          <w:noProof/>
          <w:sz w:val="24"/>
        </w:rPr>
        <w:t xml:space="preserve">Jaloane, ținte, indicatori și calendarul de monitorizare și implementare aplicabile împrumutului </w:t>
      </w:r>
    </w:p>
    <w:tbl>
      <w:tblPr>
        <w:tblW w:w="15593" w:type="dxa"/>
        <w:jc w:val="center"/>
        <w:tblLayout w:type="fixed"/>
        <w:tblLook w:val="04A0" w:firstRow="1" w:lastRow="0" w:firstColumn="1" w:lastColumn="0" w:noHBand="0" w:noVBand="1"/>
      </w:tblPr>
      <w:tblGrid>
        <w:gridCol w:w="818"/>
        <w:gridCol w:w="1895"/>
        <w:gridCol w:w="1222"/>
        <w:gridCol w:w="1759"/>
        <w:gridCol w:w="1625"/>
        <w:gridCol w:w="1076"/>
        <w:gridCol w:w="12"/>
        <w:gridCol w:w="1188"/>
        <w:gridCol w:w="1200"/>
        <w:gridCol w:w="960"/>
        <w:gridCol w:w="734"/>
        <w:gridCol w:w="3104"/>
      </w:tblGrid>
      <w:tr w:rsidR="000A27B3" w:rsidRPr="000A27B3" w14:paraId="4E65D18E" w14:textId="77777777" w:rsidTr="000048C5">
        <w:trPr>
          <w:trHeight w:val="445"/>
          <w:tblHeader/>
          <w:jc w:val="center"/>
        </w:trPr>
        <w:tc>
          <w:tcPr>
            <w:tcW w:w="8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AC6025" w14:textId="77777777" w:rsidR="00500CF9" w:rsidRPr="000A27B3" w:rsidRDefault="00500CF9">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Număr secvențial</w:t>
            </w:r>
          </w:p>
        </w:tc>
        <w:tc>
          <w:tcPr>
            <w:tcW w:w="18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F16679"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DF513B0" w14:textId="14352EA5"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0048C5">
              <w:rPr>
                <w:rFonts w:ascii="Times New Roman" w:hAnsi="Times New Roman"/>
                <w:b/>
                <w:noProof/>
                <w:sz w:val="24"/>
              </w:rPr>
              <w:br/>
            </w:r>
            <w:r>
              <w:rPr>
                <w:rFonts w:ascii="Times New Roman" w:hAnsi="Times New Roman"/>
                <w:b/>
                <w:noProof/>
                <w:sz w:val="24"/>
              </w:rPr>
              <w:t>țintă</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E0117B5"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F7739C" w14:textId="29E62270"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476" w:type="dxa"/>
            <w:gridSpan w:val="4"/>
            <w:tcBorders>
              <w:top w:val="single" w:sz="4" w:space="0" w:color="auto"/>
              <w:left w:val="single" w:sz="4" w:space="0" w:color="auto"/>
              <w:bottom w:val="single" w:sz="4" w:space="0" w:color="auto"/>
              <w:right w:val="single" w:sz="4" w:space="0" w:color="auto"/>
            </w:tcBorders>
            <w:shd w:val="clear" w:color="auto" w:fill="BDD7EE"/>
            <w:vAlign w:val="center"/>
            <w:hideMark/>
          </w:tcPr>
          <w:p w14:paraId="321B275A" w14:textId="4EE33535"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694" w:type="dxa"/>
            <w:gridSpan w:val="2"/>
            <w:tcBorders>
              <w:top w:val="single" w:sz="4" w:space="0" w:color="auto"/>
              <w:left w:val="nil"/>
              <w:bottom w:val="single" w:sz="4" w:space="0" w:color="auto"/>
              <w:right w:val="single" w:sz="4" w:space="0" w:color="auto"/>
            </w:tcBorders>
            <w:shd w:val="clear" w:color="auto" w:fill="BDD7EE"/>
            <w:vAlign w:val="center"/>
            <w:hideMark/>
          </w:tcPr>
          <w:p w14:paraId="56C16EF3" w14:textId="574B371F"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0048C5">
              <w:rPr>
                <w:rFonts w:ascii="Times New Roman" w:hAnsi="Times New Roman"/>
                <w:b/>
                <w:noProof/>
                <w:sz w:val="24"/>
              </w:rPr>
              <w:br/>
            </w:r>
            <w:r>
              <w:rPr>
                <w:rFonts w:ascii="Times New Roman" w:hAnsi="Times New Roman"/>
                <w:b/>
                <w:noProof/>
                <w:sz w:val="24"/>
              </w:rPr>
              <w:t>țintelor</w:t>
            </w:r>
          </w:p>
        </w:tc>
        <w:tc>
          <w:tcPr>
            <w:tcW w:w="31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CA5683"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3D56030C" w14:textId="77777777" w:rsidTr="000048C5">
        <w:trPr>
          <w:trHeight w:val="358"/>
          <w:tblHeader/>
          <w:jc w:val="center"/>
        </w:trPr>
        <w:tc>
          <w:tcPr>
            <w:tcW w:w="818" w:type="dxa"/>
            <w:vMerge/>
            <w:tcBorders>
              <w:top w:val="single" w:sz="4" w:space="0" w:color="auto"/>
              <w:left w:val="single" w:sz="4" w:space="0" w:color="auto"/>
              <w:bottom w:val="single" w:sz="4" w:space="0" w:color="auto"/>
              <w:right w:val="single" w:sz="4" w:space="0" w:color="auto"/>
            </w:tcBorders>
            <w:hideMark/>
          </w:tcPr>
          <w:p w14:paraId="332518FE"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313C8B09"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14:paraId="7AAEAC09"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759" w:type="dxa"/>
            <w:vMerge/>
            <w:tcBorders>
              <w:top w:val="single" w:sz="4" w:space="0" w:color="auto"/>
              <w:left w:val="single" w:sz="4" w:space="0" w:color="auto"/>
              <w:bottom w:val="single" w:sz="4" w:space="0" w:color="auto"/>
              <w:right w:val="single" w:sz="4" w:space="0" w:color="auto"/>
            </w:tcBorders>
            <w:vAlign w:val="center"/>
            <w:hideMark/>
          </w:tcPr>
          <w:p w14:paraId="1A0AD852"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14:paraId="2D198FCA"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076" w:type="dxa"/>
            <w:tcBorders>
              <w:top w:val="nil"/>
              <w:left w:val="single" w:sz="4" w:space="0" w:color="auto"/>
              <w:bottom w:val="single" w:sz="4" w:space="0" w:color="auto"/>
              <w:right w:val="single" w:sz="4" w:space="0" w:color="auto"/>
            </w:tcBorders>
            <w:shd w:val="clear" w:color="auto" w:fill="BDD7EE"/>
            <w:vAlign w:val="center"/>
            <w:hideMark/>
          </w:tcPr>
          <w:p w14:paraId="48AE1598" w14:textId="77777777" w:rsidR="00500CF9" w:rsidRPr="000A27B3" w:rsidRDefault="00500CF9" w:rsidP="000048C5">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00" w:type="dxa"/>
            <w:gridSpan w:val="2"/>
            <w:tcBorders>
              <w:top w:val="nil"/>
              <w:left w:val="nil"/>
              <w:bottom w:val="single" w:sz="4" w:space="0" w:color="auto"/>
              <w:right w:val="single" w:sz="4" w:space="0" w:color="auto"/>
            </w:tcBorders>
            <w:shd w:val="clear" w:color="auto" w:fill="BDD7EE"/>
            <w:vAlign w:val="center"/>
            <w:hideMark/>
          </w:tcPr>
          <w:p w14:paraId="597F408F" w14:textId="6EC21231" w:rsidR="00500CF9" w:rsidRPr="000A27B3" w:rsidRDefault="00500CF9" w:rsidP="000048C5">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200" w:type="dxa"/>
            <w:tcBorders>
              <w:top w:val="nil"/>
              <w:left w:val="nil"/>
              <w:bottom w:val="single" w:sz="4" w:space="0" w:color="auto"/>
              <w:right w:val="single" w:sz="4" w:space="0" w:color="auto"/>
            </w:tcBorders>
            <w:shd w:val="clear" w:color="auto" w:fill="BDD7EE"/>
            <w:vAlign w:val="center"/>
            <w:hideMark/>
          </w:tcPr>
          <w:p w14:paraId="01DC8DB6" w14:textId="77777777" w:rsidR="00500CF9" w:rsidRPr="000A27B3" w:rsidRDefault="00500CF9">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960" w:type="dxa"/>
            <w:tcBorders>
              <w:top w:val="nil"/>
              <w:left w:val="nil"/>
              <w:bottom w:val="single" w:sz="4" w:space="0" w:color="auto"/>
              <w:right w:val="single" w:sz="4" w:space="0" w:color="auto"/>
            </w:tcBorders>
            <w:shd w:val="clear" w:color="auto" w:fill="BDD7EE"/>
            <w:vAlign w:val="center"/>
            <w:hideMark/>
          </w:tcPr>
          <w:p w14:paraId="053537D8" w14:textId="77777777" w:rsidR="00500CF9" w:rsidRPr="000A27B3" w:rsidRDefault="00500CF9">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Trimestru</w:t>
            </w:r>
          </w:p>
        </w:tc>
        <w:tc>
          <w:tcPr>
            <w:tcW w:w="734" w:type="dxa"/>
            <w:tcBorders>
              <w:top w:val="nil"/>
              <w:left w:val="nil"/>
              <w:bottom w:val="single" w:sz="4" w:space="0" w:color="auto"/>
              <w:right w:val="single" w:sz="4" w:space="0" w:color="auto"/>
            </w:tcBorders>
            <w:shd w:val="clear" w:color="auto" w:fill="BDD7EE"/>
            <w:vAlign w:val="center"/>
            <w:hideMark/>
          </w:tcPr>
          <w:p w14:paraId="65ABF9D7" w14:textId="77777777" w:rsidR="00500CF9" w:rsidRPr="000A27B3" w:rsidRDefault="00500CF9">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An</w:t>
            </w:r>
          </w:p>
        </w:tc>
        <w:tc>
          <w:tcPr>
            <w:tcW w:w="3104" w:type="dxa"/>
            <w:vMerge/>
            <w:tcBorders>
              <w:top w:val="single" w:sz="4" w:space="0" w:color="auto"/>
              <w:bottom w:val="single" w:sz="4" w:space="0" w:color="auto"/>
              <w:right w:val="single" w:sz="4" w:space="0" w:color="auto"/>
            </w:tcBorders>
            <w:vAlign w:val="center"/>
            <w:hideMark/>
          </w:tcPr>
          <w:p w14:paraId="119C8990" w14:textId="77777777" w:rsidR="00500CF9" w:rsidRPr="000A27B3" w:rsidRDefault="00500CF9">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29B2A95A" w14:textId="77777777" w:rsidTr="000048C5">
        <w:trPr>
          <w:trHeight w:val="313"/>
          <w:jc w:val="center"/>
        </w:trPr>
        <w:tc>
          <w:tcPr>
            <w:tcW w:w="818" w:type="dxa"/>
            <w:tcBorders>
              <w:top w:val="single" w:sz="4" w:space="0" w:color="auto"/>
              <w:left w:val="single" w:sz="4" w:space="0" w:color="auto"/>
              <w:bottom w:val="single" w:sz="4" w:space="0" w:color="auto"/>
              <w:right w:val="single" w:sz="4" w:space="0" w:color="auto"/>
            </w:tcBorders>
            <w:shd w:val="clear" w:color="auto" w:fill="C6EFCE"/>
            <w:noWrap/>
            <w:hideMark/>
          </w:tcPr>
          <w:p w14:paraId="27BFC3DE" w14:textId="6360476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126</w:t>
            </w:r>
          </w:p>
        </w:tc>
        <w:tc>
          <w:tcPr>
            <w:tcW w:w="1895" w:type="dxa"/>
            <w:tcBorders>
              <w:top w:val="single" w:sz="4" w:space="0" w:color="auto"/>
              <w:left w:val="nil"/>
              <w:bottom w:val="single" w:sz="4" w:space="0" w:color="auto"/>
              <w:right w:val="single" w:sz="4" w:space="0" w:color="auto"/>
            </w:tcBorders>
            <w:shd w:val="clear" w:color="auto" w:fill="C6EFCE"/>
            <w:noWrap/>
          </w:tcPr>
          <w:p w14:paraId="02C9F3B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4. Dezvoltarea unui cadru legislativ și de reglementare favorabil tehnologiilor viitorului, în special hidrogen și soluții de stocare </w:t>
            </w:r>
          </w:p>
        </w:tc>
        <w:tc>
          <w:tcPr>
            <w:tcW w:w="1222" w:type="dxa"/>
            <w:tcBorders>
              <w:top w:val="single" w:sz="4" w:space="0" w:color="auto"/>
              <w:left w:val="nil"/>
              <w:bottom w:val="single" w:sz="4" w:space="0" w:color="auto"/>
              <w:right w:val="single" w:sz="4" w:space="0" w:color="auto"/>
            </w:tcBorders>
            <w:shd w:val="clear" w:color="auto" w:fill="C6EFCE"/>
            <w:noWrap/>
            <w:hideMark/>
          </w:tcPr>
          <w:p w14:paraId="1896913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59" w:type="dxa"/>
            <w:tcBorders>
              <w:top w:val="single" w:sz="4" w:space="0" w:color="auto"/>
              <w:left w:val="nil"/>
              <w:bottom w:val="single" w:sz="4" w:space="0" w:color="auto"/>
              <w:right w:val="single" w:sz="4" w:space="0" w:color="auto"/>
            </w:tcBorders>
            <w:shd w:val="clear" w:color="auto" w:fill="C6EFCE"/>
            <w:noWrap/>
          </w:tcPr>
          <w:p w14:paraId="634CA7A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modificărilor aduse cadrului legislativ, implementarea Strategiei naționale privind hidrogenul </w:t>
            </w:r>
          </w:p>
        </w:tc>
        <w:tc>
          <w:tcPr>
            <w:tcW w:w="1625" w:type="dxa"/>
            <w:tcBorders>
              <w:top w:val="single" w:sz="4" w:space="0" w:color="auto"/>
              <w:left w:val="nil"/>
              <w:bottom w:val="single" w:sz="4" w:space="0" w:color="auto"/>
              <w:right w:val="single" w:sz="4" w:space="0" w:color="auto"/>
            </w:tcBorders>
            <w:shd w:val="clear" w:color="auto" w:fill="C6EFCE"/>
            <w:noWrap/>
            <w:hideMark/>
          </w:tcPr>
          <w:p w14:paraId="0EC8412E" w14:textId="3F65BBFD"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modificărilor aduse cadrului legislativ</w:t>
            </w:r>
            <w:r w:rsidR="004C4C72">
              <w:rPr>
                <w:rFonts w:ascii="Times New Roman" w:hAnsi="Times New Roman"/>
                <w:noProof/>
                <w:sz w:val="24"/>
              </w:rPr>
              <w:t xml:space="preserve"> </w:t>
            </w:r>
          </w:p>
        </w:tc>
        <w:tc>
          <w:tcPr>
            <w:tcW w:w="1088" w:type="dxa"/>
            <w:gridSpan w:val="2"/>
            <w:tcBorders>
              <w:top w:val="nil"/>
              <w:left w:val="nil"/>
              <w:bottom w:val="single" w:sz="4" w:space="0" w:color="auto"/>
              <w:right w:val="single" w:sz="4" w:space="0" w:color="auto"/>
            </w:tcBorders>
            <w:shd w:val="clear" w:color="auto" w:fill="C6EFCE"/>
            <w:noWrap/>
            <w:hideMark/>
          </w:tcPr>
          <w:p w14:paraId="33794C3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4F6CBC6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1984BBF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hideMark/>
          </w:tcPr>
          <w:p w14:paraId="142CF3C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34" w:type="dxa"/>
            <w:tcBorders>
              <w:top w:val="nil"/>
              <w:left w:val="nil"/>
              <w:bottom w:val="single" w:sz="4" w:space="0" w:color="auto"/>
              <w:right w:val="single" w:sz="4" w:space="0" w:color="auto"/>
            </w:tcBorders>
            <w:shd w:val="clear" w:color="auto" w:fill="C6EFCE"/>
            <w:noWrap/>
            <w:hideMark/>
          </w:tcPr>
          <w:p w14:paraId="1B91512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104" w:type="dxa"/>
            <w:tcBorders>
              <w:top w:val="single" w:sz="4" w:space="0" w:color="auto"/>
              <w:left w:val="nil"/>
              <w:bottom w:val="single" w:sz="4" w:space="0" w:color="auto"/>
              <w:right w:val="single" w:sz="4" w:space="0" w:color="auto"/>
            </w:tcBorders>
            <w:shd w:val="clear" w:color="auto" w:fill="C6EFCE"/>
            <w:noWrap/>
            <w:hideMark/>
          </w:tcPr>
          <w:p w14:paraId="30E3AE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modificărilor aduse cadrului de reglementare pe baza Strategiei naționale dedicate hidrogenului și a planului de acțiune aferent Modificările vor elimina orice obstacol legislativ și administrativ din calea dezvoltării tehnologiei hidrogenului din surse regenerabile și vor pune în aplicare măsurile necesare pentru dezvoltarea întregului lanț valoric al hidrogenului din surse regenerabile, inclusiv utilizarea obligatorie de către utilizatorii finali a aparatelor și echipamentelor pregătite pentru hidrogen până la 1 ianuarie 2026.</w:t>
            </w:r>
          </w:p>
        </w:tc>
      </w:tr>
      <w:tr w:rsidR="000A27B3" w:rsidRPr="000A27B3" w14:paraId="29ACA9B1"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4617B9B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127</w:t>
            </w:r>
          </w:p>
        </w:tc>
        <w:tc>
          <w:tcPr>
            <w:tcW w:w="1895" w:type="dxa"/>
            <w:tcBorders>
              <w:top w:val="nil"/>
              <w:left w:val="nil"/>
              <w:bottom w:val="single" w:sz="4" w:space="0" w:color="auto"/>
              <w:right w:val="single" w:sz="4" w:space="0" w:color="auto"/>
            </w:tcBorders>
            <w:shd w:val="clear" w:color="auto" w:fill="C6EFCE"/>
            <w:noWrap/>
          </w:tcPr>
          <w:p w14:paraId="173D4B8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5. Reducerea intensității energetice a economiei prin dezvoltarea unui mecanism sustenabil de stimulare a eficienței energetice în industrie </w:t>
            </w:r>
          </w:p>
        </w:tc>
        <w:tc>
          <w:tcPr>
            <w:tcW w:w="1222" w:type="dxa"/>
            <w:tcBorders>
              <w:top w:val="nil"/>
              <w:left w:val="nil"/>
              <w:bottom w:val="single" w:sz="4" w:space="0" w:color="auto"/>
              <w:right w:val="single" w:sz="4" w:space="0" w:color="auto"/>
            </w:tcBorders>
            <w:shd w:val="clear" w:color="auto" w:fill="C6EFCE"/>
            <w:noWrap/>
            <w:hideMark/>
          </w:tcPr>
          <w:p w14:paraId="2588031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59" w:type="dxa"/>
            <w:tcBorders>
              <w:top w:val="nil"/>
              <w:left w:val="nil"/>
              <w:bottom w:val="single" w:sz="4" w:space="0" w:color="auto"/>
              <w:right w:val="single" w:sz="4" w:space="0" w:color="auto"/>
            </w:tcBorders>
            <w:shd w:val="clear" w:color="auto" w:fill="C6EFCE"/>
            <w:noWrap/>
          </w:tcPr>
          <w:p w14:paraId="6DEA686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cadrului legislativ care introduce măsuri de facilitare a investițiilor în eficiența energetică în industrie</w:t>
            </w:r>
          </w:p>
        </w:tc>
        <w:tc>
          <w:tcPr>
            <w:tcW w:w="1625" w:type="dxa"/>
            <w:tcBorders>
              <w:top w:val="nil"/>
              <w:left w:val="nil"/>
              <w:bottom w:val="single" w:sz="4" w:space="0" w:color="auto"/>
              <w:right w:val="single" w:sz="4" w:space="0" w:color="auto"/>
            </w:tcBorders>
            <w:shd w:val="clear" w:color="auto" w:fill="C6EFCE"/>
            <w:noWrap/>
            <w:hideMark/>
          </w:tcPr>
          <w:p w14:paraId="54B457B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normativ</w:t>
            </w:r>
          </w:p>
        </w:tc>
        <w:tc>
          <w:tcPr>
            <w:tcW w:w="1088" w:type="dxa"/>
            <w:gridSpan w:val="2"/>
            <w:tcBorders>
              <w:top w:val="nil"/>
              <w:left w:val="nil"/>
              <w:bottom w:val="single" w:sz="4" w:space="0" w:color="auto"/>
              <w:right w:val="single" w:sz="4" w:space="0" w:color="auto"/>
            </w:tcBorders>
            <w:shd w:val="clear" w:color="auto" w:fill="C6EFCE"/>
            <w:noWrap/>
            <w:hideMark/>
          </w:tcPr>
          <w:p w14:paraId="2594E92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188" w:type="dxa"/>
            <w:tcBorders>
              <w:top w:val="nil"/>
              <w:left w:val="nil"/>
              <w:bottom w:val="single" w:sz="4" w:space="0" w:color="auto"/>
              <w:right w:val="single" w:sz="4" w:space="0" w:color="auto"/>
            </w:tcBorders>
            <w:shd w:val="clear" w:color="auto" w:fill="C6EFCE"/>
            <w:noWrap/>
          </w:tcPr>
          <w:p w14:paraId="5CC184C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07100A62"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nil"/>
              <w:left w:val="nil"/>
              <w:bottom w:val="single" w:sz="4" w:space="0" w:color="auto"/>
              <w:right w:val="single" w:sz="4" w:space="0" w:color="auto"/>
            </w:tcBorders>
            <w:shd w:val="clear" w:color="auto" w:fill="C6EFCE"/>
            <w:noWrap/>
            <w:hideMark/>
          </w:tcPr>
          <w:p w14:paraId="0D6B12A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34" w:type="dxa"/>
            <w:tcBorders>
              <w:top w:val="nil"/>
              <w:left w:val="nil"/>
              <w:bottom w:val="single" w:sz="4" w:space="0" w:color="auto"/>
              <w:right w:val="single" w:sz="4" w:space="0" w:color="auto"/>
            </w:tcBorders>
            <w:shd w:val="clear" w:color="auto" w:fill="C6EFCE"/>
            <w:noWrap/>
            <w:hideMark/>
          </w:tcPr>
          <w:p w14:paraId="5FB6EA8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104" w:type="dxa"/>
            <w:tcBorders>
              <w:top w:val="nil"/>
              <w:left w:val="nil"/>
              <w:bottom w:val="single" w:sz="4" w:space="0" w:color="auto"/>
              <w:right w:val="single" w:sz="4" w:space="0" w:color="auto"/>
            </w:tcBorders>
            <w:shd w:val="clear" w:color="auto" w:fill="C6EFCE"/>
            <w:noWrap/>
            <w:hideMark/>
          </w:tcPr>
          <w:p w14:paraId="07502BC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cadrului legislativ care introduce măsuri de facilitare a investițiilor în eficiența energetică în industrie Reforma: i) va elimina obstacolele din calea contractelor de performanță energetică; ii) va introduce supravegherea pieței și aplicarea de standarde în ceea ce privește eficiența energetică pentru a asigura conformitatea produselor cu standardele de proiectare ecologică, iii) va îmbunătăți cunoștințele IMM-urilor în materie de eficiență energetică; iv) va crea un sistem de monitorizare pentru implementarea recomandărilor formulate în urma auditurilor energetice în sectoarele ETS; v) va introduce noi standarde pentru instrumentele financiare verzi.</w:t>
            </w:r>
          </w:p>
        </w:tc>
      </w:tr>
      <w:tr w:rsidR="000A27B3" w:rsidRPr="000A27B3" w14:paraId="7493299C"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5FF6C5D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128</w:t>
            </w:r>
          </w:p>
        </w:tc>
        <w:tc>
          <w:tcPr>
            <w:tcW w:w="1895" w:type="dxa"/>
            <w:tcBorders>
              <w:top w:val="nil"/>
              <w:left w:val="nil"/>
              <w:bottom w:val="single" w:sz="4" w:space="0" w:color="auto"/>
              <w:right w:val="single" w:sz="4" w:space="0" w:color="auto"/>
            </w:tcBorders>
            <w:shd w:val="clear" w:color="auto" w:fill="C6EFCE"/>
            <w:noWrap/>
          </w:tcPr>
          <w:p w14:paraId="190FA69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6. Creșterea competitivității și decarbonizarea sectorului de încălzire - răcire </w:t>
            </w:r>
          </w:p>
        </w:tc>
        <w:tc>
          <w:tcPr>
            <w:tcW w:w="1222" w:type="dxa"/>
            <w:tcBorders>
              <w:top w:val="nil"/>
              <w:left w:val="nil"/>
              <w:bottom w:val="single" w:sz="4" w:space="0" w:color="auto"/>
              <w:right w:val="single" w:sz="4" w:space="0" w:color="auto"/>
            </w:tcBorders>
            <w:shd w:val="clear" w:color="auto" w:fill="C6EFCE"/>
            <w:noWrap/>
            <w:hideMark/>
          </w:tcPr>
          <w:p w14:paraId="0876A32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59" w:type="dxa"/>
            <w:tcBorders>
              <w:top w:val="nil"/>
              <w:left w:val="nil"/>
              <w:bottom w:val="single" w:sz="4" w:space="0" w:color="auto"/>
              <w:right w:val="single" w:sz="4" w:space="0" w:color="auto"/>
            </w:tcBorders>
            <w:shd w:val="clear" w:color="auto" w:fill="C6EFCE"/>
            <w:noWrap/>
          </w:tcPr>
          <w:p w14:paraId="4A5E072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cadrului legislativ care introduce măsuri de decarbonizare a sectorului încălzirii și răcirii</w:t>
            </w:r>
          </w:p>
        </w:tc>
        <w:tc>
          <w:tcPr>
            <w:tcW w:w="1625" w:type="dxa"/>
            <w:tcBorders>
              <w:top w:val="nil"/>
              <w:left w:val="nil"/>
              <w:bottom w:val="single" w:sz="4" w:space="0" w:color="auto"/>
              <w:right w:val="single" w:sz="4" w:space="0" w:color="auto"/>
            </w:tcBorders>
            <w:shd w:val="clear" w:color="auto" w:fill="C6EFCE"/>
            <w:noWrap/>
            <w:hideMark/>
          </w:tcPr>
          <w:p w14:paraId="14444F6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normativ</w:t>
            </w:r>
          </w:p>
        </w:tc>
        <w:tc>
          <w:tcPr>
            <w:tcW w:w="1088" w:type="dxa"/>
            <w:gridSpan w:val="2"/>
            <w:tcBorders>
              <w:top w:val="nil"/>
              <w:left w:val="nil"/>
              <w:bottom w:val="single" w:sz="4" w:space="0" w:color="auto"/>
              <w:right w:val="single" w:sz="4" w:space="0" w:color="auto"/>
            </w:tcBorders>
            <w:shd w:val="clear" w:color="auto" w:fill="C6EFCE"/>
            <w:noWrap/>
            <w:hideMark/>
          </w:tcPr>
          <w:p w14:paraId="1BA7417E"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188" w:type="dxa"/>
            <w:tcBorders>
              <w:top w:val="nil"/>
              <w:left w:val="nil"/>
              <w:bottom w:val="single" w:sz="4" w:space="0" w:color="auto"/>
              <w:right w:val="single" w:sz="4" w:space="0" w:color="auto"/>
            </w:tcBorders>
            <w:shd w:val="clear" w:color="auto" w:fill="C6EFCE"/>
            <w:noWrap/>
          </w:tcPr>
          <w:p w14:paraId="7A884A2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599189AA"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nil"/>
              <w:left w:val="nil"/>
              <w:bottom w:val="single" w:sz="4" w:space="0" w:color="auto"/>
              <w:right w:val="single" w:sz="4" w:space="0" w:color="auto"/>
            </w:tcBorders>
            <w:shd w:val="clear" w:color="auto" w:fill="C6EFCE"/>
            <w:noWrap/>
            <w:hideMark/>
          </w:tcPr>
          <w:p w14:paraId="3F5B345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34" w:type="dxa"/>
            <w:tcBorders>
              <w:top w:val="nil"/>
              <w:left w:val="nil"/>
              <w:bottom w:val="single" w:sz="4" w:space="0" w:color="auto"/>
              <w:right w:val="single" w:sz="4" w:space="0" w:color="auto"/>
            </w:tcBorders>
            <w:shd w:val="clear" w:color="auto" w:fill="C6EFCE"/>
            <w:noWrap/>
            <w:hideMark/>
          </w:tcPr>
          <w:p w14:paraId="28F3076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104" w:type="dxa"/>
            <w:tcBorders>
              <w:top w:val="nil"/>
              <w:left w:val="nil"/>
              <w:bottom w:val="single" w:sz="4" w:space="0" w:color="auto"/>
              <w:right w:val="single" w:sz="4" w:space="0" w:color="auto"/>
            </w:tcBorders>
            <w:shd w:val="clear" w:color="auto" w:fill="C6EFCE"/>
            <w:noWrap/>
            <w:hideMark/>
          </w:tcPr>
          <w:p w14:paraId="0E6FDD8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cadrului legislativ care introduce măsuri de decarbonizare a sectorului de încălzire și răcire Reforma: i) va clarifica cadrul responsabilităților, stabilind responsabilitățile care le revin autorităților centrale și cele care le revin autorităților locale pentru gestionarea sectorului încălzirii și răcirii și va extinde aplicarea Legii privind guvernanța corporativă la furnizorii de încălzire centralizată; ii) va include o revizuire a cadrului pentru a asigura sustenabilitatea și trasabilitatea biomasei, în vederea prevenirii oricărui impact negativ al utilizării bioenergiei asupra biodiversității și pădurilor; iii) va diversifica mixul energetic în sectorul încălzirii și răcirii, reducând componenta de biomasă forestieră; iv) va spori rolul prosumatorilor în producția de energie din surse regenerabile, inclusiv compensațiile cantitative </w:t>
            </w:r>
          </w:p>
        </w:tc>
      </w:tr>
      <w:tr w:rsidR="000A27B3" w:rsidRPr="000A27B3" w14:paraId="31E49127"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4CB0392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129</w:t>
            </w:r>
          </w:p>
        </w:tc>
        <w:tc>
          <w:tcPr>
            <w:tcW w:w="1895" w:type="dxa"/>
            <w:tcBorders>
              <w:top w:val="nil"/>
              <w:left w:val="nil"/>
              <w:bottom w:val="single" w:sz="4" w:space="0" w:color="auto"/>
              <w:right w:val="single" w:sz="4" w:space="0" w:color="auto"/>
            </w:tcBorders>
            <w:shd w:val="clear" w:color="auto" w:fill="C6EFCE"/>
            <w:noWrap/>
          </w:tcPr>
          <w:p w14:paraId="1F8CCA1C" w14:textId="23BE299B" w:rsidR="00500CF9" w:rsidRPr="000A27B3" w:rsidRDefault="00956D1B">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Capacitățile de producție a hidrogenului verde care să fie utilizat pentru stocarea energiei electrice și pentru decarbonizarea industriei </w:t>
            </w:r>
          </w:p>
        </w:tc>
        <w:tc>
          <w:tcPr>
            <w:tcW w:w="1222" w:type="dxa"/>
            <w:tcBorders>
              <w:top w:val="nil"/>
              <w:left w:val="nil"/>
              <w:bottom w:val="single" w:sz="4" w:space="0" w:color="auto"/>
              <w:right w:val="single" w:sz="4" w:space="0" w:color="auto"/>
            </w:tcBorders>
            <w:shd w:val="clear" w:color="auto" w:fill="C6EFCE"/>
            <w:noWrap/>
            <w:hideMark/>
          </w:tcPr>
          <w:p w14:paraId="7732583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Jalon </w:t>
            </w:r>
          </w:p>
        </w:tc>
        <w:tc>
          <w:tcPr>
            <w:tcW w:w="1759" w:type="dxa"/>
            <w:tcBorders>
              <w:top w:val="nil"/>
              <w:left w:val="nil"/>
              <w:bottom w:val="single" w:sz="4" w:space="0" w:color="auto"/>
              <w:right w:val="single" w:sz="4" w:space="0" w:color="auto"/>
            </w:tcBorders>
            <w:shd w:val="clear" w:color="auto" w:fill="C6EFCE"/>
            <w:noWrap/>
          </w:tcPr>
          <w:p w14:paraId="616EC065" w14:textId="14B7A4D1"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pentru construirea unei capacități de electrolizoare noi de cel puțin 60 MW</w:t>
            </w:r>
            <w:r>
              <w:rPr>
                <w:rFonts w:ascii="Times New Roman" w:hAnsi="Times New Roman"/>
                <w:noProof/>
                <w:sz w:val="24"/>
                <w:vertAlign w:val="subscript"/>
              </w:rPr>
              <w:t>H2</w:t>
            </w:r>
          </w:p>
        </w:tc>
        <w:tc>
          <w:tcPr>
            <w:tcW w:w="1625" w:type="dxa"/>
            <w:tcBorders>
              <w:top w:val="nil"/>
              <w:left w:val="nil"/>
              <w:bottom w:val="single" w:sz="4" w:space="0" w:color="auto"/>
              <w:right w:val="single" w:sz="4" w:space="0" w:color="auto"/>
            </w:tcBorders>
            <w:shd w:val="clear" w:color="auto" w:fill="C6EFCE"/>
            <w:noWrap/>
            <w:hideMark/>
          </w:tcPr>
          <w:p w14:paraId="70D7C61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088" w:type="dxa"/>
            <w:gridSpan w:val="2"/>
            <w:tcBorders>
              <w:top w:val="nil"/>
              <w:left w:val="nil"/>
              <w:bottom w:val="single" w:sz="4" w:space="0" w:color="auto"/>
              <w:right w:val="single" w:sz="4" w:space="0" w:color="auto"/>
            </w:tcBorders>
            <w:shd w:val="clear" w:color="auto" w:fill="C6EFCE"/>
            <w:noWrap/>
            <w:hideMark/>
          </w:tcPr>
          <w:p w14:paraId="20D86E87"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188" w:type="dxa"/>
            <w:tcBorders>
              <w:top w:val="nil"/>
              <w:left w:val="nil"/>
              <w:bottom w:val="single" w:sz="4" w:space="0" w:color="auto"/>
              <w:right w:val="single" w:sz="4" w:space="0" w:color="auto"/>
            </w:tcBorders>
            <w:shd w:val="clear" w:color="auto" w:fill="C6EFCE"/>
            <w:noWrap/>
          </w:tcPr>
          <w:p w14:paraId="2A14EDD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7FF403F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nil"/>
              <w:left w:val="nil"/>
              <w:bottom w:val="single" w:sz="4" w:space="0" w:color="auto"/>
              <w:right w:val="single" w:sz="4" w:space="0" w:color="auto"/>
            </w:tcBorders>
            <w:shd w:val="clear" w:color="auto" w:fill="C6EFCE"/>
            <w:noWrap/>
            <w:hideMark/>
          </w:tcPr>
          <w:p w14:paraId="4F4874B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29B3736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104" w:type="dxa"/>
            <w:tcBorders>
              <w:top w:val="nil"/>
              <w:left w:val="nil"/>
              <w:bottom w:val="single" w:sz="4" w:space="0" w:color="auto"/>
              <w:right w:val="single" w:sz="4" w:space="0" w:color="auto"/>
            </w:tcBorders>
            <w:shd w:val="clear" w:color="auto" w:fill="C6EFCE"/>
            <w:noWrap/>
            <w:hideMark/>
          </w:tcPr>
          <w:p w14:paraId="645F93E7" w14:textId="42FFBB40"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 pentru construirea de electrolizoare noi de cel puțin 60 MW</w:t>
            </w:r>
            <w:r>
              <w:rPr>
                <w:rFonts w:ascii="Times New Roman" w:hAnsi="Times New Roman"/>
                <w:noProof/>
                <w:sz w:val="24"/>
                <w:vertAlign w:val="subscript"/>
              </w:rPr>
              <w:t>H2</w:t>
            </w:r>
            <w:r>
              <w:rPr>
                <w:rFonts w:ascii="Times New Roman" w:hAnsi="Times New Roman"/>
                <w:noProof/>
                <w:sz w:val="24"/>
              </w:rPr>
              <w:t>, cu un volum generat preconizat de cel puțin 10 000 de tone de hidrogen din surse regenerabile.</w:t>
            </w:r>
          </w:p>
          <w:p w14:paraId="17FBCC98" w14:textId="77777777"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r>
      <w:tr w:rsidR="000A27B3" w:rsidRPr="000A27B3" w14:paraId="654A0EAC"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tcPr>
          <w:p w14:paraId="61C1F95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131</w:t>
            </w:r>
          </w:p>
        </w:tc>
        <w:tc>
          <w:tcPr>
            <w:tcW w:w="1895" w:type="dxa"/>
            <w:tcBorders>
              <w:top w:val="nil"/>
              <w:left w:val="nil"/>
              <w:bottom w:val="single" w:sz="4" w:space="0" w:color="auto"/>
              <w:right w:val="single" w:sz="4" w:space="0" w:color="auto"/>
            </w:tcBorders>
            <w:shd w:val="clear" w:color="auto" w:fill="C6EFCE"/>
            <w:noWrap/>
            <w:vAlign w:val="bottom"/>
          </w:tcPr>
          <w:p w14:paraId="6986D6D1" w14:textId="67C6A2CA"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 Capacitățile de producție a hidrogenului verde care să fie utilizat pentru stocarea energiei electrice și pentru decarbonizarea industriei</w:t>
            </w:r>
          </w:p>
        </w:tc>
        <w:tc>
          <w:tcPr>
            <w:tcW w:w="1222" w:type="dxa"/>
            <w:tcBorders>
              <w:top w:val="nil"/>
              <w:left w:val="nil"/>
              <w:bottom w:val="single" w:sz="4" w:space="0" w:color="auto"/>
              <w:right w:val="single" w:sz="4" w:space="0" w:color="auto"/>
            </w:tcBorders>
            <w:shd w:val="clear" w:color="auto" w:fill="C6EFCE"/>
            <w:noWrap/>
          </w:tcPr>
          <w:p w14:paraId="74EBFED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Țintă </w:t>
            </w:r>
          </w:p>
        </w:tc>
        <w:tc>
          <w:tcPr>
            <w:tcW w:w="1759" w:type="dxa"/>
            <w:tcBorders>
              <w:top w:val="nil"/>
              <w:left w:val="nil"/>
              <w:bottom w:val="single" w:sz="4" w:space="0" w:color="auto"/>
              <w:right w:val="single" w:sz="4" w:space="0" w:color="auto"/>
            </w:tcBorders>
            <w:shd w:val="clear" w:color="auto" w:fill="C6EFCE"/>
            <w:noWrap/>
          </w:tcPr>
          <w:p w14:paraId="1C9B918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Producția de hidrogen verde</w:t>
            </w:r>
          </w:p>
        </w:tc>
        <w:tc>
          <w:tcPr>
            <w:tcW w:w="1625" w:type="dxa"/>
            <w:tcBorders>
              <w:top w:val="nil"/>
              <w:left w:val="nil"/>
              <w:bottom w:val="single" w:sz="4" w:space="0" w:color="auto"/>
              <w:right w:val="single" w:sz="4" w:space="0" w:color="auto"/>
            </w:tcBorders>
            <w:shd w:val="clear" w:color="auto" w:fill="C6EFCE"/>
            <w:noWrap/>
          </w:tcPr>
          <w:p w14:paraId="172B071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8" w:type="dxa"/>
            <w:gridSpan w:val="2"/>
            <w:tcBorders>
              <w:top w:val="nil"/>
              <w:left w:val="nil"/>
              <w:bottom w:val="single" w:sz="4" w:space="0" w:color="auto"/>
              <w:right w:val="single" w:sz="4" w:space="0" w:color="auto"/>
            </w:tcBorders>
            <w:shd w:val="clear" w:color="auto" w:fill="C6EFCE"/>
            <w:noWrap/>
          </w:tcPr>
          <w:p w14:paraId="68BCD546" w14:textId="6C13C613"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Megawatt (MW</w:t>
            </w:r>
            <w:r>
              <w:rPr>
                <w:rFonts w:ascii="Times New Roman" w:hAnsi="Times New Roman"/>
                <w:noProof/>
                <w:sz w:val="24"/>
                <w:vertAlign w:val="subscript"/>
              </w:rPr>
              <w:t>H2</w:t>
            </w:r>
            <w:r>
              <w:rPr>
                <w:rFonts w:ascii="Times New Roman" w:hAnsi="Times New Roman"/>
                <w:noProof/>
                <w:sz w:val="24"/>
              </w:rPr>
              <w:t>)</w:t>
            </w:r>
            <w:r w:rsidR="004C4C72">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2F4ED44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7E33105E" w14:textId="4209EEC0" w:rsidR="00500CF9" w:rsidRPr="000A27B3" w:rsidRDefault="0084761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60</w:t>
            </w:r>
          </w:p>
        </w:tc>
        <w:tc>
          <w:tcPr>
            <w:tcW w:w="960" w:type="dxa"/>
            <w:tcBorders>
              <w:top w:val="nil"/>
              <w:left w:val="nil"/>
              <w:bottom w:val="single" w:sz="4" w:space="0" w:color="auto"/>
              <w:right w:val="single" w:sz="4" w:space="0" w:color="auto"/>
            </w:tcBorders>
            <w:shd w:val="clear" w:color="auto" w:fill="C6EFCE"/>
            <w:noWrap/>
          </w:tcPr>
          <w:p w14:paraId="0807DF2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34" w:type="dxa"/>
            <w:tcBorders>
              <w:top w:val="nil"/>
              <w:left w:val="nil"/>
              <w:bottom w:val="single" w:sz="4" w:space="0" w:color="auto"/>
              <w:right w:val="single" w:sz="4" w:space="0" w:color="auto"/>
            </w:tcBorders>
            <w:shd w:val="clear" w:color="auto" w:fill="C6EFCE"/>
            <w:noWrap/>
          </w:tcPr>
          <w:p w14:paraId="3108E8D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104" w:type="dxa"/>
            <w:tcBorders>
              <w:top w:val="nil"/>
              <w:left w:val="nil"/>
              <w:bottom w:val="single" w:sz="4" w:space="0" w:color="auto"/>
              <w:right w:val="single" w:sz="4" w:space="0" w:color="auto"/>
            </w:tcBorders>
            <w:shd w:val="clear" w:color="auto" w:fill="C6EFCE"/>
            <w:noWrap/>
          </w:tcPr>
          <w:p w14:paraId="702161C8" w14:textId="471F79B5" w:rsidR="00500CF9" w:rsidRPr="000A27B3" w:rsidRDefault="00612DE0">
            <w:pPr>
              <w:spacing w:after="0" w:line="240" w:lineRule="auto"/>
              <w:jc w:val="both"/>
              <w:rPr>
                <w:rFonts w:ascii="Times New Roman" w:eastAsia="Times New Roman" w:hAnsi="Times New Roman" w:cs="Times New Roman"/>
                <w:noProof/>
                <w:sz w:val="24"/>
              </w:rPr>
            </w:pPr>
            <w:r>
              <w:rPr>
                <w:rFonts w:ascii="Times New Roman" w:hAnsi="Times New Roman"/>
                <w:noProof/>
                <w:sz w:val="24"/>
              </w:rPr>
              <w:t>O capacitate de electrolizoare de cel puțin 60 MW</w:t>
            </w:r>
            <w:r>
              <w:rPr>
                <w:rFonts w:ascii="Times New Roman" w:hAnsi="Times New Roman"/>
                <w:noProof/>
                <w:sz w:val="24"/>
                <w:vertAlign w:val="subscript"/>
              </w:rPr>
              <w:t>H2</w:t>
            </w:r>
            <w:r>
              <w:rPr>
                <w:rFonts w:ascii="Times New Roman" w:hAnsi="Times New Roman"/>
                <w:noProof/>
                <w:sz w:val="24"/>
              </w:rPr>
              <w:t xml:space="preserve"> , cu un volum generat preconizat de cel puțin 10 000 de tone de hidrogen din surse regenerabile trebuie să fi fost dată în funcțiune.</w:t>
            </w:r>
          </w:p>
          <w:p w14:paraId="4BB120F4" w14:textId="77777777"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r>
      <w:tr w:rsidR="000A27B3" w:rsidRPr="000A27B3" w14:paraId="2983EAB0"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3A51E27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133</w:t>
            </w:r>
          </w:p>
        </w:tc>
        <w:tc>
          <w:tcPr>
            <w:tcW w:w="1895" w:type="dxa"/>
            <w:tcBorders>
              <w:top w:val="nil"/>
              <w:left w:val="nil"/>
              <w:bottom w:val="single" w:sz="4" w:space="0" w:color="auto"/>
              <w:right w:val="single" w:sz="4" w:space="0" w:color="auto"/>
            </w:tcBorders>
            <w:shd w:val="clear" w:color="auto" w:fill="C6EFCE"/>
            <w:noWrap/>
          </w:tcPr>
          <w:p w14:paraId="7269876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 Dezvoltarea unei producții combinate de energie termică și energie electrică (CHP) pe gaz flexibile și de înaltă eficiență în sectorul încălzirii centralizate, în vederea atingerii unei decarbonizări adânci</w:t>
            </w:r>
          </w:p>
        </w:tc>
        <w:tc>
          <w:tcPr>
            <w:tcW w:w="1222" w:type="dxa"/>
            <w:tcBorders>
              <w:top w:val="nil"/>
              <w:left w:val="nil"/>
              <w:bottom w:val="single" w:sz="4" w:space="0" w:color="auto"/>
              <w:right w:val="single" w:sz="4" w:space="0" w:color="auto"/>
            </w:tcBorders>
            <w:shd w:val="clear" w:color="auto" w:fill="C6EFCE"/>
            <w:noWrap/>
            <w:hideMark/>
          </w:tcPr>
          <w:p w14:paraId="557D7A8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59" w:type="dxa"/>
            <w:tcBorders>
              <w:top w:val="nil"/>
              <w:left w:val="nil"/>
              <w:bottom w:val="single" w:sz="4" w:space="0" w:color="auto"/>
              <w:right w:val="single" w:sz="4" w:space="0" w:color="auto"/>
            </w:tcBorders>
            <w:shd w:val="clear" w:color="auto" w:fill="C6EFCE"/>
            <w:noWrap/>
          </w:tcPr>
          <w:p w14:paraId="49D15DE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pentru proiecte de cogenerare de înaltă eficiență pe gaz și încălzire centralizată</w:t>
            </w:r>
          </w:p>
        </w:tc>
        <w:tc>
          <w:tcPr>
            <w:tcW w:w="1625" w:type="dxa"/>
            <w:tcBorders>
              <w:top w:val="nil"/>
              <w:left w:val="nil"/>
              <w:bottom w:val="single" w:sz="4" w:space="0" w:color="auto"/>
              <w:right w:val="single" w:sz="4" w:space="0" w:color="auto"/>
            </w:tcBorders>
            <w:shd w:val="clear" w:color="auto" w:fill="C6EFCE"/>
            <w:noWrap/>
            <w:hideMark/>
          </w:tcPr>
          <w:p w14:paraId="000D871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088" w:type="dxa"/>
            <w:gridSpan w:val="2"/>
            <w:tcBorders>
              <w:top w:val="nil"/>
              <w:left w:val="nil"/>
              <w:bottom w:val="single" w:sz="4" w:space="0" w:color="auto"/>
              <w:right w:val="single" w:sz="4" w:space="0" w:color="auto"/>
            </w:tcBorders>
            <w:shd w:val="clear" w:color="auto" w:fill="C6EFCE"/>
            <w:noWrap/>
            <w:hideMark/>
          </w:tcPr>
          <w:p w14:paraId="220390F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7DDC010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7C20801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hideMark/>
          </w:tcPr>
          <w:p w14:paraId="05DE2F9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37D4BA3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104" w:type="dxa"/>
            <w:tcBorders>
              <w:top w:val="nil"/>
              <w:left w:val="nil"/>
              <w:bottom w:val="single" w:sz="4" w:space="0" w:color="auto"/>
              <w:right w:val="single" w:sz="4" w:space="0" w:color="auto"/>
            </w:tcBorders>
            <w:shd w:val="clear" w:color="auto" w:fill="C6EFCE"/>
            <w:noWrap/>
            <w:hideMark/>
          </w:tcPr>
          <w:p w14:paraId="76F82A8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Semnarea contractelor pentru construirea sau modernizarea cogenerării de gaze de înaltă eficiență în termoficare, conform definiției din Directiva 2010/31/UE. Criteriile de selecție vor asigura respectarea Orientărilor tehnice privind aplicarea principiului de „a nu aduce prejudicii semnificative” (2021/C58/01), mai ales condițiile prevăzute în anexa III. Investițiile vor înlocui cel puțin aceeași capacitate a instalațiilor de producere a energiei electrice și/sau a energiei termice (ca de exemplu pe bază de cărbune, lignit sau petrol) care generează emisii de carbon semnificativ mai mari, ceea ce va duce la o scădere a emisiilor de GES. </w:t>
            </w:r>
          </w:p>
        </w:tc>
      </w:tr>
      <w:tr w:rsidR="000A27B3" w:rsidRPr="000A27B3" w14:paraId="5072A924"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44CF289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134</w:t>
            </w:r>
          </w:p>
        </w:tc>
        <w:tc>
          <w:tcPr>
            <w:tcW w:w="1895" w:type="dxa"/>
            <w:tcBorders>
              <w:top w:val="nil"/>
              <w:left w:val="nil"/>
              <w:bottom w:val="single" w:sz="4" w:space="0" w:color="auto"/>
              <w:right w:val="single" w:sz="4" w:space="0" w:color="auto"/>
            </w:tcBorders>
            <w:shd w:val="clear" w:color="auto" w:fill="C6EFCE"/>
            <w:noWrap/>
          </w:tcPr>
          <w:p w14:paraId="5A55341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 Dezvoltarea unei producții combinate de energie termică și energie electrică (CHP) pe gaz flexibile și de înaltă eficiență în sectorul încălzirii centralizate, în vederea atingerii unei decarbonizări adânci</w:t>
            </w:r>
          </w:p>
        </w:tc>
        <w:tc>
          <w:tcPr>
            <w:tcW w:w="1222" w:type="dxa"/>
            <w:tcBorders>
              <w:top w:val="nil"/>
              <w:left w:val="nil"/>
              <w:bottom w:val="single" w:sz="4" w:space="0" w:color="auto"/>
              <w:right w:val="single" w:sz="4" w:space="0" w:color="auto"/>
            </w:tcBorders>
            <w:shd w:val="clear" w:color="auto" w:fill="C6EFCE"/>
            <w:noWrap/>
            <w:hideMark/>
          </w:tcPr>
          <w:p w14:paraId="11BB831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59" w:type="dxa"/>
            <w:tcBorders>
              <w:top w:val="nil"/>
              <w:left w:val="nil"/>
              <w:bottom w:val="single" w:sz="4" w:space="0" w:color="auto"/>
              <w:right w:val="single" w:sz="4" w:space="0" w:color="auto"/>
            </w:tcBorders>
            <w:shd w:val="clear" w:color="auto" w:fill="C6EFCE"/>
            <w:noWrap/>
          </w:tcPr>
          <w:p w14:paraId="61A1AA9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Centrale de cogenerare de înaltă eficiență și încălzire centralizată</w:t>
            </w:r>
          </w:p>
        </w:tc>
        <w:tc>
          <w:tcPr>
            <w:tcW w:w="1625" w:type="dxa"/>
            <w:tcBorders>
              <w:top w:val="nil"/>
              <w:left w:val="nil"/>
              <w:bottom w:val="single" w:sz="4" w:space="0" w:color="auto"/>
              <w:right w:val="single" w:sz="4" w:space="0" w:color="auto"/>
            </w:tcBorders>
            <w:shd w:val="clear" w:color="auto" w:fill="C6EFCE"/>
            <w:noWrap/>
            <w:hideMark/>
          </w:tcPr>
          <w:p w14:paraId="1219CEB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8" w:type="dxa"/>
            <w:gridSpan w:val="2"/>
            <w:tcBorders>
              <w:top w:val="nil"/>
              <w:left w:val="nil"/>
              <w:bottom w:val="single" w:sz="4" w:space="0" w:color="auto"/>
              <w:right w:val="single" w:sz="4" w:space="0" w:color="auto"/>
            </w:tcBorders>
            <w:shd w:val="clear" w:color="auto" w:fill="C6EFCE"/>
            <w:noWrap/>
            <w:hideMark/>
          </w:tcPr>
          <w:p w14:paraId="031B8831" w14:textId="12190C2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Megawatt (MWe) </w:t>
            </w:r>
          </w:p>
        </w:tc>
        <w:tc>
          <w:tcPr>
            <w:tcW w:w="1188" w:type="dxa"/>
            <w:tcBorders>
              <w:top w:val="nil"/>
              <w:left w:val="nil"/>
              <w:bottom w:val="single" w:sz="4" w:space="0" w:color="auto"/>
              <w:right w:val="single" w:sz="4" w:space="0" w:color="auto"/>
            </w:tcBorders>
            <w:shd w:val="clear" w:color="auto" w:fill="C6EFCE"/>
            <w:noWrap/>
          </w:tcPr>
          <w:p w14:paraId="5244672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2535916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300</w:t>
            </w:r>
          </w:p>
        </w:tc>
        <w:tc>
          <w:tcPr>
            <w:tcW w:w="960" w:type="dxa"/>
            <w:tcBorders>
              <w:top w:val="nil"/>
              <w:left w:val="nil"/>
              <w:bottom w:val="single" w:sz="4" w:space="0" w:color="auto"/>
              <w:right w:val="single" w:sz="4" w:space="0" w:color="auto"/>
            </w:tcBorders>
            <w:shd w:val="clear" w:color="auto" w:fill="C6EFCE"/>
            <w:noWrap/>
            <w:hideMark/>
          </w:tcPr>
          <w:p w14:paraId="13188F5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303FAB7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104" w:type="dxa"/>
            <w:tcBorders>
              <w:top w:val="nil"/>
              <w:left w:val="nil"/>
              <w:bottom w:val="single" w:sz="4" w:space="0" w:color="auto"/>
              <w:right w:val="single" w:sz="4" w:space="0" w:color="auto"/>
            </w:tcBorders>
            <w:shd w:val="clear" w:color="auto" w:fill="C6EFCE"/>
            <w:noWrap/>
            <w:hideMark/>
          </w:tcPr>
          <w:p w14:paraId="15A0AF5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Darea în funcțiune a producției combinate de energie termică și electrică de înaltă eficiență în sectorul încălzirii centralizate, în conformitate cu Orientările tehnice privind aplicarea principiului de „a nu aduce prejudicii semnificative” (2021/C58/01), în special cu condițiile stabilite în anexa III, în conformitate cu jalonul 133.</w:t>
            </w:r>
          </w:p>
        </w:tc>
      </w:tr>
      <w:tr w:rsidR="000A27B3" w:rsidRPr="000A27B3" w14:paraId="018BD788"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59CFA77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135</w:t>
            </w:r>
          </w:p>
        </w:tc>
        <w:tc>
          <w:tcPr>
            <w:tcW w:w="1895" w:type="dxa"/>
            <w:tcBorders>
              <w:top w:val="nil"/>
              <w:left w:val="nil"/>
              <w:bottom w:val="single" w:sz="4" w:space="0" w:color="auto"/>
              <w:right w:val="single" w:sz="4" w:space="0" w:color="auto"/>
            </w:tcBorders>
            <w:shd w:val="clear" w:color="auto" w:fill="C6EFCE"/>
            <w:noWrap/>
          </w:tcPr>
          <w:p w14:paraId="0E5759F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Lanț industrial de producție și/sau reciclare a bateriilor, a celulelor și panourilor fotovoltaice (inclusiv echipamente auxiliare) și noi capacități de stocare a energiei electrice </w:t>
            </w:r>
          </w:p>
        </w:tc>
        <w:tc>
          <w:tcPr>
            <w:tcW w:w="1222" w:type="dxa"/>
            <w:tcBorders>
              <w:top w:val="nil"/>
              <w:left w:val="nil"/>
              <w:bottom w:val="single" w:sz="4" w:space="0" w:color="auto"/>
              <w:right w:val="single" w:sz="4" w:space="0" w:color="auto"/>
            </w:tcBorders>
            <w:shd w:val="clear" w:color="auto" w:fill="C6EFCE"/>
            <w:noWrap/>
            <w:hideMark/>
          </w:tcPr>
          <w:p w14:paraId="4823303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59" w:type="dxa"/>
            <w:tcBorders>
              <w:top w:val="nil"/>
              <w:left w:val="nil"/>
              <w:bottom w:val="single" w:sz="4" w:space="0" w:color="auto"/>
              <w:right w:val="single" w:sz="4" w:space="0" w:color="auto"/>
            </w:tcBorders>
            <w:shd w:val="clear" w:color="auto" w:fill="C6EFCE"/>
            <w:noWrap/>
          </w:tcPr>
          <w:p w14:paraId="08FEC0B9" w14:textId="1EC5ED8B"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rPr>
              <w:t>Semnarea contractelor pentru investițiile în lanțul valoric al bateriilor și în lanțul valoric fotovoltaic.</w:t>
            </w:r>
          </w:p>
          <w:p w14:paraId="303438E6" w14:textId="77777777" w:rsidR="00500CF9" w:rsidRPr="009F1DC7" w:rsidRDefault="00500CF9">
            <w:pPr>
              <w:spacing w:after="0" w:line="240" w:lineRule="auto"/>
              <w:jc w:val="both"/>
              <w:rPr>
                <w:rFonts w:ascii="Times New Roman" w:eastAsia="Times New Roman" w:hAnsi="Times New Roman" w:cs="Times New Roman"/>
                <w:noProof/>
                <w:sz w:val="24"/>
                <w:lang w:eastAsia="en-GB"/>
              </w:rPr>
            </w:pPr>
          </w:p>
        </w:tc>
        <w:tc>
          <w:tcPr>
            <w:tcW w:w="1625" w:type="dxa"/>
            <w:tcBorders>
              <w:top w:val="nil"/>
              <w:left w:val="nil"/>
              <w:bottom w:val="single" w:sz="4" w:space="0" w:color="auto"/>
              <w:right w:val="single" w:sz="4" w:space="0" w:color="auto"/>
            </w:tcBorders>
            <w:shd w:val="clear" w:color="auto" w:fill="C6EFCE"/>
            <w:noWrap/>
            <w:hideMark/>
          </w:tcPr>
          <w:p w14:paraId="5E77922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088" w:type="dxa"/>
            <w:gridSpan w:val="2"/>
            <w:tcBorders>
              <w:top w:val="nil"/>
              <w:left w:val="nil"/>
              <w:bottom w:val="single" w:sz="4" w:space="0" w:color="auto"/>
              <w:right w:val="single" w:sz="4" w:space="0" w:color="auto"/>
            </w:tcBorders>
            <w:shd w:val="clear" w:color="auto" w:fill="C6EFCE"/>
            <w:noWrap/>
            <w:hideMark/>
          </w:tcPr>
          <w:p w14:paraId="2C2F417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2BEEE41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06B053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hideMark/>
          </w:tcPr>
          <w:p w14:paraId="358870C4" w14:textId="2A36AD30"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4E5AEE83" w14:textId="0E9ECD0D"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104" w:type="dxa"/>
            <w:tcBorders>
              <w:top w:val="nil"/>
              <w:left w:val="nil"/>
              <w:bottom w:val="single" w:sz="4" w:space="0" w:color="auto"/>
              <w:right w:val="single" w:sz="4" w:space="0" w:color="auto"/>
            </w:tcBorders>
            <w:shd w:val="clear" w:color="auto" w:fill="C6EFCE"/>
            <w:noWrap/>
            <w:hideMark/>
          </w:tcPr>
          <w:p w14:paraId="117CF33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Semnarea contractelor pentru investițiile în lanțul valoric al bateriilor și în celulele și panourile fotovoltaice (producție – asamblare – reciclare). Criteriile de selecție vor asigura respectarea Orientărilor tehnice privind aplicarea principiului de „a nu aduce prejudicii semnificative” (2021/C58/01), în special prin utilizarea excluderilor în domeniul gestionării deșeurilor și al extracției materiilor prime. </w:t>
            </w:r>
          </w:p>
        </w:tc>
      </w:tr>
      <w:tr w:rsidR="000A27B3" w:rsidRPr="000A27B3" w14:paraId="183E2267"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6CD83F9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136</w:t>
            </w:r>
          </w:p>
        </w:tc>
        <w:tc>
          <w:tcPr>
            <w:tcW w:w="1895" w:type="dxa"/>
            <w:tcBorders>
              <w:top w:val="nil"/>
              <w:left w:val="nil"/>
              <w:bottom w:val="single" w:sz="4" w:space="0" w:color="auto"/>
              <w:right w:val="single" w:sz="4" w:space="0" w:color="auto"/>
            </w:tcBorders>
            <w:shd w:val="clear" w:color="auto" w:fill="C6EFCE"/>
            <w:noWrap/>
            <w:vAlign w:val="bottom"/>
          </w:tcPr>
          <w:p w14:paraId="3F0D679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Lanț industrial de producție și/sau reciclare a bateriilor, a celulelor și panourilor fotovoltaice (inclusiv echipamente auxiliare) și noi capacități de stocare a energiei electrice </w:t>
            </w:r>
          </w:p>
        </w:tc>
        <w:tc>
          <w:tcPr>
            <w:tcW w:w="1222" w:type="dxa"/>
            <w:tcBorders>
              <w:top w:val="nil"/>
              <w:left w:val="nil"/>
              <w:bottom w:val="single" w:sz="4" w:space="0" w:color="auto"/>
              <w:right w:val="single" w:sz="4" w:space="0" w:color="auto"/>
            </w:tcBorders>
            <w:shd w:val="clear" w:color="auto" w:fill="C6EFCE"/>
            <w:noWrap/>
            <w:hideMark/>
          </w:tcPr>
          <w:p w14:paraId="004CE7E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59" w:type="dxa"/>
            <w:tcBorders>
              <w:top w:val="nil"/>
              <w:left w:val="nil"/>
              <w:bottom w:val="single" w:sz="4" w:space="0" w:color="auto"/>
              <w:right w:val="single" w:sz="4" w:space="0" w:color="auto"/>
            </w:tcBorders>
            <w:shd w:val="clear" w:color="auto" w:fill="C6EFCE"/>
            <w:noWrap/>
          </w:tcPr>
          <w:p w14:paraId="216931A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 în cadrul schemei de sprijin pentru stocarea cu baterii</w:t>
            </w:r>
          </w:p>
        </w:tc>
        <w:tc>
          <w:tcPr>
            <w:tcW w:w="1625" w:type="dxa"/>
            <w:tcBorders>
              <w:top w:val="nil"/>
              <w:left w:val="nil"/>
              <w:bottom w:val="single" w:sz="4" w:space="0" w:color="auto"/>
              <w:right w:val="single" w:sz="4" w:space="0" w:color="auto"/>
            </w:tcBorders>
            <w:shd w:val="clear" w:color="auto" w:fill="C6EFCE"/>
            <w:noWrap/>
            <w:hideMark/>
          </w:tcPr>
          <w:p w14:paraId="5BA3B2D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contractelor</w:t>
            </w:r>
          </w:p>
        </w:tc>
        <w:tc>
          <w:tcPr>
            <w:tcW w:w="1088" w:type="dxa"/>
            <w:gridSpan w:val="2"/>
            <w:tcBorders>
              <w:top w:val="nil"/>
              <w:left w:val="nil"/>
              <w:bottom w:val="single" w:sz="4" w:space="0" w:color="auto"/>
              <w:right w:val="single" w:sz="4" w:space="0" w:color="auto"/>
            </w:tcBorders>
            <w:shd w:val="clear" w:color="auto" w:fill="C6EFCE"/>
            <w:noWrap/>
            <w:hideMark/>
          </w:tcPr>
          <w:p w14:paraId="3211713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62306BB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76A25D6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hideMark/>
          </w:tcPr>
          <w:p w14:paraId="4DE5D1D1" w14:textId="7D2D318D"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04AF2EF3" w14:textId="49D2F984"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104" w:type="dxa"/>
            <w:tcBorders>
              <w:top w:val="nil"/>
              <w:left w:val="nil"/>
              <w:bottom w:val="single" w:sz="4" w:space="0" w:color="auto"/>
              <w:right w:val="single" w:sz="4" w:space="0" w:color="auto"/>
            </w:tcBorders>
            <w:shd w:val="clear" w:color="auto" w:fill="C6EFCE"/>
            <w:noWrap/>
            <w:hideMark/>
          </w:tcPr>
          <w:p w14:paraId="4FA8C298" w14:textId="7BB9095E"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Semnarea contractelor pentru dezvoltarea unei capacități de stocare a bateriilor de cel puțin 240 MW. Criteriile de selecție vor asigura respectarea Orientărilor tehnice privind aplicarea principiului de „a nu aduce prejudicii semnificative” (2021/C58/01), în special prin utilizarea excluderilor în domeniul gestionării deșeurilor și al extracției materiilor prime. </w:t>
            </w:r>
          </w:p>
        </w:tc>
      </w:tr>
      <w:tr w:rsidR="000A27B3" w:rsidRPr="000A27B3" w14:paraId="79A36BF1"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22BA937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137</w:t>
            </w:r>
          </w:p>
        </w:tc>
        <w:tc>
          <w:tcPr>
            <w:tcW w:w="1895" w:type="dxa"/>
            <w:tcBorders>
              <w:top w:val="nil"/>
              <w:left w:val="nil"/>
              <w:bottom w:val="single" w:sz="4" w:space="0" w:color="auto"/>
              <w:right w:val="single" w:sz="4" w:space="0" w:color="auto"/>
            </w:tcBorders>
            <w:shd w:val="clear" w:color="auto" w:fill="C6EFCE"/>
            <w:noWrap/>
            <w:vAlign w:val="bottom"/>
          </w:tcPr>
          <w:p w14:paraId="6AB767E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Lanț industrial de producție și/sau reciclare a bateriilor, a celulelor și panourilor fotovoltaice (inclusiv echipamente auxiliare) și noi capacități de stocare a energiei electrice </w:t>
            </w:r>
          </w:p>
        </w:tc>
        <w:tc>
          <w:tcPr>
            <w:tcW w:w="1222" w:type="dxa"/>
            <w:tcBorders>
              <w:top w:val="nil"/>
              <w:left w:val="nil"/>
              <w:bottom w:val="single" w:sz="4" w:space="0" w:color="auto"/>
              <w:right w:val="single" w:sz="4" w:space="0" w:color="auto"/>
            </w:tcBorders>
            <w:shd w:val="clear" w:color="auto" w:fill="C6EFCE"/>
            <w:noWrap/>
            <w:hideMark/>
          </w:tcPr>
          <w:p w14:paraId="191B2EC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Țintă </w:t>
            </w:r>
          </w:p>
        </w:tc>
        <w:tc>
          <w:tcPr>
            <w:tcW w:w="1759" w:type="dxa"/>
            <w:tcBorders>
              <w:top w:val="nil"/>
              <w:left w:val="nil"/>
              <w:bottom w:val="single" w:sz="4" w:space="0" w:color="auto"/>
              <w:right w:val="single" w:sz="4" w:space="0" w:color="auto"/>
            </w:tcBorders>
            <w:shd w:val="clear" w:color="auto" w:fill="C6EFCE"/>
            <w:noWrap/>
          </w:tcPr>
          <w:p w14:paraId="42DDE11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S-au dat în folosință instalații de producție și/sau de asamblare și/sau de reciclare a bateriilor</w:t>
            </w:r>
          </w:p>
        </w:tc>
        <w:tc>
          <w:tcPr>
            <w:tcW w:w="1625" w:type="dxa"/>
            <w:tcBorders>
              <w:top w:val="nil"/>
              <w:left w:val="nil"/>
              <w:bottom w:val="single" w:sz="4" w:space="0" w:color="auto"/>
              <w:right w:val="single" w:sz="4" w:space="0" w:color="auto"/>
            </w:tcBorders>
            <w:shd w:val="clear" w:color="auto" w:fill="C6EFCE"/>
            <w:noWrap/>
            <w:hideMark/>
          </w:tcPr>
          <w:p w14:paraId="5511A2B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8" w:type="dxa"/>
            <w:gridSpan w:val="2"/>
            <w:tcBorders>
              <w:top w:val="nil"/>
              <w:left w:val="nil"/>
              <w:bottom w:val="single" w:sz="4" w:space="0" w:color="auto"/>
              <w:right w:val="single" w:sz="4" w:space="0" w:color="auto"/>
            </w:tcBorders>
            <w:shd w:val="clear" w:color="auto" w:fill="C6EFCE"/>
            <w:noWrap/>
            <w:hideMark/>
          </w:tcPr>
          <w:p w14:paraId="209C6BD9" w14:textId="77E8721F"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Gigawatt (GW)</w:t>
            </w:r>
            <w:r w:rsidR="004C4C72">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2BE2391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0 </w:t>
            </w:r>
          </w:p>
        </w:tc>
        <w:tc>
          <w:tcPr>
            <w:tcW w:w="1200" w:type="dxa"/>
            <w:tcBorders>
              <w:top w:val="nil"/>
              <w:left w:val="nil"/>
              <w:bottom w:val="single" w:sz="4" w:space="0" w:color="auto"/>
              <w:right w:val="single" w:sz="4" w:space="0" w:color="auto"/>
            </w:tcBorders>
            <w:shd w:val="clear" w:color="auto" w:fill="C6EFCE"/>
            <w:noWrap/>
          </w:tcPr>
          <w:p w14:paraId="20B5690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w:t>
            </w:r>
          </w:p>
        </w:tc>
        <w:tc>
          <w:tcPr>
            <w:tcW w:w="960" w:type="dxa"/>
            <w:tcBorders>
              <w:top w:val="nil"/>
              <w:left w:val="nil"/>
              <w:bottom w:val="single" w:sz="4" w:space="0" w:color="auto"/>
              <w:right w:val="single" w:sz="4" w:space="0" w:color="auto"/>
            </w:tcBorders>
            <w:shd w:val="clear" w:color="auto" w:fill="C6EFCE"/>
            <w:noWrap/>
            <w:hideMark/>
          </w:tcPr>
          <w:p w14:paraId="6A8BB997" w14:textId="3DBB0A34"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0D5BB398" w14:textId="4B83512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104" w:type="dxa"/>
            <w:tcBorders>
              <w:top w:val="nil"/>
              <w:left w:val="nil"/>
              <w:bottom w:val="single" w:sz="4" w:space="0" w:color="auto"/>
              <w:right w:val="single" w:sz="4" w:space="0" w:color="auto"/>
            </w:tcBorders>
            <w:shd w:val="clear" w:color="auto" w:fill="C6EFCE"/>
            <w:noWrap/>
            <w:hideMark/>
          </w:tcPr>
          <w:p w14:paraId="12058A9D" w14:textId="04A967A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Darea în funcțiune a unor capacități de fabricare și de asamblare a bateriilor cu o capacitate totală de cel puțin 2 GW pe an. </w:t>
            </w:r>
          </w:p>
        </w:tc>
      </w:tr>
      <w:tr w:rsidR="000A27B3" w:rsidRPr="000A27B3" w14:paraId="3647E787"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tcPr>
          <w:p w14:paraId="0D7104A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138</w:t>
            </w:r>
          </w:p>
          <w:p w14:paraId="43CB1C3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895" w:type="dxa"/>
            <w:tcBorders>
              <w:top w:val="nil"/>
              <w:left w:val="nil"/>
              <w:bottom w:val="single" w:sz="4" w:space="0" w:color="auto"/>
              <w:right w:val="single" w:sz="4" w:space="0" w:color="auto"/>
            </w:tcBorders>
            <w:shd w:val="clear" w:color="auto" w:fill="C6EFCE"/>
            <w:noWrap/>
            <w:vAlign w:val="bottom"/>
          </w:tcPr>
          <w:p w14:paraId="6205EBE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4. Lanț industrial de producție și/sau reciclare a bateriilor, a celulelor și panourilor fotovoltaice (inclusiv echipamente auxiliare) și noi capacități de stocare a energiei electrice</w:t>
            </w:r>
          </w:p>
        </w:tc>
        <w:tc>
          <w:tcPr>
            <w:tcW w:w="1222" w:type="dxa"/>
            <w:tcBorders>
              <w:top w:val="nil"/>
              <w:left w:val="nil"/>
              <w:bottom w:val="single" w:sz="4" w:space="0" w:color="auto"/>
              <w:right w:val="single" w:sz="4" w:space="0" w:color="auto"/>
            </w:tcBorders>
            <w:shd w:val="clear" w:color="auto" w:fill="C6EFCE"/>
            <w:noWrap/>
          </w:tcPr>
          <w:p w14:paraId="1838D8A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59" w:type="dxa"/>
            <w:tcBorders>
              <w:top w:val="nil"/>
              <w:left w:val="nil"/>
              <w:bottom w:val="single" w:sz="4" w:space="0" w:color="auto"/>
              <w:right w:val="single" w:sz="4" w:space="0" w:color="auto"/>
            </w:tcBorders>
            <w:shd w:val="clear" w:color="auto" w:fill="C6EFCE"/>
            <w:noWrap/>
          </w:tcPr>
          <w:p w14:paraId="57DCA50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S-a dat în folosință capacitatea de producție a celulelor și panourilor fotovoltaice </w:t>
            </w:r>
          </w:p>
        </w:tc>
        <w:tc>
          <w:tcPr>
            <w:tcW w:w="1625" w:type="dxa"/>
            <w:tcBorders>
              <w:top w:val="nil"/>
              <w:left w:val="nil"/>
              <w:bottom w:val="single" w:sz="4" w:space="0" w:color="auto"/>
              <w:right w:val="single" w:sz="4" w:space="0" w:color="auto"/>
            </w:tcBorders>
            <w:shd w:val="clear" w:color="auto" w:fill="C6EFCE"/>
            <w:noWrap/>
          </w:tcPr>
          <w:p w14:paraId="46B320D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8" w:type="dxa"/>
            <w:gridSpan w:val="2"/>
            <w:tcBorders>
              <w:top w:val="nil"/>
              <w:left w:val="nil"/>
              <w:bottom w:val="single" w:sz="4" w:space="0" w:color="auto"/>
              <w:right w:val="single" w:sz="4" w:space="0" w:color="auto"/>
            </w:tcBorders>
            <w:shd w:val="clear" w:color="auto" w:fill="C6EFCE"/>
            <w:noWrap/>
          </w:tcPr>
          <w:p w14:paraId="6100574F" w14:textId="5F607203"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Megawatt (MW)</w:t>
            </w:r>
            <w:r w:rsidR="004C4C72">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6522652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738FD29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200</w:t>
            </w:r>
          </w:p>
        </w:tc>
        <w:tc>
          <w:tcPr>
            <w:tcW w:w="960" w:type="dxa"/>
            <w:tcBorders>
              <w:top w:val="nil"/>
              <w:left w:val="nil"/>
              <w:bottom w:val="single" w:sz="4" w:space="0" w:color="auto"/>
              <w:right w:val="single" w:sz="4" w:space="0" w:color="auto"/>
            </w:tcBorders>
            <w:shd w:val="clear" w:color="auto" w:fill="C6EFCE"/>
            <w:noWrap/>
          </w:tcPr>
          <w:p w14:paraId="6F8E34D4" w14:textId="07CCD3A2"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T2 </w:t>
            </w:r>
          </w:p>
        </w:tc>
        <w:tc>
          <w:tcPr>
            <w:tcW w:w="734" w:type="dxa"/>
            <w:tcBorders>
              <w:top w:val="nil"/>
              <w:left w:val="nil"/>
              <w:bottom w:val="single" w:sz="4" w:space="0" w:color="auto"/>
              <w:right w:val="single" w:sz="4" w:space="0" w:color="auto"/>
            </w:tcBorders>
            <w:shd w:val="clear" w:color="auto" w:fill="C6EFCE"/>
            <w:noWrap/>
          </w:tcPr>
          <w:p w14:paraId="3D8DAAB8" w14:textId="57DFA380"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104" w:type="dxa"/>
            <w:tcBorders>
              <w:top w:val="nil"/>
              <w:left w:val="nil"/>
              <w:bottom w:val="single" w:sz="4" w:space="0" w:color="auto"/>
              <w:right w:val="single" w:sz="4" w:space="0" w:color="auto"/>
            </w:tcBorders>
            <w:shd w:val="clear" w:color="auto" w:fill="C6EFCE"/>
            <w:noWrap/>
          </w:tcPr>
          <w:p w14:paraId="7EDB1880" w14:textId="43182722"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Darea în funcțiune a producției de celule și panouri fotovoltaice cu o capacitate totală de cel puțin 200 MW pe an.</w:t>
            </w:r>
          </w:p>
        </w:tc>
      </w:tr>
      <w:tr w:rsidR="000A27B3" w:rsidRPr="000A27B3" w14:paraId="10E11FD1"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7F89F7C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139</w:t>
            </w:r>
          </w:p>
        </w:tc>
        <w:tc>
          <w:tcPr>
            <w:tcW w:w="1895" w:type="dxa"/>
            <w:tcBorders>
              <w:top w:val="nil"/>
              <w:left w:val="nil"/>
              <w:bottom w:val="single" w:sz="4" w:space="0" w:color="auto"/>
              <w:right w:val="single" w:sz="4" w:space="0" w:color="auto"/>
            </w:tcBorders>
            <w:shd w:val="clear" w:color="auto" w:fill="C6EFCE"/>
            <w:noWrap/>
            <w:vAlign w:val="bottom"/>
          </w:tcPr>
          <w:p w14:paraId="6AF3E0B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Lanț industrial de producție și/sau reciclare a bateriilor, a celulelor și panourilor fotovoltaice (inclusiv echipamente auxiliare) și noi capacități de stocare a energiei electrice </w:t>
            </w:r>
          </w:p>
        </w:tc>
        <w:tc>
          <w:tcPr>
            <w:tcW w:w="1222" w:type="dxa"/>
            <w:tcBorders>
              <w:top w:val="nil"/>
              <w:left w:val="nil"/>
              <w:bottom w:val="single" w:sz="4" w:space="0" w:color="auto"/>
              <w:right w:val="single" w:sz="4" w:space="0" w:color="auto"/>
            </w:tcBorders>
            <w:shd w:val="clear" w:color="auto" w:fill="C6EFCE"/>
            <w:noWrap/>
            <w:hideMark/>
          </w:tcPr>
          <w:p w14:paraId="2901A34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Țintă </w:t>
            </w:r>
          </w:p>
        </w:tc>
        <w:tc>
          <w:tcPr>
            <w:tcW w:w="1759" w:type="dxa"/>
            <w:tcBorders>
              <w:top w:val="nil"/>
              <w:left w:val="nil"/>
              <w:bottom w:val="single" w:sz="4" w:space="0" w:color="auto"/>
              <w:right w:val="single" w:sz="4" w:space="0" w:color="auto"/>
            </w:tcBorders>
            <w:shd w:val="clear" w:color="auto" w:fill="C6EFCE"/>
            <w:noWrap/>
          </w:tcPr>
          <w:p w14:paraId="3EE1B4E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Capacitatea de stocare a energiei electrice este instalată</w:t>
            </w:r>
          </w:p>
        </w:tc>
        <w:tc>
          <w:tcPr>
            <w:tcW w:w="1625" w:type="dxa"/>
            <w:tcBorders>
              <w:top w:val="nil"/>
              <w:left w:val="nil"/>
              <w:bottom w:val="single" w:sz="4" w:space="0" w:color="auto"/>
              <w:right w:val="single" w:sz="4" w:space="0" w:color="auto"/>
            </w:tcBorders>
            <w:shd w:val="clear" w:color="auto" w:fill="C6EFCE"/>
            <w:noWrap/>
            <w:hideMark/>
          </w:tcPr>
          <w:p w14:paraId="73E6FC0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8" w:type="dxa"/>
            <w:gridSpan w:val="2"/>
            <w:tcBorders>
              <w:top w:val="nil"/>
              <w:left w:val="nil"/>
              <w:bottom w:val="single" w:sz="4" w:space="0" w:color="auto"/>
              <w:right w:val="single" w:sz="4" w:space="0" w:color="auto"/>
            </w:tcBorders>
            <w:shd w:val="clear" w:color="auto" w:fill="C6EFCE"/>
            <w:noWrap/>
            <w:hideMark/>
          </w:tcPr>
          <w:p w14:paraId="7F5EA1A1" w14:textId="0FB19D4C"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Megawatt (MW)</w:t>
            </w:r>
            <w:r w:rsidR="004C4C72">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6C6B93A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760C326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240</w:t>
            </w:r>
          </w:p>
        </w:tc>
        <w:tc>
          <w:tcPr>
            <w:tcW w:w="960" w:type="dxa"/>
            <w:tcBorders>
              <w:top w:val="nil"/>
              <w:left w:val="nil"/>
              <w:bottom w:val="single" w:sz="4" w:space="0" w:color="auto"/>
              <w:right w:val="single" w:sz="4" w:space="0" w:color="auto"/>
            </w:tcBorders>
            <w:shd w:val="clear" w:color="auto" w:fill="C6EFCE"/>
            <w:noWrap/>
            <w:hideMark/>
          </w:tcPr>
          <w:p w14:paraId="4CF57C71" w14:textId="39904170"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00B3E6BA" w14:textId="6E2B3AA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104" w:type="dxa"/>
            <w:tcBorders>
              <w:top w:val="nil"/>
              <w:left w:val="nil"/>
              <w:bottom w:val="single" w:sz="4" w:space="0" w:color="auto"/>
              <w:right w:val="single" w:sz="4" w:space="0" w:color="auto"/>
            </w:tcBorders>
            <w:shd w:val="clear" w:color="auto" w:fill="C6EFCE"/>
            <w:noWrap/>
            <w:hideMark/>
          </w:tcPr>
          <w:p w14:paraId="10A721B9" w14:textId="10A210AE"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Darea în funcțiune a unei capacități de stocare a energiei electrice de cel puțin 240 MW, în conformitate cu condițiile aferente principiului de „a nu aduce prejudicii semnificative” prevăzute în Orientările tehnice privind aplicarea principiului de „a nu aduce prejudicii semnificative” (2021/C58/01) și cu condițiile prevăzute în jalonul 136. </w:t>
            </w:r>
          </w:p>
          <w:p w14:paraId="76C579DE"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r>
      <w:tr w:rsidR="000A27B3" w:rsidRPr="000A27B3" w14:paraId="4A8E9619"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278E4ED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140</w:t>
            </w:r>
          </w:p>
        </w:tc>
        <w:tc>
          <w:tcPr>
            <w:tcW w:w="1895" w:type="dxa"/>
            <w:tcBorders>
              <w:top w:val="nil"/>
              <w:left w:val="nil"/>
              <w:bottom w:val="single" w:sz="4" w:space="0" w:color="auto"/>
              <w:right w:val="single" w:sz="4" w:space="0" w:color="auto"/>
            </w:tcBorders>
            <w:shd w:val="clear" w:color="auto" w:fill="C6EFCE"/>
            <w:noWrap/>
          </w:tcPr>
          <w:p w14:paraId="19739DF8"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5. Asigurarea eficienței energetice în sectorul industrial</w:t>
            </w:r>
          </w:p>
        </w:tc>
        <w:tc>
          <w:tcPr>
            <w:tcW w:w="1222" w:type="dxa"/>
            <w:tcBorders>
              <w:top w:val="nil"/>
              <w:left w:val="nil"/>
              <w:bottom w:val="single" w:sz="4" w:space="0" w:color="auto"/>
              <w:right w:val="single" w:sz="4" w:space="0" w:color="auto"/>
            </w:tcBorders>
            <w:shd w:val="clear" w:color="auto" w:fill="C6EFCE"/>
            <w:noWrap/>
            <w:hideMark/>
          </w:tcPr>
          <w:p w14:paraId="0380035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Jalon</w:t>
            </w:r>
          </w:p>
        </w:tc>
        <w:tc>
          <w:tcPr>
            <w:tcW w:w="1759" w:type="dxa"/>
            <w:tcBorders>
              <w:top w:val="nil"/>
              <w:left w:val="nil"/>
              <w:bottom w:val="single" w:sz="4" w:space="0" w:color="auto"/>
              <w:right w:val="single" w:sz="4" w:space="0" w:color="auto"/>
            </w:tcBorders>
            <w:shd w:val="clear" w:color="auto" w:fill="C6EFCE"/>
            <w:noWrap/>
          </w:tcPr>
          <w:p w14:paraId="610D0F0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Lansarea unei proceduri de ofertare pentru investiții în eficiența energetică în industrie </w:t>
            </w:r>
          </w:p>
        </w:tc>
        <w:tc>
          <w:tcPr>
            <w:tcW w:w="1625" w:type="dxa"/>
            <w:tcBorders>
              <w:top w:val="nil"/>
              <w:left w:val="nil"/>
              <w:bottom w:val="single" w:sz="4" w:space="0" w:color="auto"/>
              <w:right w:val="single" w:sz="4" w:space="0" w:color="auto"/>
            </w:tcBorders>
            <w:shd w:val="clear" w:color="auto" w:fill="C6EFCE"/>
            <w:noWrap/>
            <w:hideMark/>
          </w:tcPr>
          <w:p w14:paraId="4D07358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Publicarea caietului de sarcini</w:t>
            </w:r>
          </w:p>
        </w:tc>
        <w:tc>
          <w:tcPr>
            <w:tcW w:w="1088" w:type="dxa"/>
            <w:gridSpan w:val="2"/>
            <w:tcBorders>
              <w:top w:val="nil"/>
              <w:left w:val="nil"/>
              <w:bottom w:val="single" w:sz="4" w:space="0" w:color="auto"/>
              <w:right w:val="single" w:sz="4" w:space="0" w:color="auto"/>
            </w:tcBorders>
            <w:shd w:val="clear" w:color="auto" w:fill="C6EFCE"/>
            <w:noWrap/>
            <w:hideMark/>
          </w:tcPr>
          <w:p w14:paraId="289D1A5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188" w:type="dxa"/>
            <w:tcBorders>
              <w:top w:val="nil"/>
              <w:left w:val="nil"/>
              <w:bottom w:val="single" w:sz="4" w:space="0" w:color="auto"/>
              <w:right w:val="single" w:sz="4" w:space="0" w:color="auto"/>
            </w:tcBorders>
            <w:shd w:val="clear" w:color="auto" w:fill="C6EFCE"/>
            <w:noWrap/>
          </w:tcPr>
          <w:p w14:paraId="2E07579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6AB7FE3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hideMark/>
          </w:tcPr>
          <w:p w14:paraId="2FA167D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T2</w:t>
            </w:r>
          </w:p>
        </w:tc>
        <w:tc>
          <w:tcPr>
            <w:tcW w:w="734" w:type="dxa"/>
            <w:tcBorders>
              <w:top w:val="nil"/>
              <w:left w:val="nil"/>
              <w:bottom w:val="single" w:sz="4" w:space="0" w:color="auto"/>
              <w:right w:val="single" w:sz="4" w:space="0" w:color="auto"/>
            </w:tcBorders>
            <w:shd w:val="clear" w:color="auto" w:fill="C6EFCE"/>
            <w:noWrap/>
            <w:hideMark/>
          </w:tcPr>
          <w:p w14:paraId="5E1887D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2022</w:t>
            </w:r>
          </w:p>
        </w:tc>
        <w:tc>
          <w:tcPr>
            <w:tcW w:w="3104" w:type="dxa"/>
            <w:tcBorders>
              <w:top w:val="nil"/>
              <w:left w:val="nil"/>
              <w:bottom w:val="single" w:sz="4" w:space="0" w:color="auto"/>
              <w:right w:val="single" w:sz="4" w:space="0" w:color="auto"/>
            </w:tcBorders>
            <w:shd w:val="clear" w:color="auto" w:fill="C6EFCE"/>
            <w:noWrap/>
            <w:hideMark/>
          </w:tcPr>
          <w:p w14:paraId="6E20A89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Lansarea cererii de propuneri pentru selectarea proiectelor de eficiență energetică în industrie. Criteriile de selecție vor impune următoarele: </w:t>
            </w:r>
          </w:p>
          <w:p w14:paraId="75F1508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obținerea unei reduceri de cel puțin 30 % a emisiilor indirecte și directe de GES în comparație cu emisiile</w:t>
            </w:r>
            <w:r>
              <w:rPr>
                <w:rFonts w:ascii="Times New Roman" w:hAnsi="Times New Roman"/>
                <w:i/>
                <w:noProof/>
                <w:sz w:val="24"/>
              </w:rPr>
              <w:t xml:space="preserve"> ex ante</w:t>
            </w:r>
            <w:r>
              <w:rPr>
                <w:rFonts w:ascii="Times New Roman" w:hAnsi="Times New Roman"/>
                <w:noProof/>
                <w:sz w:val="24"/>
              </w:rPr>
              <w:t>, care să fie monitorizată prin intermediul unei platforme informatice pentru centralizarea și analiza consumului național de energie;</w:t>
            </w:r>
          </w:p>
          <w:p w14:paraId="45AAF53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respectarea Orientărilor tehnice privind aplicarea principiului de „a nu aduce prejudicii semnificative” (2021/C58/01) prin utilizarea unei liste de excludere și a cerinței de conformitate cu legislația UE și națională relevantă în materie de mediu.</w:t>
            </w:r>
          </w:p>
        </w:tc>
      </w:tr>
      <w:tr w:rsidR="000A27B3" w:rsidRPr="000A27B3" w14:paraId="13DD6219" w14:textId="77777777" w:rsidTr="000048C5">
        <w:trPr>
          <w:trHeight w:val="313"/>
          <w:jc w:val="center"/>
        </w:trPr>
        <w:tc>
          <w:tcPr>
            <w:tcW w:w="818" w:type="dxa"/>
            <w:tcBorders>
              <w:top w:val="nil"/>
              <w:left w:val="single" w:sz="4" w:space="0" w:color="auto"/>
              <w:bottom w:val="single" w:sz="4" w:space="0" w:color="auto"/>
              <w:right w:val="single" w:sz="4" w:space="0" w:color="auto"/>
            </w:tcBorders>
            <w:shd w:val="clear" w:color="auto" w:fill="C6EFCE"/>
            <w:noWrap/>
            <w:hideMark/>
          </w:tcPr>
          <w:p w14:paraId="5B2129B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141</w:t>
            </w:r>
          </w:p>
        </w:tc>
        <w:tc>
          <w:tcPr>
            <w:tcW w:w="1895" w:type="dxa"/>
            <w:tcBorders>
              <w:top w:val="nil"/>
              <w:left w:val="nil"/>
              <w:bottom w:val="single" w:sz="4" w:space="0" w:color="auto"/>
              <w:right w:val="single" w:sz="4" w:space="0" w:color="auto"/>
            </w:tcBorders>
            <w:shd w:val="clear" w:color="auto" w:fill="C6EFCE"/>
            <w:noWrap/>
          </w:tcPr>
          <w:p w14:paraId="224AACF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5. Asigurarea eficienței energetice în sectorul industrial</w:t>
            </w:r>
          </w:p>
        </w:tc>
        <w:tc>
          <w:tcPr>
            <w:tcW w:w="1222" w:type="dxa"/>
            <w:tcBorders>
              <w:top w:val="nil"/>
              <w:left w:val="nil"/>
              <w:bottom w:val="single" w:sz="4" w:space="0" w:color="auto"/>
              <w:right w:val="single" w:sz="4" w:space="0" w:color="auto"/>
            </w:tcBorders>
            <w:shd w:val="clear" w:color="auto" w:fill="C6EFCE"/>
            <w:noWrap/>
            <w:hideMark/>
          </w:tcPr>
          <w:p w14:paraId="25D99AB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Țintă </w:t>
            </w:r>
          </w:p>
        </w:tc>
        <w:tc>
          <w:tcPr>
            <w:tcW w:w="1759" w:type="dxa"/>
            <w:tcBorders>
              <w:top w:val="nil"/>
              <w:left w:val="nil"/>
              <w:bottom w:val="single" w:sz="4" w:space="0" w:color="auto"/>
              <w:right w:val="single" w:sz="4" w:space="0" w:color="auto"/>
            </w:tcBorders>
            <w:shd w:val="clear" w:color="auto" w:fill="C6EFCE"/>
            <w:noWrap/>
          </w:tcPr>
          <w:p w14:paraId="2811B11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Proiectul privind eficiența energetică este finalizat</w:t>
            </w:r>
          </w:p>
        </w:tc>
        <w:tc>
          <w:tcPr>
            <w:tcW w:w="1625" w:type="dxa"/>
            <w:tcBorders>
              <w:top w:val="nil"/>
              <w:left w:val="nil"/>
              <w:bottom w:val="single" w:sz="4" w:space="0" w:color="auto"/>
              <w:right w:val="single" w:sz="4" w:space="0" w:color="auto"/>
            </w:tcBorders>
            <w:shd w:val="clear" w:color="auto" w:fill="C6EFCE"/>
            <w:noWrap/>
            <w:hideMark/>
          </w:tcPr>
          <w:p w14:paraId="49C422F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8" w:type="dxa"/>
            <w:gridSpan w:val="2"/>
            <w:tcBorders>
              <w:top w:val="nil"/>
              <w:left w:val="nil"/>
              <w:bottom w:val="single" w:sz="4" w:space="0" w:color="auto"/>
              <w:right w:val="single" w:sz="4" w:space="0" w:color="auto"/>
            </w:tcBorders>
            <w:shd w:val="clear" w:color="auto" w:fill="C6EFCE"/>
            <w:noWrap/>
            <w:hideMark/>
          </w:tcPr>
          <w:p w14:paraId="047F170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w:t>
            </w:r>
          </w:p>
        </w:tc>
        <w:tc>
          <w:tcPr>
            <w:tcW w:w="1188" w:type="dxa"/>
            <w:tcBorders>
              <w:top w:val="nil"/>
              <w:left w:val="nil"/>
              <w:bottom w:val="single" w:sz="4" w:space="0" w:color="auto"/>
              <w:right w:val="single" w:sz="4" w:space="0" w:color="auto"/>
            </w:tcBorders>
            <w:shd w:val="clear" w:color="auto" w:fill="C6EFCE"/>
            <w:noWrap/>
          </w:tcPr>
          <w:p w14:paraId="1AA26C1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64186E76" w14:textId="0B761820"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p>
        </w:tc>
        <w:tc>
          <w:tcPr>
            <w:tcW w:w="960" w:type="dxa"/>
            <w:tcBorders>
              <w:top w:val="nil"/>
              <w:left w:val="nil"/>
              <w:bottom w:val="single" w:sz="4" w:space="0" w:color="auto"/>
              <w:right w:val="single" w:sz="4" w:space="0" w:color="auto"/>
            </w:tcBorders>
            <w:shd w:val="clear" w:color="auto" w:fill="C6EFCE"/>
            <w:noWrap/>
            <w:hideMark/>
          </w:tcPr>
          <w:p w14:paraId="18529E1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T4</w:t>
            </w:r>
          </w:p>
        </w:tc>
        <w:tc>
          <w:tcPr>
            <w:tcW w:w="734" w:type="dxa"/>
            <w:tcBorders>
              <w:top w:val="nil"/>
              <w:left w:val="nil"/>
              <w:bottom w:val="single" w:sz="4" w:space="0" w:color="auto"/>
              <w:right w:val="single" w:sz="4" w:space="0" w:color="auto"/>
            </w:tcBorders>
            <w:shd w:val="clear" w:color="auto" w:fill="C6EFCE"/>
            <w:noWrap/>
            <w:hideMark/>
          </w:tcPr>
          <w:p w14:paraId="3488213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2025</w:t>
            </w:r>
          </w:p>
        </w:tc>
        <w:tc>
          <w:tcPr>
            <w:tcW w:w="3104" w:type="dxa"/>
            <w:tcBorders>
              <w:top w:val="nil"/>
              <w:left w:val="nil"/>
              <w:bottom w:val="single" w:sz="4" w:space="0" w:color="auto"/>
              <w:right w:val="single" w:sz="4" w:space="0" w:color="auto"/>
            </w:tcBorders>
            <w:shd w:val="clear" w:color="auto" w:fill="C6EFCE"/>
            <w:noWrap/>
            <w:hideMark/>
          </w:tcPr>
          <w:p w14:paraId="656FFA2C" w14:textId="6D6D3ECF"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Finalizarea a cel puțin 30 de proiecte de eficiență energetică în industrie, prin care să se obțină o reducere cu cel puțin 30 % a emisiilor indirecte și directe de GES în comparație cu emisiile </w:t>
            </w:r>
            <w:r>
              <w:rPr>
                <w:rFonts w:ascii="Times New Roman" w:hAnsi="Times New Roman"/>
                <w:i/>
                <w:iCs/>
                <w:noProof/>
                <w:sz w:val="24"/>
              </w:rPr>
              <w:t>ex ante</w:t>
            </w:r>
            <w:r>
              <w:rPr>
                <w:rFonts w:ascii="Times New Roman" w:hAnsi="Times New Roman"/>
                <w:noProof/>
                <w:sz w:val="24"/>
              </w:rPr>
              <w:t xml:space="preserve">, reducere care urmează să fie monitorizată prin intermediul unei platforme informatice pentru centralizarea și analiza consumului național de energie, în conformitate cu condițiile aferente Orientărilor tehnice privind aplicarea principiului de „a nu aduce prejudicii semnificative” (2021/C58/01), astfel cum se prevede în jalonul 140. </w:t>
            </w:r>
          </w:p>
        </w:tc>
      </w:tr>
    </w:tbl>
    <w:p w14:paraId="2F091314" w14:textId="77777777" w:rsidR="00500CF9" w:rsidRPr="009F1DC7" w:rsidRDefault="00500CF9">
      <w:pPr>
        <w:spacing w:before="120" w:after="120" w:line="240" w:lineRule="auto"/>
        <w:ind w:left="850"/>
        <w:jc w:val="both"/>
        <w:rPr>
          <w:rFonts w:ascii="Times New Roman" w:hAnsi="Times New Roman" w:cs="Times New Roman"/>
          <w:noProof/>
          <w:sz w:val="24"/>
          <w:szCs w:val="24"/>
        </w:rPr>
        <w:sectPr w:rsidR="00500CF9" w:rsidRPr="009F1DC7">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417" w:right="1134" w:bottom="1417" w:left="1134" w:header="709" w:footer="709" w:gutter="0"/>
          <w:cols w:space="720"/>
          <w:docGrid w:linePitch="360"/>
        </w:sectPr>
      </w:pPr>
    </w:p>
    <w:p w14:paraId="1670CF4D" w14:textId="77777777" w:rsidR="00500CF9" w:rsidRPr="000A27B3" w:rsidRDefault="00500CF9" w:rsidP="00500CF9">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7: TRANSFORMAREA DIGITALĂ</w:t>
      </w:r>
    </w:p>
    <w:p w14:paraId="00CD7566"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componentă a Planului de redresare și reziliență abordează provocările în materie de digitalizare legate de administrația publică, cum ar fi fragmentarea, interoperabilitatea ca obstacol major în dezvoltarea serviciilor digitale axate pe utilizatorul final, barierele birocratice în calea obținerii autorizațiilor de construcție necesare pentru construirea de rețele, competențele digitale de bază și avansate reduse, expunerea la riscuri cibernetice. În acest context, obiectivul componentei este de a aborda toate aceste provocări și de a realiza o infrastructură digitală coerentă și integrată în beneficiul cetățenilor și al întreprinderilor, furnizând, în același timp, instrumentele necesare (cum ar fi conectivitatea, dezvoltarea competențelor sau securitatea cibernetică) pentru tranziția către o economie și o societate digitalizate. În special, componenta include reformele necesare pentru instituirea cloud-ului guvernamental și pentru asigurarea interoperabilității, îmbunătățirea conectivității, consolidarea protecției și a securității cibernetice a entităților publice și private, precum și sporirea competențelor digitale în sectorul public. Investițiile care stau la baza reformelor includ dezvoltarea cloud-ului guvernamental, digitalizarea sănătății, a sistemului judiciar, a mediului, a ocupării forței de muncă și a protecției sociale, a achizițiilor publice, a organizațiilor neguvernamentale, conectivitatea în zonele albe, asigurarea securității cibernetice pentru diferite structuri și îmbunătățirea atât a competențelor funcționarilor publici, cât și cele ale populației în general. O investiție esențială se referă la introducerea cărții de identitate electronice pentru cetățenii români.</w:t>
      </w:r>
    </w:p>
    <w:p w14:paraId="651D74E9"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Componenta cuprinde 4 reforme și 19 investiții.</w:t>
      </w:r>
    </w:p>
    <w:p w14:paraId="361B0AF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Aceste investiții și reforme vor contribui la punerea în aplicare a recomandărilor specifice adresate României în ultimii doi ani de a „îmbunătăți competențele, inclusiv pe cele digitale” (recomandarea specifică 3, 2019), de a „consolida competențele și învățarea digitală” și de a „direcționa cu prioritate investițiile către tranziția ecologică și digitală, […], infrastructura de servicii digitale” (recomandările specifice 2 și 3, 2020). </w:t>
      </w:r>
    </w:p>
    <w:p w14:paraId="467FFEB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va aduce prejudicii semnificative obiectivelor de mediu, în sensul articolului 17 din Regulamentul (UE) 2020/852, ținând seama de descrierea măsurilor și a măsurilor de atenuare stabilite în Planul de redresare și reziliență în conformitate cu Orientările tehnice DNSH (2021/C58/01).</w:t>
      </w:r>
    </w:p>
    <w:p w14:paraId="375AB427"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G.1. Descrierea reformelor și a investițiilor pentru care se prevede acordarea sprijinului financiar nerambursabil </w:t>
      </w:r>
    </w:p>
    <w:p w14:paraId="2DBE0C91"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1. Dezvoltarea unui cadru unitar pentru definirea arhitecturii unui sistem de tip cloud guvernamental</w:t>
      </w:r>
    </w:p>
    <w:p w14:paraId="6EF4ECB1" w14:textId="11B35A41"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reforme este de a moderniza administrația publică prin adoptarea de tehnologii avansate și prin axarea pe nevoile cetățenilor și ale întreprinderilor, asigurând, în același timp, condițiile prealabile pentru elaborarea de politici bazate pe date și sporind interoperabilitatea tehnologiilor digitale existente. În plus, reforma va sprijini dezvoltarea unei arhitecturi integrate a serviciilor digitale publice.</w:t>
      </w:r>
    </w:p>
    <w:p w14:paraId="45293038"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Punerea în aplicare a acestei reforme va consta în două linii de acțiune. În primul rând, se preconizează că intrarea în vigoare a Legii privind interoperabilitatea sistemelor informatice va detalia setul uniform de standarde și norme pe care entitățile publice le vor aplica pentru dezvoltarea aplicațiilor într-un mediu sigur și durabil, aliniindu-se, în același timp, la Cadrul european de interoperabilitate. În al doilea rând, se preconizează că intrarea în vigoare a Legii privind cloud-ul guvernamental va stabili responsabilitățile și sarcinile legate de proiectarea, implementarea, dezvoltarea și gestionarea infrastructurii, tehnologiilor și serviciilor de cloud. Se va asigura securitatea cibernetică atât pentru protecția externă, cât și pentru cea internă a cloud-ului, aplicând soluțiile cele mai avansate și mai eficiente din punct de vedere economic disponibile în materie de securitate cibernetică. </w:t>
      </w:r>
    </w:p>
    <w:p w14:paraId="582BC02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Se preconizează înființarea unui grup operativ temporar format din specialiști pentru monitorizarea și punerea în aplicare a tuturor măsurilor legate de domeniul digital din Planul de redresare și reziliență al României.</w:t>
      </w:r>
    </w:p>
    <w:p w14:paraId="2177F3B6"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reformei se va finaliza până la 30 iunie 2022.</w:t>
      </w:r>
    </w:p>
    <w:p w14:paraId="11CD488A" w14:textId="526D24D2"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 xml:space="preserve">Reforma 2. Tranziția către atingerea obiectivelor de conectivitate UE 2025 și stimularea investițiilor private pentru dezvoltarea rețelelor de foarte mare capacitate </w:t>
      </w:r>
    </w:p>
    <w:p w14:paraId="0B648B30"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reforme este de a accelera introducerea la nivel național a rețelelor 5G, în conformitate cu reglementările în materie de securitate, și de a oferi acoperire în bandă largă zonelor albe (localități rurale mici, localități izolate, zone locuite defavorizate), abordând decalajul digital rural - urban, reducând sarcina administrativă și raționalizând procedurile și taxele și creând premisele pentru un acces egal la serviciile digitale și accesul la internet.</w:t>
      </w:r>
    </w:p>
    <w:p w14:paraId="2B3C54A1"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Reforma va include mai multe acțiuni:</w:t>
      </w:r>
    </w:p>
    <w:p w14:paraId="4487741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Punerea în aplicare a foii de parcurs a României prin aplicarea setului de instrumente privind conectivitatea</w:t>
      </w:r>
      <w:r w:rsidRPr="000A27B3">
        <w:rPr>
          <w:rFonts w:ascii="Times New Roman" w:hAnsi="Times New Roman" w:cs="Times New Roman"/>
          <w:noProof/>
          <w:sz w:val="24"/>
          <w:szCs w:val="24"/>
          <w:bdr w:val="none" w:sz="0" w:space="0" w:color="auto" w:frame="1"/>
          <w:lang w:val="en-GB"/>
        </w:rPr>
        <w:footnoteReference w:id="11"/>
      </w:r>
      <w:r>
        <w:rPr>
          <w:rFonts w:ascii="Times New Roman" w:hAnsi="Times New Roman"/>
          <w:noProof/>
          <w:sz w:val="24"/>
          <w:bdr w:val="none" w:sz="0" w:space="0" w:color="auto" w:frame="1"/>
        </w:rPr>
        <w:t>. Se preconizează că România va pune în aplicare 12 dintre cele 39 de recomandări incluse în setul de instrumente de la nivelul UE.</w:t>
      </w:r>
    </w:p>
    <w:p w14:paraId="1B7C5FE8"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Intrarea în vigoare a Legii privind securitatea rețelelor 5G. care va prevedea faptul că furnizorii de comunicații vor putea utiliza în rețelele 5G numai tehnologii, echipamente și programe software de la producători autorizați în prealabil printr-o decizie a primului ministru, pe baza avizului Consiliului Suprem de Apărare a Țării. Fiecare producător de echipamente și programe software 5G va trebui să facă o solicitare pentru obținerea acestei autorizări, solicitare care va fi depusă la ministerul cu atribuții în domeniul comunicațiilor.</w:t>
      </w:r>
    </w:p>
    <w:p w14:paraId="0D7815C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(Licitația pentru) acordarea așa-numitelor „licențe 5G” (și anume, în benzile de 700 MHz, 1 500 MHz și 3,4-3,8 GHz). Sunt avute în vedere licențe pe termen lung în conformitate cu criteriile Codului european al comunicațiilor electronice, pentru a stimula în mod eficient tehnologia 5G, pentru a promova concurența și drepturile utilizatorilor finali.</w:t>
      </w:r>
    </w:p>
    <w:p w14:paraId="52E96776"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reformei se va finaliza până la 30 septembrie 2022.</w:t>
      </w:r>
    </w:p>
    <w:p w14:paraId="5F32FBB9"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3. Asigurarea securității cibernetice a entităților publice și private care dețin infrastructuri cu valențe critice</w:t>
      </w:r>
    </w:p>
    <w:p w14:paraId="41EFCA97"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Obiectivul acestei reforme este de a continua procesul de consolidare a rezilienței entităților publice și private care dețin infrastructură critică împotriva riscurilor cibernetice. </w:t>
      </w:r>
    </w:p>
    <w:p w14:paraId="273BC94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Punerea în aplicare a acestei reforme va stabili cadrul juridic și instituțional pentru organizarea și desfășurarea de activități în domeniul securității cibernetice și al apărării cibernetice, al mecanismelor de cooperare și al responsabilităților instituțiilor în aceste domenii, prin finalizarea și intrarea în vigoare a Legii privind apărarea și securitatea cibernetică. În plus, Centrul Național Cyberint coordonează pregătirea Strategiei naționale de securitate cibernetică 2021-2026, care include dispoziții privind evaluările și actualizările periodice ale cadrului instituțional și de reglementare în materie de securitate cibernetică, cu scopul de a consolida parteneriatul dintre sectorul public, cel privat și mediul academic în vederea creșterii rezilienței cibernetice a societății în ansamblu, dezvoltării capacității de reacție la atacurile cibernetice și rezilienței sistemelor, rețelelor și serviciilor și consolidării rolului României în arhitectura securității cibernetice de la nivel internațional.</w:t>
      </w:r>
    </w:p>
    <w:p w14:paraId="3BA5EBD5"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reformei se va finaliza până la 31 decembrie 2022.</w:t>
      </w:r>
    </w:p>
    <w:p w14:paraId="67551CF3"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Reforma 4. Creșterea competențelor digitale pentru exercitarea funcției publice și educație digitală pe parcursul vieții pentru cetățeni</w:t>
      </w:r>
    </w:p>
    <w:p w14:paraId="4744768F"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reforme este de a sprijini digitalizarea economiei și tranziția către industria 4.0 și de a alinia piața forței de muncă la cele mai recente evoluții din acest sector.</w:t>
      </w:r>
    </w:p>
    <w:p w14:paraId="28853573"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Reforma va fi pusă în aplicare prin intrarea în vigoare a modificărilor aduse Codului clasificărilor ocupațiilor, inclusiv a definiției noilor ocupații digitale, echivalente cu cele din alte țări ale UE. Se va efectua o analiză, precum și consultări cu universitățile și cu alte părți interesate relevante.</w:t>
      </w:r>
    </w:p>
    <w:p w14:paraId="19604D07"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reformei se va finaliza până la 30 septembrie 2022.</w:t>
      </w:r>
    </w:p>
    <w:p w14:paraId="1E77CDA0"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 Implementarea infrastructurii de cloud guvernamental</w:t>
      </w:r>
    </w:p>
    <w:p w14:paraId="751842EC"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implementa infrastructura de cloud guvernamental, utilizând tehnologii sigure și eficiente din punct de vedere energetic pentru a asigura caracterul sigur, interoperabil și standard al datelor publice. </w:t>
      </w:r>
    </w:p>
    <w:p w14:paraId="3ECC42BB" w14:textId="26C62C03"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acestei investiții include: i) construirea de centre de date Tier IV de la momentul conceperii pentru cele două centre principale de date și Tier III de la momentul conceperii pentru cele secundare, ii) furnizarea unei infrastructuri specifice pentru tehnologia informației și comunicațiilor, iii) dezvoltarea și extinderea infrastructurii de sprijin (energie electrică, măsuri de securitate fizică), iv) implementarea unei infrastructuri TIC scalabile și cu disponibilitate ridicată în fiecare centru de date. Centrele de date vor respecta Codul european de conduită privind eficiența energetică a centrelor de date</w:t>
      </w:r>
      <w:r w:rsidRPr="000A27B3">
        <w:rPr>
          <w:rFonts w:ascii="Times New Roman" w:eastAsia="Times New Roman" w:hAnsi="Times New Roman" w:cs="Times New Roman"/>
          <w:noProof/>
          <w:sz w:val="24"/>
          <w:vertAlign w:val="superscript"/>
          <w:lang w:val="en-GB"/>
        </w:rPr>
        <w:footnoteReference w:id="12"/>
      </w:r>
      <w:r>
        <w:rPr>
          <w:rFonts w:ascii="Times New Roman" w:hAnsi="Times New Roman"/>
          <w:noProof/>
          <w:sz w:val="24"/>
        </w:rPr>
        <w:t xml:space="preserve">. </w:t>
      </w:r>
    </w:p>
    <w:p w14:paraId="3D28E876"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Punerea în aplicare a acestei investiții va fi sprijinită printr-o evaluare efectuată de un consultant extern, care se așteaptă să furnizeze opțiunile strategice și tehnologice și pachetul legislativ și de reglementare pentru a stabili realizarea cloud-ului guvernamental, posibilitățile de construcție, livrare, instalare și exploatare a infrastructurilor civile și tehnologice în conformitate cu termenele stabilite în plan, cartografierea aplicațiilor/serviciilor digitale publice oferite în prezent de autoritățile de stat, proiectarea proceselor și a procedurilor puse în aplicare în etapele de producție și/sau de implementare, precum și planul de dezvoltare/migrare la cloud a aplicațiilor cartografiate.</w:t>
      </w:r>
    </w:p>
    <w:p w14:paraId="656AB940"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Cel puțin 30 de instituții publice vor fi conectate la cloud-ul guvernamental și îl vor utiliza.</w:t>
      </w:r>
    </w:p>
    <w:p w14:paraId="4A51C9E8" w14:textId="77777777" w:rsidR="00500CF9" w:rsidRPr="000A27B3" w:rsidRDefault="00500CF9">
      <w:pPr>
        <w:spacing w:before="120" w:after="0" w:line="240" w:lineRule="auto"/>
        <w:textAlignment w:val="baseline"/>
        <w:rPr>
          <w:rFonts w:ascii="Times New Roman" w:eastAsia="Times New Roman" w:hAnsi="Times New Roman" w:cs="Times New Roman"/>
          <w:noProof/>
          <w:sz w:val="24"/>
        </w:rPr>
        <w:sectPr w:rsidR="00500CF9" w:rsidRPr="000A27B3" w:rsidSect="00ED6412">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r>
        <w:rPr>
          <w:rFonts w:ascii="Times New Roman" w:hAnsi="Times New Roman"/>
          <w:noProof/>
          <w:sz w:val="24"/>
        </w:rPr>
        <w:t>Implementarea investiției va fi finalizată până la 31 decembrie 2025.</w:t>
      </w:r>
    </w:p>
    <w:p w14:paraId="3EBB9436"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2. Dezvoltarea cloudului și migrarea în cloud </w:t>
      </w:r>
    </w:p>
    <w:p w14:paraId="3D31A7AB"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moderniza tehnologiile utilizate în instituțiile publice astfel încât acestea să fie dezvoltate pentru cloud (</w:t>
      </w:r>
      <w:r>
        <w:rPr>
          <w:rFonts w:ascii="Times New Roman" w:hAnsi="Times New Roman"/>
          <w:i/>
          <w:noProof/>
          <w:sz w:val="24"/>
        </w:rPr>
        <w:t>cloud ready</w:t>
      </w:r>
      <w:r>
        <w:rPr>
          <w:rFonts w:ascii="Times New Roman" w:hAnsi="Times New Roman"/>
          <w:noProof/>
          <w:sz w:val="24"/>
        </w:rPr>
        <w:t>), dezvoltând, în același timp, noi aplicații native pentru migrația în cloud. </w:t>
      </w:r>
    </w:p>
    <w:p w14:paraId="34FA32F9"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Se preconizează că prin punerea în aplicare a acestei investiții un număr minim de aplicații vor fi dezvoltate pentru cloud (</w:t>
      </w:r>
      <w:r>
        <w:rPr>
          <w:rFonts w:ascii="Times New Roman" w:hAnsi="Times New Roman"/>
          <w:i/>
          <w:noProof/>
          <w:sz w:val="24"/>
        </w:rPr>
        <w:t>cloud ready</w:t>
      </w:r>
      <w:r>
        <w:rPr>
          <w:rFonts w:ascii="Times New Roman" w:hAnsi="Times New Roman"/>
          <w:noProof/>
          <w:sz w:val="24"/>
        </w:rPr>
        <w:t>)/virtualizate pentru a migra în cloud, pe baza analizei care va fi elaborată de consultantul extern pentru a sprijini guvernul în implementarea cloud-ului guvernamental. Se preconizează că cel puțin 30 de aplicații de servicii digitale guvernamentale dezvoltate pentru cloud (</w:t>
      </w:r>
      <w:r>
        <w:rPr>
          <w:rFonts w:ascii="Times New Roman" w:hAnsi="Times New Roman"/>
          <w:i/>
          <w:noProof/>
          <w:sz w:val="24"/>
        </w:rPr>
        <w:t>cloud ready</w:t>
      </w:r>
      <w:r>
        <w:rPr>
          <w:rFonts w:ascii="Times New Roman" w:hAnsi="Times New Roman"/>
          <w:noProof/>
          <w:sz w:val="24"/>
        </w:rPr>
        <w:t>)vor migra către soluții de tip platformă ca serviciu (PaaS) sau infrastructură ca serviciu (IaaS).</w:t>
      </w:r>
    </w:p>
    <w:p w14:paraId="7D824AD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2026.</w:t>
      </w:r>
    </w:p>
    <w:p w14:paraId="0A7E8994" w14:textId="77777777" w:rsidR="00500CF9" w:rsidRPr="000A27B3" w:rsidRDefault="00500CF9">
      <w:pPr>
        <w:pStyle w:val="Standard"/>
        <w:spacing w:before="240"/>
        <w:jc w:val="both"/>
        <w:rPr>
          <w:rFonts w:ascii="Times New Roman" w:eastAsia="Times New Roman" w:hAnsi="Times New Roman" w:cs="Times New Roman"/>
          <w:i/>
          <w:noProof/>
        </w:rPr>
      </w:pPr>
      <w:r>
        <w:rPr>
          <w:noProof/>
          <w:u w:val="single"/>
        </w:rPr>
        <w:t>Investiția 3. Realizarea sistemului de eHealth și telemedicină </w:t>
      </w:r>
    </w:p>
    <w:p w14:paraId="3370BA53"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Obiectivul acestei investiții este de a reduce timpul de lucru al personalului medical, al funcționarilor Casei Naționale de Asigurări de Sănătate și ai Casei de Asigurări de Sănătate, asigurând în același timp securitatea cibernetică a Platformei informatice a asigurărilor de sănătate (PIAS). Capacitatea instituțiilor sanitare centrale, regionale și locale va fi consolidată suplimentar pentru a gestiona digital datele privind sănătatea, iar adoptarea soluțiilor de telemedicină va fi accelerată. </w:t>
      </w:r>
    </w:p>
    <w:p w14:paraId="06A8C78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Investiția vizează, de asemenea, promovarea integrării instituțiilor sanitare prin intermediul infrastructurii digitale, facilitarea accesului la date pentru Ministerul Sănătății și alte părți interesate (cum ar fi direcțiile de sănătate publică), reducerea fragmentării și îmbunătățirea calității datelor privind sănătatea. </w:t>
      </w:r>
    </w:p>
    <w:p w14:paraId="13FBB441"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vizează, de asemenea, sporirea accesului zonelor rurale și al zonelor urbane mici și al grupurilor vulnerabile la consultații specializate, reducând în același timp timpul de așteptare prin utilizarea telemedicinei. Sporirea accesului la informații și la educație pentru a preveni sarcinile neplanificate, precum și planificarea familială sunt, de asemenea, vizate de telemedicină.</w:t>
      </w:r>
    </w:p>
    <w:p w14:paraId="3A3EE127"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În etapa de punere în aplicare a acestei investiții vor fi urmate mai multe etape. În primul rând, se va efectua o evaluare a nevoilor pentru PIAS actual, cartografiind infrastructura disponibilă și lacunele existente. În al doilea rând, PIAS va fi transformat, printr-o soluție software, dintr-un sistem modular și fragmentat într-un sistem interoperabil, ușor de utilizat și care are fluxuri de date optimizate, o monitorizare electronică a obiectivelor, activităților și indicatorilor de performanță ai furnizorilor de servicii medicale și noi funcționalități (cum ar fi digitalizarea documentelor medicale). Rolul PIAS nu se va mai limita la Casa Națională de Asigurări de Sănătate, prin dezvoltarea de module suplimentare pentru toate instituțiile implicate în politicile de sănătate de la nivel național pentru registrele modulare de boli și interfața pentru telemedicină și monitorizarea pacienților. Se preconizează că va fi sprijinită comunicarea dintre pacient și medic, precum și dintre medici, punându-se accentul în special pe grupurile sau regiunile vulnerabile. Investiția se va baza pe formare și pe achiziționarea de echipamente. În plus, vor fi dezvoltate noi module și aplicații informatice, precum și noi sisteme digitale de înregistrare și administrare, bazate pe date interoperabile și centralizate. Sistemul de telemedicină va fi conceput de așa manieră încât să le ofere pacienților din zonele rurale și din zonele urbane mici acces la consultații specializate în timp real și asincron.</w:t>
      </w:r>
    </w:p>
    <w:p w14:paraId="19507035"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se va finaliza până la 30 septembrie 2025.</w:t>
      </w:r>
    </w:p>
    <w:p w14:paraId="3DED6F54" w14:textId="77777777" w:rsidR="00500CF9" w:rsidRPr="009F1DC7" w:rsidRDefault="00500CF9">
      <w:pPr>
        <w:spacing w:before="120" w:after="0" w:line="240" w:lineRule="auto"/>
        <w:jc w:val="both"/>
        <w:textAlignment w:val="baseline"/>
        <w:rPr>
          <w:rFonts w:ascii="Times New Roman" w:eastAsia="Times New Roman" w:hAnsi="Times New Roman" w:cs="Times New Roman"/>
          <w:noProof/>
          <w:sz w:val="24"/>
          <w:lang w:val="fr-FR"/>
        </w:rPr>
        <w:sectPr w:rsidR="00500CF9" w:rsidRPr="009F1DC7">
          <w:headerReference w:type="even" r:id="rId144"/>
          <w:headerReference w:type="default" r:id="rId145"/>
          <w:footerReference w:type="even" r:id="rId146"/>
          <w:footerReference w:type="default" r:id="rId147"/>
          <w:headerReference w:type="first" r:id="rId148"/>
          <w:footerReference w:type="first" r:id="rId149"/>
          <w:pgSz w:w="12240" w:h="15840"/>
          <w:pgMar w:top="1134" w:right="1418" w:bottom="1134" w:left="1418" w:header="709" w:footer="709" w:gutter="0"/>
          <w:cols w:space="708"/>
          <w:docGrid w:linePitch="360"/>
        </w:sectPr>
      </w:pPr>
    </w:p>
    <w:p w14:paraId="58D4CDB2"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4. Digitalizarea sistemului judiciar</w:t>
      </w:r>
    </w:p>
    <w:p w14:paraId="76E3F9E1" w14:textId="34C53B5C"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Obiectivul acestei investiții este de a sprijini pregătirea și tranziția sistemului judiciar din România către un sistem centralizat de management electronic al cauzelor. România dezvoltă deja, utilizând alte fonduri ale UE, sistemul ECRIS (Sistemul electronic de management al cauzelor), iar planul de redresare și reziliență va completa eforturile în acest sens. </w:t>
      </w:r>
    </w:p>
    <w:p w14:paraId="22F6333D"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următoarele acțiuni:</w:t>
      </w:r>
    </w:p>
    <w:p w14:paraId="5A18606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tranziția tehnică de la serverele locale la cele centrale partajate – acest lucru va optimiza gestionarea și utilizarea resurselor tehnice (servere centrale, centre de date, servere de virtualizare);</w:t>
      </w:r>
    </w:p>
    <w:p w14:paraId="743861C8"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modernizarea și finalizarea infrastructurii tehnice pentru munca de la distanță și digitalizarea documentelor, cu scopul de a spori reziliența sistemului judiciar;</w:t>
      </w:r>
    </w:p>
    <w:p w14:paraId="320C1F3B"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îmbunătățirea capacităților în materie de securitate cibernetică (prin furnizare de echipamente și formare) atât la nivel central, cât și local (în special pentru instanțe, dar și pentru parchete)ș </w:t>
      </w:r>
    </w:p>
    <w:p w14:paraId="1616F1BA"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punerea în aplicare a unui nou sistem care să permită videoconferințele securizate pentru participarea judecătorilor la activități online la nivelul Înaltei Curți de Casație și Justiție;</w:t>
      </w:r>
    </w:p>
    <w:p w14:paraId="09443781"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sprijinirea finalizării sistemului ECRIS V, care este elementul central al transformării digitale a sistemului judiciar din România. Dezvoltarea sistemului, o parte din achizițiile pentru software-ul aferent și echipamentele auxiliare, precum și formarea utilizatorilor sunt finanțate prin programul operațional „Capacitate administrativă”. În cadrul planului de redresare și reziliență, vor fi finanțate măsuri complementare (cum ar fi: achizițiile pentru o parte din echipamentul de sprijin ca parte a proiectului de virtualizare, care va facilita tranziția de la ECRIS IV la ECRIS V, înființarea centrului de date pentru sistemul judiciar care va găzdui, de asemenea, ECRIS V, achiziționarea de calculatoare și alte echipamente pentru utilizatorii finali). </w:t>
      </w:r>
    </w:p>
    <w:p w14:paraId="1911F58E" w14:textId="208E73EE" w:rsidR="00500CF9" w:rsidRPr="000A27B3" w:rsidRDefault="00500CF9">
      <w:p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Această investiție stă la baza Strategiei de dezvoltare a sistemului judiciar 2022-2025, care include măsuri specifice pentru asigurarea interacțiunii digitale dintre justițiabil și orice entitate interesată cu sistemul judiciar, semnătura electronică și sigiliul electronic, disponibilitatea unei comunicări îmbunătățite a datelor pentru dosarul electronic (care reprezintă o opțiune pentru ca justițiabilii să aibă acces electronic la dosarele judiciare), elaborarea unei strategii la nivelul întregului sector judiciar pentru digitalizarea arhivei fizice (jalonul 421).</w:t>
      </w:r>
    </w:p>
    <w:p w14:paraId="61060A12" w14:textId="77777777" w:rsidR="00500CF9" w:rsidRPr="000A27B3" w:rsidRDefault="00500CF9" w:rsidP="00ED6412">
      <w:p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3FBD4B4D" w14:textId="77777777" w:rsidR="00500CF9" w:rsidRPr="000A27B3" w:rsidRDefault="00500CF9" w:rsidP="00ED6412">
      <w:p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30 iunie 2026.</w:t>
      </w:r>
    </w:p>
    <w:p w14:paraId="5BFE9EFD"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5. Digitalizare în domeniul mediului</w:t>
      </w:r>
    </w:p>
    <w:p w14:paraId="52263DD4"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implementa un sistem informatic integrat pentru a sprijini dezvoltarea durabilă, a îmbunătăți infrastructura și calitatea mediului, a proteja natura și a conserva biodiversitatea.</w:t>
      </w:r>
    </w:p>
    <w:p w14:paraId="201ED9C4" w14:textId="140237D2"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două acțiuni principale:</w:t>
      </w:r>
    </w:p>
    <w:p w14:paraId="1EAE02B2" w14:textId="1CC89B78" w:rsidR="00500CF9" w:rsidRPr="000A27B3" w:rsidRDefault="00500CF9" w:rsidP="00ED6412">
      <w:pPr>
        <w:numPr>
          <w:ilvl w:val="0"/>
          <w:numId w:val="60"/>
        </w:numPr>
        <w:shd w:val="clear" w:color="auto" w:fill="FFFFFF"/>
        <w:spacing w:before="120" w:after="0" w:line="240" w:lineRule="auto"/>
        <w:ind w:left="426" w:hanging="426"/>
        <w:jc w:val="both"/>
        <w:rPr>
          <w:rFonts w:ascii="Trebuchet MS" w:eastAsia="Times New Roman" w:hAnsi="Trebuchet MS" w:cs="Times New Roman"/>
          <w:noProof/>
        </w:rPr>
      </w:pPr>
      <w:r>
        <w:rPr>
          <w:rFonts w:ascii="Times New Roman" w:hAnsi="Times New Roman"/>
          <w:noProof/>
          <w:sz w:val="24"/>
          <w:bdr w:val="none" w:sz="0" w:space="0" w:color="auto" w:frame="1"/>
        </w:rPr>
        <w:t xml:space="preserve">dezvoltarea infrastructurii necesare pentru supravegherea, controlul și asigurarea integrității pădurilor și pentru transportul lemnului. Acest sistem va fi implementat în două etape (instalarea și configurarea sistemului informatic și implementarea unor soluții de securitate pentru asigurarea confidențialității, formării și operaționalizării unei platforme pentru investigații și alerte). </w:t>
      </w:r>
      <w:r>
        <w:rPr>
          <w:rFonts w:ascii="Times New Roman" w:hAnsi="Times New Roman"/>
          <w:noProof/>
          <w:sz w:val="24"/>
        </w:rPr>
        <w:t xml:space="preserve">Sistemul va fi integrat în SUMAL 2.0 (sistemul românesc de urmărire a materialelor lemnoase) și va monitoriza îndeplinirea obligațiile legale legate de recoltarea lemnului, regenerarea în timp util a pădurilor, sănătatea pădurilor și </w:t>
      </w:r>
      <w:r>
        <w:rPr>
          <w:rFonts w:ascii="Times New Roman" w:hAnsi="Times New Roman"/>
          <w:noProof/>
          <w:sz w:val="24"/>
          <w:bdr w:val="none" w:sz="0" w:space="0" w:color="auto" w:frame="1"/>
        </w:rPr>
        <w:t>starea de conservare a habitatelor forestiere (cum ar fi pierderea de suprafață forestieră și câștigarea de suprafață forestieră)</w:t>
      </w:r>
      <w:r>
        <w:rPr>
          <w:rFonts w:ascii="Times New Roman" w:hAnsi="Times New Roman"/>
          <w:noProof/>
          <w:sz w:val="24"/>
        </w:rPr>
        <w:t>.</w:t>
      </w:r>
      <w:r>
        <w:rPr>
          <w:rFonts w:ascii="Times New Roman" w:hAnsi="Times New Roman"/>
          <w:noProof/>
          <w:sz w:val="24"/>
          <w:bdr w:val="none" w:sz="0" w:space="0" w:color="auto" w:frame="1"/>
        </w:rPr>
        <w:t xml:space="preserve"> </w:t>
      </w:r>
      <w:r>
        <w:rPr>
          <w:rFonts w:ascii="Times New Roman" w:hAnsi="Times New Roman"/>
          <w:noProof/>
          <w:sz w:val="24"/>
        </w:rPr>
        <w:t>Registrul funciar forestier, astfel cum este prevăzut de sistemul național eTerra3 (baza de date a proprietății funciare), este inclus în SUMAL 2.0 prin intermediul interfeței de programare a aplicațiilor (API) pentru a obține un set complet de date privind drepturile de proprietate și de administrare. Sistemul trebuie să aibă trei componente principale: (i) compararea imaginilor prin satelit (automată și la cerere) pentru a detecta modificările acoperirii forestiere; (ii) monitorizarea transportului de cherestea cu ajutorul camerelor de supraveghere video asistate de inteligență artificială; (iii) un model forestier digital obținut prin scanare aeriană și terestră LiDAR (densitate mare – peste 30 puncte/m²).</w:t>
      </w:r>
      <w:r w:rsidR="004C4C72">
        <w:rPr>
          <w:rFonts w:ascii="Times New Roman" w:hAnsi="Times New Roman"/>
          <w:noProof/>
          <w:sz w:val="24"/>
        </w:rPr>
        <w:t xml:space="preserve"> </w:t>
      </w:r>
      <w:r>
        <w:rPr>
          <w:rFonts w:ascii="Times New Roman" w:hAnsi="Times New Roman"/>
          <w:noProof/>
          <w:sz w:val="24"/>
          <w:bdr w:val="none" w:sz="0" w:space="0" w:color="auto" w:frame="1"/>
        </w:rPr>
        <w:t>Centrele de date vor respecta Codul european de conduită privind eficiența energetică a centrelor de date.</w:t>
      </w:r>
    </w:p>
    <w:p w14:paraId="5CE7A6AE"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digitalizarea unui număr de 32 de servicii publice de mediu [de exemplu, transmiterea datelor și a informațiilor necesare pentru calcularea și raportarea inventarelor de emisii, raportarea privind Natura 2000, conservarea naturii – servicii privind derogările și capturile accidentale de specii strict protejate, gestionarea registrului național al grădinilor zoologice, acvariilor publice și centrelor de reabilitare, serviciul de gestionare a ecosistemelor, planurile de gestionare a zonelor naturale protejate, gestionarea registrului autorizațiilor emise de agențiile de mediu județene pentru activitățile de recoltare/capturare și/sau comercializare a speciilor de floră și faună sălbatică efectuate de persoane fizice și juridice, gestionarea procedurilor de notificare și autorizare în domeniul MMG-urilor (microorganismelor modificate genetic) și al OMG-urilor (organismelor modificate genetic), notificările de serviciu public SEVESO – serviciul de transmitere de notificări cu privire la accidente/incidente de către operatorii economici, precum și de notificări ale clasificărilor în sensul Directivei 2012/18/UE (SEVESO III), asigurându-se interoperabilitatea cu IGSU, serviciul de înregistrare EMAS – care gestionează organizațiile care aderă la un sistem comunitar de management de mediu și audit, aplicația EPRTR pentru raportarea de către operatorii economici, Serviciul pentru emisii industriale, Serviciul de eliberare a permiselor, acordurilor, autorizațiilor și permiselor integrate de mediu integrate în sistemul de gestionare a documentelor, serviciul public sol-subsol (gestionarea datelor privind identificarea și remedierea siturilor contaminate sau potențial contaminate), serviciul public de analiză de laborator în domeniul deșeurilor, al zgomotului, al radioactivității, al generării de deșeuri și al serviciilor de raportare a gestionării, serviciile de raportare privind generarea și gestionarea deșeurilor de ambalaje, serviciul de raportare privind vehiculele scoase din uz, serviciul de aprobare/refuzare a transporturilor transfrontaliere de deșeuri, serviciul de înregistrare a producătorilor de baterii și acumulatori, serviciul de înregistrare a producătorilor de echipamente electrice și electronice și de raportare a datelor privind generarea și gestionarea deșeurilor de echipamente electrice și electronice, serviciul de raportare a substanțelor chimice în conformitate cu articolul 36 din Regulamentul 1907/2006 – REACH - și cu articolele 46 și 49 din Regulamentul 1272/2008 – CLP, rapoartele de securitate pentru siturile de nivel înalt, politica de prevenire a accidentelor majore pentru siturile de nivel scăzut, planul de urgență, efectul de domino între instalații, în conformitate cu punerea în aplicare a Directivei SEVESO III a UE, serviciul de solicitare a etichetei ecologice pentru persoane juridice, serviciul de prezentare a cazurilor de daune aduse mediului înregistrate în România, monitorizarea emisiilor provenite de la instalații medii de ardere, serviciul public de autorizare a emisiilor de gaze cu efect de seră, serviciul de înregistrare pentru operatorii economici care nu fac obiectul autorizației de mediu în vederea îndeplinirii cerințelor stabilite de Directiva 2008/98 a UE, serviciul de emitere a aprobărilor și a rapoartelor de evaluare (pentru produse biocide, produse de protecție a plantelor și îngrășăminte), serviciul de raportare a datelor pentru colectarea selectivă a deșeurilor în instituțiile publice]</w:t>
      </w:r>
      <w:r>
        <w:rPr>
          <w:rFonts w:ascii="Times New Roman" w:hAnsi="Times New Roman"/>
          <w:noProof/>
          <w:sz w:val="24"/>
        </w:rPr>
        <w:t>.</w:t>
      </w:r>
    </w:p>
    <w:p w14:paraId="3DF24564" w14:textId="77777777" w:rsidR="00500CF9" w:rsidRPr="000A27B3" w:rsidRDefault="00500CF9">
      <w:pPr>
        <w:spacing w:after="0" w:line="240" w:lineRule="auto"/>
        <w:contextualSpacing/>
        <w:textAlignment w:val="baseline"/>
        <w:rPr>
          <w:rFonts w:ascii="Times New Roman" w:eastAsia="Times New Roman" w:hAnsi="Times New Roman" w:cs="Times New Roman"/>
          <w:noProof/>
          <w:sz w:val="24"/>
        </w:rPr>
        <w:sectPr w:rsidR="00500CF9" w:rsidRPr="000A27B3">
          <w:headerReference w:type="even" r:id="rId150"/>
          <w:headerReference w:type="default" r:id="rId151"/>
          <w:footerReference w:type="even" r:id="rId152"/>
          <w:footerReference w:type="default" r:id="rId153"/>
          <w:headerReference w:type="first" r:id="rId154"/>
          <w:footerReference w:type="first" r:id="rId155"/>
          <w:pgSz w:w="12240" w:h="15840"/>
          <w:pgMar w:top="1134" w:right="1418" w:bottom="1134" w:left="1418" w:header="709" w:footer="709" w:gutter="0"/>
          <w:cols w:space="708"/>
          <w:docGrid w:linePitch="360"/>
        </w:sectPr>
      </w:pPr>
      <w:r>
        <w:rPr>
          <w:rFonts w:ascii="Times New Roman" w:hAnsi="Times New Roman"/>
          <w:noProof/>
          <w:sz w:val="24"/>
        </w:rPr>
        <w:t>Implementarea investiției va fi finalizată până la 30 iunie 2026.</w:t>
      </w:r>
    </w:p>
    <w:p w14:paraId="125CE18D"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6.</w:t>
      </w:r>
      <w:r>
        <w:rPr>
          <w:rFonts w:ascii="Times New Roman" w:hAnsi="Times New Roman"/>
          <w:noProof/>
          <w:u w:val="single"/>
        </w:rPr>
        <w:t xml:space="preserve"> Digitalizarea în domeniul muncii și protecției sociale</w:t>
      </w:r>
    </w:p>
    <w:p w14:paraId="104597FF"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spori nivelul digitalizării pentru mai multe servicii din domeniul muncii și al protecției sociale, pe baza achiziționării de echipamente și a formării personalului.</w:t>
      </w:r>
    </w:p>
    <w:p w14:paraId="58E4C6D6"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mai multe acțiuni:</w:t>
      </w:r>
    </w:p>
    <w:p w14:paraId="5BACD83B"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digitalizarea serviciilor oferite de ANOFM (Agenția Națională pentru Ocuparea Forței de Muncă) (cum ar fi depunerea online a documentelor pentru înregistrarea beneficiarilor și acordarea de prestații, posibilitatea de a se înregistra și de a participa la cursuri de formare online și evaluarea competențelor profesionale, sesiuni de consiliere online) și modernizarea infrastructurii;</w:t>
      </w:r>
    </w:p>
    <w:p w14:paraId="10F03D22"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digitalizarea Inspectoratului Teritorial de Muncă (ITM), care vizează activitatea de control din domeniul relațiilor de muncă și al securității și sănătății în muncă (sistem informatic, semnături electronice, simplificarea procedurii de notificare); În plus, se preconizează ca proiectul REGES-ONLINE să digitalizeze relația inspectoratelor teritoriale de muncă cu angajatorii, facilitând transmiterea datelor privind angajații și contractele individuale de muncă ale acestora;</w:t>
      </w:r>
    </w:p>
    <w:p w14:paraId="6B65F1D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digitalizarea beneficiilor de asistență socială gestionate de Agenția Națională pentru Plăți și Inspecție Socială – ANPIS (inclusiv sisteme informatice funcționale pentru beneficiarii venitului minim de incluziune). În cazul ANPIS, se are în vedere dezvoltarea unor instrumente pentru gestionarea documentelor și a informațiilor și pentru canalele de comunicare în timp real cu cetățenii și a unor instrumente de digitalizare și prelucrare, asigurând în același timp securitatea datelor. În plus, în sinergie cu reforma inclusă în componenta 13 (reforme sociale) a Planului de redresare și reziliență, se preconizează operaționalizarea platformei digitale pentru punerea în aplicare a venitului minim de incluziune;</w:t>
      </w:r>
    </w:p>
    <w:p w14:paraId="40FB3FD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cursuri de formare în domeniul competențelor digitale pentru angajații ANOFM, ANPIS și ITM.</w:t>
      </w:r>
    </w:p>
    <w:p w14:paraId="01CDBFDB"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2026.</w:t>
      </w:r>
    </w:p>
    <w:p w14:paraId="4D45DB5F" w14:textId="77777777" w:rsidR="00500CF9" w:rsidRPr="000A27B3" w:rsidRDefault="00500CF9">
      <w:pPr>
        <w:pStyle w:val="Standard"/>
        <w:spacing w:before="240"/>
        <w:jc w:val="both"/>
        <w:rPr>
          <w:rFonts w:ascii="Times New Roman" w:eastAsia="Times New Roman" w:hAnsi="Times New Roman" w:cs="Times New Roman"/>
          <w:i/>
          <w:noProof/>
          <w:u w:val="single"/>
        </w:rPr>
      </w:pPr>
      <w:r>
        <w:rPr>
          <w:noProof/>
          <w:u w:val="single"/>
        </w:rPr>
        <w:t>Investiția 7. Implementarea formularelor electronice eForms în domeniul achizițiilor publice</w:t>
      </w:r>
    </w:p>
    <w:p w14:paraId="0BFDA8CE"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operaționaliza formularele electronice standard care vor trebui utilizate pentru publicarea anunțurilor de achiziții publice, acestea urmând să simplifice practicile în materie de achiziții publice de la nivel național și european, în conformitate cu Regulamentul de punere în aplicare (UE) 2019/1780 de stabilire a formularelor standard pentru publicarea anunțurilor în domeniul achizițiilor publice și de abrogare a Regulamentului de punere în aplicare (UE) 2015/1986.</w:t>
      </w:r>
    </w:p>
    <w:p w14:paraId="1D41906C"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va include o analiză a cerințelor legale de la nivelul UE și o comparație cu formularele anterioare și va viza schemele, listele de coduri, normele operaționale și de validare și etichetele, va evalua integrarea sistemului solicitată, va adapta formularele electronice, va defini și implementa modelul de date pentru formularele electronice, formularele electronice și notificările. În plus, formularele electronice vor fi integrate cu alte instrumente și servicii (cum ar fi Sistemul de informații comerciale al Sistemului Național de Achiziții Publice) și vor fi oferite cursuri de formare pentru utilizatori.</w:t>
      </w:r>
    </w:p>
    <w:p w14:paraId="774E51CD" w14:textId="77777777" w:rsidR="00500CF9" w:rsidRPr="000A27B3" w:rsidRDefault="00500CF9">
      <w:pPr>
        <w:spacing w:before="120" w:after="0" w:line="240" w:lineRule="auto"/>
        <w:textAlignment w:val="baseline"/>
        <w:rPr>
          <w:rFonts w:ascii="Times New Roman" w:eastAsia="Times New Roman" w:hAnsi="Times New Roman" w:cs="Times New Roman"/>
          <w:noProof/>
          <w:sz w:val="24"/>
        </w:rPr>
        <w:sectPr w:rsidR="00500CF9" w:rsidRPr="000A27B3">
          <w:headerReference w:type="even" r:id="rId156"/>
          <w:headerReference w:type="default" r:id="rId157"/>
          <w:footerReference w:type="even" r:id="rId158"/>
          <w:footerReference w:type="default" r:id="rId159"/>
          <w:headerReference w:type="first" r:id="rId160"/>
          <w:footerReference w:type="first" r:id="rId161"/>
          <w:pgSz w:w="12240" w:h="15840"/>
          <w:pgMar w:top="1134" w:right="1418" w:bottom="1134" w:left="1418" w:header="709" w:footer="709" w:gutter="0"/>
          <w:cols w:space="708"/>
          <w:docGrid w:linePitch="360"/>
        </w:sectPr>
      </w:pPr>
      <w:r>
        <w:rPr>
          <w:rFonts w:ascii="Times New Roman" w:hAnsi="Times New Roman"/>
          <w:noProof/>
          <w:sz w:val="24"/>
        </w:rPr>
        <w:t>Implementarea investiției va fi finalizată până la 30 iunie 2023.</w:t>
      </w:r>
    </w:p>
    <w:p w14:paraId="12A52C1F" w14:textId="730170B5" w:rsidR="00500CF9" w:rsidRPr="000A27B3" w:rsidRDefault="00500CF9">
      <w:pPr>
        <w:pStyle w:val="Standard"/>
        <w:spacing w:before="240"/>
        <w:jc w:val="both"/>
        <w:rPr>
          <w:rFonts w:ascii="Times New Roman" w:eastAsia="Times New Roman" w:hAnsi="Times New Roman" w:cs="Times New Roman"/>
          <w:i/>
          <w:iCs/>
          <w:noProof/>
          <w:u w:val="single"/>
        </w:rPr>
      </w:pPr>
      <w:r>
        <w:rPr>
          <w:noProof/>
          <w:u w:val="single"/>
        </w:rPr>
        <w:t>Investiția 8. Cartea de identitate electronică și semnătura digitală</w:t>
      </w:r>
    </w:p>
    <w:p w14:paraId="659A6478"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sprijini tranziția și adoptarea cărții electronice de identitate de către cetățenii români. Investiția este esențială pentru facilitarea interacțiunii digitale dintre entitățile publice/private și cetățeni.</w:t>
      </w:r>
    </w:p>
    <w:p w14:paraId="6F0D4D2C" w14:textId="194DBAC1" w:rsidR="00500CF9" w:rsidRPr="000A27B3" w:rsidRDefault="00500CF9">
      <w:p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Investiția constă în:</w:t>
      </w:r>
    </w:p>
    <w:p w14:paraId="6C567B4E" w14:textId="7397704C" w:rsidR="00500CF9" w:rsidRPr="000A27B3" w:rsidRDefault="00500CF9" w:rsidP="00500CF9">
      <w:pPr>
        <w:pStyle w:val="ListParagraph"/>
        <w:numPr>
          <w:ilvl w:val="0"/>
          <w:numId w:val="59"/>
        </w:num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eliberarea a 5 milioane de cărți de identitate electronice în perioada de implementare a Planului național de redresare și reziliență. Cartea de identitate electronică va stoca două certificate digitale: i) unul care va permite autentificarea pentru utilizarea serviciilor online ale administrației publice, care va fi utilizabil din momentul eliberării cărții de identitate electronice și ii) unul opțional pentru semnătura electronică calificată, eliberat de furnizorii de servicii de certificare calificată, care va putea fi achiziționat de către cetățeni;</w:t>
      </w:r>
    </w:p>
    <w:p w14:paraId="4CC555F2" w14:textId="696F208B" w:rsidR="00500CF9" w:rsidRPr="000A27B3" w:rsidRDefault="00500CF9" w:rsidP="00500CF9">
      <w:pPr>
        <w:pStyle w:val="ListParagraph"/>
        <w:numPr>
          <w:ilvl w:val="0"/>
          <w:numId w:val="59"/>
        </w:num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 xml:space="preserve">dezvoltarea și punerea în aplicare a 11 servicii publice online, cu un nivel de sofisticare de cel puțin „3”, care să fie accesibile prin utilizarea cărții de identitate electronice. Aceste servicii publice online vor include următoarele componente: infrastructură IT&amp;C pentru dezvoltarea, furnizarea și continuitatea sporită a serviciilor accesate prin intermediul cărții de identitate electronice, soluții de virtualizare pentru îmbunătățirea disponibilității infrastructurii în vederea asigurării accesului la serviciile electronice și extinderea actualei „copii de rezervă și recuperare în caz de dezastru” cu soluții modulare; </w:t>
      </w:r>
    </w:p>
    <w:p w14:paraId="497F136F" w14:textId="77777777" w:rsidR="00500CF9" w:rsidRPr="000A27B3" w:rsidRDefault="00500CF9" w:rsidP="00500CF9">
      <w:pPr>
        <w:pStyle w:val="ListParagraph"/>
        <w:numPr>
          <w:ilvl w:val="0"/>
          <w:numId w:val="59"/>
        </w:num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dezvoltarea unui sistem de alertă timpurie cu privire la riscurile de securitate (inclusiv riscurile cibernetice); </w:t>
      </w:r>
    </w:p>
    <w:p w14:paraId="2B196018" w14:textId="77777777" w:rsidR="00500CF9" w:rsidRPr="000A27B3" w:rsidRDefault="00500CF9" w:rsidP="00500CF9">
      <w:pPr>
        <w:pStyle w:val="ListParagraph"/>
        <w:numPr>
          <w:ilvl w:val="0"/>
          <w:numId w:val="59"/>
        </w:num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desfășurarea unei campanii de sensibilizare care să încurajeze utilizarea pe scară largă a cărții de identitate electronice și, implicit, a serviciilor publice electronice aferente acesteia. </w:t>
      </w:r>
    </w:p>
    <w:p w14:paraId="0788393C"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2026.</w:t>
      </w:r>
    </w:p>
    <w:p w14:paraId="10087556"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 xml:space="preserve">Investiția 9. </w:t>
      </w:r>
      <w:r>
        <w:rPr>
          <w:rFonts w:ascii="Times New Roman" w:hAnsi="Times New Roman"/>
          <w:noProof/>
          <w:u w:val="single"/>
        </w:rPr>
        <w:t>Digitalizarea sectorului organizațiilor neguvernamentale</w:t>
      </w:r>
    </w:p>
    <w:p w14:paraId="2F8A231C"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sprijini transformarea digitală a organizațiilor neguvernamentale (ONG-uri) și de a spori nivelul de alfabetizare digitală în rândul angajaților.</w:t>
      </w:r>
    </w:p>
    <w:p w14:paraId="6171ABDB"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într-o cerere de proiecte și va acorda 200 de granturi (de maximum 70 000 EUR pentru o perioadă de punere în aplicare de maximum 30 de luni) ONG-urilor pentru investiții în infrastructura digitală, competențele digitale ale personalului și voluntarilor, dezvoltarea de platforme de gestionare a relațiilor cu clienții și achiziționarea de echipamente. În plus, în cadrul acestei investiții se va înființa un centru de resurse pentru transformarea digitală a ONG-urilor. Centrul va sprijini dezvoltarea de servicii informatice, de soluții software cu sursă deschisă și de asistență tehnică pentru implementarea strategiilor de transformare digitală, centralizând resursele digitale existente într-o librărie digitală deschisă care să faciliteze accesul, asistența, învățarea online și formarea, comunitățile de practică și sprijinul personalizat în procesele de transformare digitală.</w:t>
      </w:r>
    </w:p>
    <w:p w14:paraId="60DAE3B9"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2025.</w:t>
      </w:r>
    </w:p>
    <w:p w14:paraId="485F1104"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10. Transformarea digitală în managementul funcției publice</w:t>
      </w:r>
      <w:r>
        <w:rPr>
          <w:rFonts w:ascii="Times New Roman" w:hAnsi="Times New Roman"/>
          <w:noProof/>
          <w:u w:val="single"/>
        </w:rPr>
        <w:t xml:space="preserve"> </w:t>
      </w:r>
    </w:p>
    <w:p w14:paraId="021C9402"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îmbunătăți funcția publică prin reducerea birocrației și sporirea calității serviciilor publice prin intermediul unei funcții publice bine pregătite și profesioniste. Această investiție este legată de componenta 14 (Buna guvernanță).</w:t>
      </w:r>
    </w:p>
    <w:p w14:paraId="1D66C421"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operaționalizarea a două platforme interoperabile:</w:t>
      </w:r>
    </w:p>
    <w:p w14:paraId="0A7EF0B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e-ANFP – dezvoltarea și extinderea platformei de gestionare a funcției publice (nivel central, teritorial, local) pentru toate procesele aferente carierei (recrutare, evaluare, promovare, ieșirea din sistemul public, pe baza unui cadru de competențe standardizat și a unor fișe ale posturilor standardizate) și interconectarea cu instituțiile cu care se colaborează;</w:t>
      </w:r>
    </w:p>
    <w:p w14:paraId="42E4AAD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SIMRU (Sistemul integrat de gestionare a resurselor umane) – dezvoltarea platformei de gestionare internă pentru autoritățile publice pentru procesele privind resursele umane (gestionarea datelor privind personalul, gestionarea organizațională, gestionarea timpului, stabilirea obiectivelor și raportarea).</w:t>
      </w:r>
    </w:p>
    <w:p w14:paraId="5979D8B5"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31 decembrie 2025.</w:t>
      </w:r>
    </w:p>
    <w:p w14:paraId="490BB47D"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11. Implementarea unei scheme de sprijinire a utilizării serviciilor de comunicații prin diferite tipuri de instrumente pentru beneficiari, cu accent pe zonele albe</w:t>
      </w:r>
    </w:p>
    <w:p w14:paraId="6117F773"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asigura acoperirea accesului la internet de foarte mare viteză în zonele în care piața nu poate furniza aceste servicii pe cont propriu (sate, inclusiv zone defavorizate). Viteza minimă va fi de cel puțin 100 Mbps, cu posibilitatea creșterii acesteia în viitor, iar rețelele vor fi FTTB/H și/sau 5G.</w:t>
      </w:r>
    </w:p>
    <w:p w14:paraId="6F7CE106"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două priorități: i) o prioritate absolută, care vizează localitățile rurale complet albe care nu sunt deservite de rețele fixe, dar unde există cerere latentă sau factori socioeconomici și ii) o prioritate subiacentă, care vizează rețelele fixe în care trebuie îmbunătățite vitezele, iar piața nu reușește să acopere aceste nevoi. Investiția va finanța infrastructura pasivă și elementele de rețea active, segmentul backhaul și de acces, crearea de noi rețele sau modernizarea celor existente.</w:t>
      </w:r>
    </w:p>
    <w:p w14:paraId="24D192C0"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31 decembrie 2025.</w:t>
      </w:r>
    </w:p>
    <w:p w14:paraId="16F79510"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12. Asigurarea protecției cibernetice atât pentru infrastructurile TIC publice, cât și pentru cele private cu valențe critice pentru securitatea națională, prin utilizarea tehnologiilor inteligente</w:t>
      </w:r>
    </w:p>
    <w:p w14:paraId="331E3AF7"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Obiectivul acestei investiții este de a consolida capacitatea Centrului Național Cyberint și de a asigura securitatea infrastructurilor a unui număr minim de 101 instituții și entități cu infrastructuri TIC critice la nivel național (ministere, agenții, furnizori/distribuitori de energie, sectorul sănătății, transporturilor, aprovizionării cu apă). </w:t>
      </w:r>
    </w:p>
    <w:p w14:paraId="29C8D964"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mai multe linii de acțiune:</w:t>
      </w:r>
    </w:p>
    <w:p w14:paraId="1948ABFE"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Furnizarea de soluții, echipamente și de cursuri de formare în materie de securitate cibernetică pentru entitățile selectate pe baza gradului de vulnerabilitate la atacurile cibernetice, a impactului potențial al unui atac cibernetic asupra serviciilor furnizate, a probabilității de a fi ținte ale atacurilor cibernetice majore, a acoperirii naționale/regionale și a numărului de destinatari ai serviciilor furnizate de entități.</w:t>
      </w:r>
    </w:p>
    <w:p w14:paraId="13FB00E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Dezvoltarea capacităților Centrului Național Cyberint prin operaționalizarea unei platforme pentru securitatea și canalizarea datelor care să fie transferate între rețele cu niveluri de încredere diferite și sporirea capacității de investigare a centrului.</w:t>
      </w:r>
    </w:p>
    <w:p w14:paraId="1F5D3D6F"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31 decembrie 2025.</w:t>
      </w:r>
    </w:p>
    <w:p w14:paraId="570A9DAB"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13. Dezvoltarea sistemelor de securitate pentru protecția spectrului guvernamental</w:t>
      </w:r>
    </w:p>
    <w:p w14:paraId="4D4F9ADD"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asigura comunicațiile fără fir la nivelul instituțiilor și autorităților publice centrale și locale. În special, investiția urmărește să implementeze mecanisme de prevenire a vulnerabilității fără fir în sistemele de comunicații, să dezvolte soluții de detectare a vulnerabilității fără fir în sistemele de comunicații și să creeze un sistem unificat de gestionare a vulnerabilității fără fir în sistemele de comunicații.</w:t>
      </w:r>
    </w:p>
    <w:p w14:paraId="01F4DFC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 xml:space="preserve">Investiția va fi implementată prin crearea unei noi rețele de senzori, care vor fi distribuiți la nivel național, vor fi amplasați în locuri de recepție dedicate pentru a detecta și a crea alerte în mod automat în cazul unor perturbări ale spectrului de frecvențe radio guvernamental. </w:t>
      </w:r>
    </w:p>
    <w:p w14:paraId="2157DC86" w14:textId="77777777" w:rsidR="0081520C" w:rsidRDefault="00500CF9" w:rsidP="0081520C">
      <w:pPr>
        <w:spacing w:before="120" w:after="0" w:line="240" w:lineRule="auto"/>
        <w:textAlignment w:val="baseline"/>
        <w:rPr>
          <w:rFonts w:ascii="Times New Roman" w:hAnsi="Times New Roman"/>
          <w:noProof/>
          <w:sz w:val="24"/>
        </w:rPr>
      </w:pPr>
      <w:r>
        <w:rPr>
          <w:rFonts w:ascii="Times New Roman" w:hAnsi="Times New Roman"/>
          <w:noProof/>
          <w:sz w:val="24"/>
        </w:rPr>
        <w:t>Implementarea investiției va fi finalizată până la 31 martie 2026.</w:t>
      </w:r>
    </w:p>
    <w:p w14:paraId="0BE4EB18" w14:textId="414579A1" w:rsidR="00500CF9" w:rsidRPr="0081520C" w:rsidRDefault="00500CF9" w:rsidP="0081520C">
      <w:pPr>
        <w:pStyle w:val="Standard"/>
        <w:spacing w:before="240"/>
        <w:jc w:val="both"/>
        <w:rPr>
          <w:noProof/>
          <w:u w:val="single"/>
        </w:rPr>
      </w:pPr>
      <w:r>
        <w:rPr>
          <w:noProof/>
          <w:u w:val="single"/>
        </w:rPr>
        <w:t>Investiția 14. Sporirea rezilienței și a securității cibernetice a serviciilor de infrastructură ale furnizorilor de servicii de internet pentru autoritățile publice din România</w:t>
      </w:r>
    </w:p>
    <w:p w14:paraId="681BA93F"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spori reziliența infrastructurii furnizorilor de servicii de internet (ISP) pentru autoritățile publice, asigurând, în același timp, securitatea cibernetică a acestora.</w:t>
      </w:r>
    </w:p>
    <w:p w14:paraId="0838B234"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actualizarea și extinderea rețelei de acces la internet care să asigure o conectivitate de ordinul gigabiților pentru administrația publică, modernizarea capacităților de securitate cibernetică, securizarea serviciilor ISP (DNS, internet, e-mail, găzduire). Fiecare județ din România va fi conectat la o rețea națională de distribuție a internetului.</w:t>
      </w:r>
    </w:p>
    <w:p w14:paraId="02191FF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31 decembrie 2024.</w:t>
      </w:r>
    </w:p>
    <w:p w14:paraId="18EC7E4F"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15. Crearea de noi competențe de securitate cibernetică pentru societate și economie</w:t>
      </w:r>
    </w:p>
    <w:p w14:paraId="43B650ED"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sprijini atât dezvoltarea competențelor în materie de securitate cibernetică ale elevilor și studenților, cât și ale actorilor publici și privați.</w:t>
      </w:r>
    </w:p>
    <w:p w14:paraId="444B75BB"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Investiția constă în două acțiuni principale:</w:t>
      </w:r>
    </w:p>
    <w:p w14:paraId="1DF0546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unor cursuri de formare în domeniul securității cibernetice pentru 5 000 de profesori (de la nivel preuniversitar și universitar) care vor transmite cunoștințele dobândite astfel elevilor și studenților din întreaga țară. Această parte a investiției va duce la sporirea gradului de sensibilizare cu privire la securitatea cibernetică și va contribui la un efect de lungă durată pentru economie și societate;</w:t>
      </w:r>
    </w:p>
    <w:p w14:paraId="27E312F1"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dezvoltarea unui set de instrumente pentru sporirea maturității în materie de securitate cibernetică pentru 1 000 de actori, pe baza unei evaluări inițiale care se va axa pe cunoștințele operaționale și tehnologice și pe competențele grupurilor-țintă.</w:t>
      </w:r>
    </w:p>
    <w:p w14:paraId="4D5A7660"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2026.</w:t>
      </w:r>
    </w:p>
    <w:p w14:paraId="227C1E03" w14:textId="77777777" w:rsidR="00500CF9" w:rsidRPr="000A27B3" w:rsidRDefault="00500CF9">
      <w:pPr>
        <w:pStyle w:val="Standard"/>
        <w:spacing w:before="240"/>
        <w:jc w:val="both"/>
        <w:rPr>
          <w:rFonts w:ascii="Times New Roman" w:eastAsia="Times New Roman" w:hAnsi="Times New Roman" w:cs="Times New Roman"/>
          <w:i/>
          <w:noProof/>
          <w:u w:val="single"/>
        </w:rPr>
      </w:pPr>
      <w:r>
        <w:rPr>
          <w:noProof/>
          <w:u w:val="single"/>
        </w:rPr>
        <w:t>Investiția 16. Program de formare de competențe digitale avansate pentru funcționarii publici</w:t>
      </w:r>
    </w:p>
    <w:p w14:paraId="0E982A77"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spori competențele digitale avansate ale funcționarilor publici, cu scopul de a sprijini digitalizarea serviciilor publice prin îmbunătățirea disponibilității forței de muncă calificate pentru operațiunile TIC interne.</w:t>
      </w:r>
    </w:p>
    <w:p w14:paraId="7EA1D4BE" w14:textId="2BD5CAB7" w:rsidR="00500CF9" w:rsidRPr="000A27B3" w:rsidRDefault="00500CF9">
      <w:p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Investiția constă în cursuri de formare pentru dobândirea de competențe digitale avansate (gestionarea bazelor de date, gestionarea sistemelor, analiza proceselor de lucru, analiza datelor, programare) pentru 32 500 de funcționari publici (din care 2 500 de funcționari publici cu funcții de conducere). Se va efectua în prealabil o analiză a nevoilor de formare.</w:t>
      </w:r>
    </w:p>
    <w:p w14:paraId="216B8219"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2026.</w:t>
      </w:r>
    </w:p>
    <w:p w14:paraId="346AC356"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17. Scheme de finanțare pentru biblioteci pentru a deveni hub-uri de dezvoltare a competențelor digitale</w:t>
      </w:r>
    </w:p>
    <w:p w14:paraId="7ED4944D"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Obiectivul acestei investiții este de a îmbunătăți competențele digitale de bază ale comunităților cu acces limitat la formare digitală și ale grupurilor marginalizate. Investițiile constau în reconversia a 105 biblioteci în hub-uri de dezvoltare a competențelor digitale, fiind susținute de fonduri suplimentare pentru 1 030 de biblioteci pentru a-și schimba/moderniza echipamentele informatice. În cadrul acestei investiții, se preconizează că vor fi dezvoltate competențe de bază, cum ar fi alfabetizarea digitală, comunicarea, educația în domeniul mass-mediei, crearea de conținut digital, securitatea digitală și educația antreprenorială digitală, ale unui număr de 100 000 de cetățeni din comunități defavorizate.</w:t>
      </w:r>
    </w:p>
    <w:p w14:paraId="3C4A5AEA"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Implementarea investiției va fi finalizată până la 30 iunie 2026.</w:t>
      </w:r>
    </w:p>
    <w:p w14:paraId="0B8E901D" w14:textId="77777777" w:rsidR="00500CF9" w:rsidRPr="009F1DC7" w:rsidRDefault="00500CF9">
      <w:pPr>
        <w:rPr>
          <w:rFonts w:ascii="Times New Roman" w:eastAsia="Times New Roman" w:hAnsi="Times New Roman" w:cs="Times New Roman"/>
          <w:noProof/>
          <w:sz w:val="24"/>
          <w:lang w:val="fr-FR"/>
        </w:rPr>
      </w:pPr>
    </w:p>
    <w:p w14:paraId="773B587C" w14:textId="77777777" w:rsidR="00500CF9" w:rsidRPr="009F1DC7" w:rsidRDefault="00500CF9">
      <w:pPr>
        <w:spacing w:before="120" w:after="0" w:line="240" w:lineRule="auto"/>
        <w:jc w:val="both"/>
        <w:textAlignment w:val="baseline"/>
        <w:rPr>
          <w:rFonts w:ascii="Times New Roman" w:eastAsia="Times New Roman" w:hAnsi="Times New Roman" w:cs="Times New Roman"/>
          <w:noProof/>
          <w:sz w:val="24"/>
          <w:szCs w:val="24"/>
          <w:lang w:val="fr-FR"/>
        </w:rPr>
        <w:sectPr w:rsidR="00500CF9" w:rsidRPr="009F1DC7">
          <w:headerReference w:type="even" r:id="rId162"/>
          <w:headerReference w:type="default" r:id="rId163"/>
          <w:footerReference w:type="even" r:id="rId164"/>
          <w:footerReference w:type="default" r:id="rId165"/>
          <w:headerReference w:type="first" r:id="rId166"/>
          <w:footerReference w:type="first" r:id="rId167"/>
          <w:pgSz w:w="12240" w:h="15840"/>
          <w:pgMar w:top="1134" w:right="1418" w:bottom="1134" w:left="1418" w:header="709" w:footer="709" w:gutter="0"/>
          <w:cols w:space="708"/>
          <w:docGrid w:linePitch="360"/>
        </w:sectPr>
      </w:pPr>
    </w:p>
    <w:p w14:paraId="3ABE96D7"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G.2. </w:t>
      </w:r>
      <w:r>
        <w:rPr>
          <w:noProof/>
        </w:rPr>
        <w:tab/>
      </w:r>
      <w:r>
        <w:rPr>
          <w:rFonts w:ascii="Times New Roman" w:hAnsi="Times New Roman"/>
          <w:b/>
          <w:noProof/>
          <w:sz w:val="24"/>
        </w:rPr>
        <w:t>Jaloane, ținte, indicatori și calendarul de monitorizare și implementare aplicabile sprijinului financiar nerambursabil</w:t>
      </w:r>
    </w:p>
    <w:tbl>
      <w:tblPr>
        <w:tblW w:w="14923" w:type="dxa"/>
        <w:jc w:val="center"/>
        <w:tblLayout w:type="fixed"/>
        <w:tblCellMar>
          <w:left w:w="28" w:type="dxa"/>
          <w:right w:w="28" w:type="dxa"/>
        </w:tblCellMar>
        <w:tblLook w:val="04A0" w:firstRow="1" w:lastRow="0" w:firstColumn="1" w:lastColumn="0" w:noHBand="0" w:noVBand="1"/>
      </w:tblPr>
      <w:tblGrid>
        <w:gridCol w:w="1252"/>
        <w:gridCol w:w="1740"/>
        <w:gridCol w:w="1073"/>
        <w:gridCol w:w="1741"/>
        <w:gridCol w:w="1389"/>
        <w:gridCol w:w="960"/>
        <w:gridCol w:w="1080"/>
        <w:gridCol w:w="1051"/>
        <w:gridCol w:w="869"/>
        <w:gridCol w:w="747"/>
        <w:gridCol w:w="3021"/>
      </w:tblGrid>
      <w:tr w:rsidR="000A27B3" w:rsidRPr="000A27B3" w14:paraId="490D4F72" w14:textId="77777777" w:rsidTr="00ED2A55">
        <w:trPr>
          <w:trHeight w:val="309"/>
          <w:tblHeader/>
          <w:jc w:val="center"/>
        </w:trPr>
        <w:tc>
          <w:tcPr>
            <w:tcW w:w="125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3CAD9172"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740"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9B185FF"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073"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A6E81B2" w14:textId="3EB7774E"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ED2A55">
              <w:rPr>
                <w:rFonts w:ascii="Times New Roman" w:hAnsi="Times New Roman"/>
                <w:b/>
                <w:noProof/>
                <w:sz w:val="24"/>
              </w:rPr>
              <w:br/>
            </w:r>
            <w:r>
              <w:rPr>
                <w:rFonts w:ascii="Times New Roman" w:hAnsi="Times New Roman"/>
                <w:b/>
                <w:noProof/>
                <w:sz w:val="24"/>
              </w:rPr>
              <w:t>țintă</w:t>
            </w:r>
          </w:p>
        </w:tc>
        <w:tc>
          <w:tcPr>
            <w:tcW w:w="1741"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C725F61"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389"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2AC204A6" w14:textId="7D152392"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091"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0392A2B" w14:textId="5D0E5F7A"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616" w:type="dxa"/>
            <w:gridSpan w:val="2"/>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C13B9F7"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jaloanelor/țintelor</w:t>
            </w:r>
          </w:p>
        </w:tc>
        <w:tc>
          <w:tcPr>
            <w:tcW w:w="3021"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BD22CCB"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3A26A1A2" w14:textId="77777777" w:rsidTr="00ED2A55">
        <w:trPr>
          <w:trHeight w:val="309"/>
          <w:tblHeader/>
          <w:jc w:val="center"/>
        </w:trPr>
        <w:tc>
          <w:tcPr>
            <w:tcW w:w="1252" w:type="dxa"/>
            <w:vMerge/>
            <w:tcBorders>
              <w:top w:val="single" w:sz="4" w:space="0" w:color="auto"/>
              <w:left w:val="single" w:sz="4" w:space="0" w:color="auto"/>
              <w:bottom w:val="single" w:sz="4" w:space="0" w:color="auto"/>
              <w:right w:val="single" w:sz="4" w:space="0" w:color="auto"/>
            </w:tcBorders>
            <w:noWrap/>
            <w:vAlign w:val="center"/>
          </w:tcPr>
          <w:p w14:paraId="1EADB13E"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1740" w:type="dxa"/>
            <w:vMerge/>
            <w:tcBorders>
              <w:top w:val="single" w:sz="4" w:space="0" w:color="auto"/>
              <w:left w:val="single" w:sz="4" w:space="0" w:color="auto"/>
              <w:bottom w:val="single" w:sz="4" w:space="0" w:color="auto"/>
              <w:right w:val="single" w:sz="4" w:space="0" w:color="auto"/>
            </w:tcBorders>
            <w:noWrap/>
            <w:vAlign w:val="center"/>
          </w:tcPr>
          <w:p w14:paraId="08754F6C"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1073" w:type="dxa"/>
            <w:vMerge/>
            <w:tcBorders>
              <w:top w:val="single" w:sz="4" w:space="0" w:color="auto"/>
              <w:left w:val="single" w:sz="4" w:space="0" w:color="auto"/>
              <w:bottom w:val="single" w:sz="4" w:space="0" w:color="auto"/>
              <w:right w:val="single" w:sz="4" w:space="0" w:color="auto"/>
            </w:tcBorders>
            <w:noWrap/>
            <w:vAlign w:val="center"/>
          </w:tcPr>
          <w:p w14:paraId="1774A90B"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1741" w:type="dxa"/>
            <w:vMerge/>
            <w:tcBorders>
              <w:top w:val="single" w:sz="4" w:space="0" w:color="auto"/>
              <w:left w:val="single" w:sz="4" w:space="0" w:color="auto"/>
              <w:bottom w:val="single" w:sz="4" w:space="0" w:color="auto"/>
              <w:right w:val="single" w:sz="4" w:space="0" w:color="auto"/>
            </w:tcBorders>
            <w:noWrap/>
            <w:vAlign w:val="center"/>
          </w:tcPr>
          <w:p w14:paraId="7185D76C"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1389" w:type="dxa"/>
            <w:vMerge/>
            <w:tcBorders>
              <w:top w:val="single" w:sz="4" w:space="0" w:color="auto"/>
              <w:left w:val="single" w:sz="4" w:space="0" w:color="auto"/>
              <w:bottom w:val="single" w:sz="4" w:space="0" w:color="auto"/>
              <w:right w:val="single" w:sz="4" w:space="0" w:color="auto"/>
            </w:tcBorders>
            <w:noWrap/>
            <w:vAlign w:val="center"/>
          </w:tcPr>
          <w:p w14:paraId="36A62E90"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0552C8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b/>
                <w:noProof/>
                <w:sz w:val="24"/>
              </w:rPr>
              <w:t>Unitate de măsură</w:t>
            </w:r>
          </w:p>
        </w:tc>
        <w:tc>
          <w:tcPr>
            <w:tcW w:w="1080"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E9AAF5A"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b/>
                <w:noProof/>
                <w:sz w:val="24"/>
              </w:rPr>
              <w:t>Valoare de referință</w:t>
            </w:r>
          </w:p>
        </w:tc>
        <w:tc>
          <w:tcPr>
            <w:tcW w:w="1051"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F460E41"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b/>
                <w:noProof/>
                <w:sz w:val="24"/>
              </w:rPr>
              <w:t>Obiectiv</w:t>
            </w:r>
          </w:p>
        </w:tc>
        <w:tc>
          <w:tcPr>
            <w:tcW w:w="869"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D9D7F26"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b/>
                <w:noProof/>
                <w:sz w:val="24"/>
              </w:rPr>
              <w:t>Trimestru</w:t>
            </w:r>
          </w:p>
        </w:tc>
        <w:tc>
          <w:tcPr>
            <w:tcW w:w="747"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E239CB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b/>
                <w:noProof/>
                <w:sz w:val="24"/>
              </w:rPr>
              <w:t>An</w:t>
            </w:r>
          </w:p>
        </w:tc>
        <w:tc>
          <w:tcPr>
            <w:tcW w:w="3021" w:type="dxa"/>
            <w:vMerge/>
            <w:tcBorders>
              <w:top w:val="single" w:sz="4" w:space="0" w:color="auto"/>
              <w:bottom w:val="single" w:sz="4" w:space="0" w:color="auto"/>
              <w:right w:val="single" w:sz="4" w:space="0" w:color="auto"/>
            </w:tcBorders>
            <w:noWrap/>
          </w:tcPr>
          <w:p w14:paraId="6740C08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rPr>
            </w:pPr>
          </w:p>
        </w:tc>
      </w:tr>
      <w:tr w:rsidR="000A27B3" w:rsidRPr="000A27B3" w14:paraId="001C2F8B"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7138C3B"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142</w:t>
            </w:r>
          </w:p>
        </w:tc>
        <w:tc>
          <w:tcPr>
            <w:tcW w:w="1740" w:type="dxa"/>
            <w:tcBorders>
              <w:top w:val="single" w:sz="4" w:space="0" w:color="auto"/>
              <w:left w:val="nil"/>
              <w:bottom w:val="single" w:sz="4" w:space="0" w:color="auto"/>
              <w:right w:val="single" w:sz="4" w:space="0" w:color="auto"/>
            </w:tcBorders>
            <w:shd w:val="clear" w:color="auto" w:fill="C6EFCE"/>
            <w:noWrap/>
          </w:tcPr>
          <w:p w14:paraId="43F79F1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Dezvoltarea unui cadru unitar pentru definirea arhitecturii unui sistem de tip cloud guvernamental </w:t>
            </w:r>
          </w:p>
          <w:p w14:paraId="0D9FA96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413278A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484CA81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 fost instituit și este operațional grupul operativ pentru implementarea și monitorizarea reformelor și investițiilor privind transformarea digitală</w:t>
            </w:r>
          </w:p>
        </w:tc>
        <w:tc>
          <w:tcPr>
            <w:tcW w:w="1389" w:type="dxa"/>
            <w:tcBorders>
              <w:top w:val="single" w:sz="4" w:space="0" w:color="auto"/>
              <w:left w:val="nil"/>
              <w:bottom w:val="single" w:sz="4" w:space="0" w:color="auto"/>
              <w:right w:val="single" w:sz="4" w:space="0" w:color="auto"/>
            </w:tcBorders>
            <w:shd w:val="clear" w:color="auto" w:fill="C6EFCE"/>
            <w:noWrap/>
          </w:tcPr>
          <w:p w14:paraId="3FDA58D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ordinului ministerial de instituire a grupului operativ</w:t>
            </w:r>
          </w:p>
        </w:tc>
        <w:tc>
          <w:tcPr>
            <w:tcW w:w="960" w:type="dxa"/>
            <w:tcBorders>
              <w:top w:val="single" w:sz="4" w:space="0" w:color="auto"/>
              <w:left w:val="nil"/>
              <w:bottom w:val="single" w:sz="4" w:space="0" w:color="auto"/>
              <w:right w:val="single" w:sz="4" w:space="0" w:color="auto"/>
            </w:tcBorders>
            <w:shd w:val="clear" w:color="auto" w:fill="C6EFCE"/>
            <w:noWrap/>
          </w:tcPr>
          <w:p w14:paraId="369031EA"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54D79BBF"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6E7EE20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14B0FE4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6516DEF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2021</w:t>
            </w:r>
          </w:p>
        </w:tc>
        <w:tc>
          <w:tcPr>
            <w:tcW w:w="3021" w:type="dxa"/>
            <w:tcBorders>
              <w:top w:val="single" w:sz="4" w:space="0" w:color="auto"/>
              <w:left w:val="nil"/>
              <w:bottom w:val="single" w:sz="4" w:space="0" w:color="auto"/>
              <w:right w:val="single" w:sz="4" w:space="0" w:color="auto"/>
            </w:tcBorders>
            <w:shd w:val="clear" w:color="auto" w:fill="C6EFCE"/>
            <w:noWrap/>
          </w:tcPr>
          <w:p w14:paraId="3973FA3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Operaționalizarea unei unități temporare de management al programelor de transformare digitală, care va angaja, în perioada de punere în aplicare a Planului de redresare și reziliență, 17 agenți contractuali cu înaltă specializare în domeniul tehnologiilor digitale și al managementului de proiect de specialitate. Atribuțiile principale ale acestei unități sunt:</w:t>
            </w:r>
          </w:p>
          <w:p w14:paraId="315356C4" w14:textId="77777777" w:rsidR="00500CF9" w:rsidRPr="000A27B3" w:rsidRDefault="00500CF9" w:rsidP="00500CF9">
            <w:pPr>
              <w:pStyle w:val="ListParagraph"/>
              <w:numPr>
                <w:ilvl w:val="0"/>
                <w:numId w:val="52"/>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elaborarea și punerea în aplicare a componentelor sectoriale ale Planului național de redresare și reziliență;</w:t>
            </w:r>
          </w:p>
          <w:p w14:paraId="653472EB"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monitorizarea punerii în aplicare a reformelor și a investițiilor din cadrul Planului național de redresare și reziliență legate de domeniul digital, cu accent pe proiectele-cheie, și propunerea de măsuri imediate de remediere pentru elementele critice, în strânsă colaborare cu celelalte instituții implicate;</w:t>
            </w:r>
          </w:p>
          <w:p w14:paraId="282999C8"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elaborarea de sisteme de management al performanței proiectelor în corelare cu </w:t>
            </w:r>
            <w:r>
              <w:rPr>
                <w:rFonts w:ascii="Times New Roman" w:hAnsi="Times New Roman"/>
                <w:noProof/>
                <w:sz w:val="24"/>
              </w:rPr>
              <w:cr/>
            </w:r>
            <w:r>
              <w:rPr>
                <w:rFonts w:ascii="Times New Roman" w:hAnsi="Times New Roman"/>
                <w:noProof/>
                <w:sz w:val="24"/>
              </w:rPr>
              <w:br/>
              <w:t>obiective specifice ale pilonului digital;</w:t>
            </w:r>
          </w:p>
          <w:p w14:paraId="5EFD6386"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elaborarea și reglementarea cadrului normativ, metodologic și a procedurilor </w:t>
            </w:r>
            <w:r>
              <w:rPr>
                <w:rFonts w:ascii="Times New Roman" w:hAnsi="Times New Roman"/>
                <w:noProof/>
                <w:sz w:val="24"/>
              </w:rPr>
              <w:cr/>
            </w:r>
            <w:r>
              <w:rPr>
                <w:rFonts w:ascii="Times New Roman" w:hAnsi="Times New Roman"/>
                <w:noProof/>
                <w:sz w:val="24"/>
              </w:rPr>
              <w:br/>
              <w:t>funcționale, operaționale și financiare în domeniul său de activitate;</w:t>
            </w:r>
          </w:p>
          <w:p w14:paraId="39DFEBAA"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dezvoltarea instrumentelor pentru punerea în aplicare a politicilor legate de domeniul digital;</w:t>
            </w:r>
          </w:p>
          <w:p w14:paraId="5E60A662"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managementul proiectelor și raportările stadiilor de îndeplinire a obiectivelor stabilite în cadrul măsurilor digitale din Planul național de redresare și reziliență;</w:t>
            </w:r>
          </w:p>
          <w:p w14:paraId="3CDBDE56"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îndeplinirea oricăror atribuții necesare pentru asigurarea implementării investițiilor și reformelor din Planul național de redresare și reziliență legate de domeniul digital.</w:t>
            </w:r>
          </w:p>
          <w:p w14:paraId="59ED4FD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Unitatea va fi coordonată de un director subordonat ministrului care deține portofoliul digitalizării.</w:t>
            </w:r>
          </w:p>
        </w:tc>
      </w:tr>
      <w:tr w:rsidR="000A27B3" w:rsidRPr="000A27B3" w14:paraId="1C932B69"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4588B76"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143</w:t>
            </w:r>
          </w:p>
        </w:tc>
        <w:tc>
          <w:tcPr>
            <w:tcW w:w="1740" w:type="dxa"/>
            <w:tcBorders>
              <w:top w:val="single" w:sz="4" w:space="0" w:color="auto"/>
              <w:left w:val="nil"/>
              <w:bottom w:val="single" w:sz="4" w:space="0" w:color="auto"/>
              <w:right w:val="single" w:sz="4" w:space="0" w:color="auto"/>
            </w:tcBorders>
            <w:shd w:val="clear" w:color="auto" w:fill="C6EFCE"/>
            <w:noWrap/>
          </w:tcPr>
          <w:p w14:paraId="63EB0EE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Dezvoltarea unui cadru unitar pentru definirea arhitecturii unui sistem de tip cloud guvernamental </w:t>
            </w:r>
          </w:p>
          <w:p w14:paraId="4BA77E65"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73" w:type="dxa"/>
            <w:tcBorders>
              <w:top w:val="single" w:sz="4" w:space="0" w:color="auto"/>
              <w:left w:val="nil"/>
              <w:bottom w:val="single" w:sz="4" w:space="0" w:color="auto"/>
              <w:right w:val="single" w:sz="4" w:space="0" w:color="auto"/>
            </w:tcBorders>
            <w:shd w:val="clear" w:color="auto" w:fill="C6EFCE"/>
            <w:noWrap/>
          </w:tcPr>
          <w:p w14:paraId="73A8D7A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2F66489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Finalizarea analizei opțiunilor privind arhitectura cloud-ului guvernamental </w:t>
            </w:r>
          </w:p>
          <w:p w14:paraId="01FC56D4"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389" w:type="dxa"/>
            <w:tcBorders>
              <w:top w:val="single" w:sz="4" w:space="0" w:color="auto"/>
              <w:left w:val="nil"/>
              <w:bottom w:val="single" w:sz="4" w:space="0" w:color="auto"/>
              <w:right w:val="single" w:sz="4" w:space="0" w:color="auto"/>
            </w:tcBorders>
            <w:shd w:val="clear" w:color="auto" w:fill="C6EFCE"/>
            <w:noWrap/>
          </w:tcPr>
          <w:p w14:paraId="489BA17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Prezentarea raportului de realizare, cu evaluările și recomandările aferente</w:t>
            </w:r>
          </w:p>
          <w:p w14:paraId="158D15CB" w14:textId="77777777" w:rsidR="00500CF9" w:rsidRPr="009F1DC7" w:rsidRDefault="00500CF9">
            <w:pPr>
              <w:spacing w:after="0" w:line="240" w:lineRule="auto"/>
              <w:jc w:val="both"/>
              <w:rPr>
                <w:rFonts w:ascii="Times New Roman" w:eastAsia="Times New Roman" w:hAnsi="Times New Roman" w:cs="Times New Roman"/>
                <w:noProof/>
                <w:sz w:val="24"/>
                <w:lang w:val="fr-FR"/>
              </w:rPr>
            </w:pPr>
          </w:p>
        </w:tc>
        <w:tc>
          <w:tcPr>
            <w:tcW w:w="960" w:type="dxa"/>
            <w:tcBorders>
              <w:top w:val="single" w:sz="4" w:space="0" w:color="auto"/>
              <w:left w:val="nil"/>
              <w:bottom w:val="single" w:sz="4" w:space="0" w:color="auto"/>
              <w:right w:val="single" w:sz="4" w:space="0" w:color="auto"/>
            </w:tcBorders>
            <w:shd w:val="clear" w:color="auto" w:fill="C6EFCE"/>
            <w:noWrap/>
          </w:tcPr>
          <w:p w14:paraId="6089B787"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1E52AB62"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6485934F"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73712D3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47" w:type="dxa"/>
            <w:tcBorders>
              <w:top w:val="single" w:sz="4" w:space="0" w:color="auto"/>
              <w:left w:val="nil"/>
              <w:bottom w:val="single" w:sz="4" w:space="0" w:color="auto"/>
              <w:right w:val="single" w:sz="4" w:space="0" w:color="auto"/>
            </w:tcBorders>
            <w:shd w:val="clear" w:color="auto" w:fill="C6EFCE"/>
            <w:noWrap/>
          </w:tcPr>
          <w:p w14:paraId="57DF956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377474B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Analiza va prezenta: </w:t>
            </w:r>
          </w:p>
          <w:p w14:paraId="09ADEBC5"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opțiunile strategice și tehnologice și pachetul legislativ și de reglementare pentru stabilirea realizării cloud-ului guvernamental, cu includerea normelor de interoperabilitate și modelului de guvernanță a datelor guvernamentale;</w:t>
            </w:r>
          </w:p>
          <w:p w14:paraId="703A97E4"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 xml:space="preserve">posibilitățile de construcție, livrare, instalare și funcționare a infrastructurilor civile și tehnologice conform termenelor prevăzute în plan; </w:t>
            </w:r>
          </w:p>
          <w:p w14:paraId="12E1EFEE"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 xml:space="preserve">inventarierea aplicațiilor/serviciilor digitale publice oferite în prezent de autoritățile publice, designul proceselor și procedurilor implementate în producție și/sau aflate în stadii de implementare; </w:t>
            </w:r>
          </w:p>
          <w:p w14:paraId="00BE38BC"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planul de dezvoltare/migrare în cloud a aplicațiilor inventariate.</w:t>
            </w:r>
          </w:p>
        </w:tc>
      </w:tr>
      <w:tr w:rsidR="000A27B3" w:rsidRPr="000A27B3" w14:paraId="03173239"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4F52DF1"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144</w:t>
            </w:r>
          </w:p>
        </w:tc>
        <w:tc>
          <w:tcPr>
            <w:tcW w:w="1740" w:type="dxa"/>
            <w:tcBorders>
              <w:top w:val="single" w:sz="4" w:space="0" w:color="auto"/>
              <w:left w:val="nil"/>
              <w:bottom w:val="single" w:sz="4" w:space="0" w:color="auto"/>
              <w:right w:val="single" w:sz="4" w:space="0" w:color="auto"/>
            </w:tcBorders>
            <w:shd w:val="clear" w:color="auto" w:fill="C6EFCE"/>
            <w:noWrap/>
          </w:tcPr>
          <w:p w14:paraId="5CF050E0" w14:textId="5FC8B6EA"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Dezvoltarea unui cadru unitar pentru definirea arhitecturii unui sistem de tip cloud guvernamental </w:t>
            </w:r>
          </w:p>
          <w:p w14:paraId="0A5B8D2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7541BFB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7665C1E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Legii privind guvernanța serviciilor de cloud pentru administrația publică</w:t>
            </w:r>
          </w:p>
        </w:tc>
        <w:tc>
          <w:tcPr>
            <w:tcW w:w="1389" w:type="dxa"/>
            <w:tcBorders>
              <w:top w:val="single" w:sz="4" w:space="0" w:color="auto"/>
              <w:left w:val="nil"/>
              <w:bottom w:val="single" w:sz="4" w:space="0" w:color="auto"/>
              <w:right w:val="single" w:sz="4" w:space="0" w:color="auto"/>
            </w:tcBorders>
            <w:shd w:val="clear" w:color="auto" w:fill="C6EFCE"/>
            <w:noWrap/>
          </w:tcPr>
          <w:p w14:paraId="38CD7C2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privind guvernanța serviciilor de cloud</w:t>
            </w:r>
          </w:p>
        </w:tc>
        <w:tc>
          <w:tcPr>
            <w:tcW w:w="960" w:type="dxa"/>
            <w:tcBorders>
              <w:top w:val="single" w:sz="4" w:space="0" w:color="auto"/>
              <w:left w:val="nil"/>
              <w:bottom w:val="single" w:sz="4" w:space="0" w:color="auto"/>
              <w:right w:val="single" w:sz="4" w:space="0" w:color="auto"/>
            </w:tcBorders>
            <w:shd w:val="clear" w:color="auto" w:fill="C6EFCE"/>
            <w:noWrap/>
          </w:tcPr>
          <w:p w14:paraId="3E2018DE"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7066C16E"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31178F6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6FE602D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6606EAE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326FB8F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Noua lege va stabili cadrul general pentru dezvoltarea și gestionarea unei infrastructuri de cloud constând într-un set de resurse și servicii din domeniul tehnologiei informației, comunicațiilor și securității cibernetice, partajate de sectorul public în conformitate cu Strategia europeană privind cloud computingul și aliniată la Cadrul național de interoperabilitate. </w:t>
            </w:r>
          </w:p>
        </w:tc>
      </w:tr>
      <w:tr w:rsidR="000A27B3" w:rsidRPr="000A27B3" w14:paraId="381A002A"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EE766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145</w:t>
            </w:r>
          </w:p>
        </w:tc>
        <w:tc>
          <w:tcPr>
            <w:tcW w:w="1740" w:type="dxa"/>
            <w:tcBorders>
              <w:top w:val="single" w:sz="4" w:space="0" w:color="auto"/>
              <w:left w:val="nil"/>
              <w:bottom w:val="single" w:sz="4" w:space="0" w:color="auto"/>
              <w:right w:val="single" w:sz="4" w:space="0" w:color="auto"/>
            </w:tcBorders>
            <w:shd w:val="clear" w:color="auto" w:fill="C6EFCE"/>
            <w:noWrap/>
          </w:tcPr>
          <w:p w14:paraId="7641CC2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Dezvoltarea unui cadru unitar pentru definirea arhitecturii unui sistem de tip cloud guvernamental </w:t>
            </w:r>
          </w:p>
          <w:p w14:paraId="5542BB0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7C0CFB7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1918DA5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noii legi privind interoperabilitatea</w:t>
            </w:r>
          </w:p>
        </w:tc>
        <w:tc>
          <w:tcPr>
            <w:tcW w:w="1389" w:type="dxa"/>
            <w:tcBorders>
              <w:top w:val="single" w:sz="4" w:space="0" w:color="auto"/>
              <w:left w:val="nil"/>
              <w:bottom w:val="single" w:sz="4" w:space="0" w:color="auto"/>
              <w:right w:val="single" w:sz="4" w:space="0" w:color="auto"/>
            </w:tcBorders>
            <w:shd w:val="clear" w:color="auto" w:fill="C6EFCE"/>
            <w:noWrap/>
          </w:tcPr>
          <w:p w14:paraId="1213A89D" w14:textId="77777777" w:rsidR="00500CF9" w:rsidRPr="000A27B3" w:rsidRDefault="00500CF9" w:rsidP="00255AD0">
            <w:pPr>
              <w:spacing w:after="0" w:line="240" w:lineRule="auto"/>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privind interoperabilitatea</w:t>
            </w:r>
          </w:p>
        </w:tc>
        <w:tc>
          <w:tcPr>
            <w:tcW w:w="960" w:type="dxa"/>
            <w:tcBorders>
              <w:top w:val="single" w:sz="4" w:space="0" w:color="auto"/>
              <w:left w:val="nil"/>
              <w:bottom w:val="single" w:sz="4" w:space="0" w:color="auto"/>
              <w:right w:val="single" w:sz="4" w:space="0" w:color="auto"/>
            </w:tcBorders>
            <w:shd w:val="clear" w:color="auto" w:fill="C6EFCE"/>
            <w:noWrap/>
          </w:tcPr>
          <w:p w14:paraId="1738507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66731534"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68016C64"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19A825E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p w14:paraId="62C1CB47"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747" w:type="dxa"/>
            <w:tcBorders>
              <w:top w:val="single" w:sz="4" w:space="0" w:color="auto"/>
              <w:left w:val="nil"/>
              <w:bottom w:val="single" w:sz="4" w:space="0" w:color="auto"/>
              <w:right w:val="single" w:sz="4" w:space="0" w:color="auto"/>
            </w:tcBorders>
            <w:shd w:val="clear" w:color="auto" w:fill="C6EFCE"/>
            <w:noWrap/>
          </w:tcPr>
          <w:p w14:paraId="3FA058E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p w14:paraId="057E93C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3021" w:type="dxa"/>
            <w:tcBorders>
              <w:top w:val="single" w:sz="4" w:space="0" w:color="auto"/>
              <w:left w:val="nil"/>
              <w:bottom w:val="single" w:sz="4" w:space="0" w:color="auto"/>
              <w:right w:val="single" w:sz="4" w:space="0" w:color="auto"/>
            </w:tcBorders>
            <w:shd w:val="clear" w:color="auto" w:fill="C6EFCE"/>
            <w:noWrap/>
          </w:tcPr>
          <w:p w14:paraId="63F7B2D9" w14:textId="77777777" w:rsidR="00500CF9" w:rsidRPr="000A27B3" w:rsidRDefault="00500CF9">
            <w:pPr>
              <w:tabs>
                <w:tab w:val="left" w:pos="207"/>
              </w:tabs>
              <w:spacing w:after="0" w:line="240" w:lineRule="auto"/>
              <w:jc w:val="both"/>
              <w:rPr>
                <w:rFonts w:ascii="Times New Roman" w:eastAsia="Times New Roman" w:hAnsi="Times New Roman" w:cs="Times New Roman"/>
                <w:noProof/>
                <w:sz w:val="24"/>
              </w:rPr>
            </w:pPr>
            <w:r>
              <w:rPr>
                <w:rFonts w:ascii="Times New Roman" w:hAnsi="Times New Roman"/>
                <w:noProof/>
                <w:sz w:val="24"/>
              </w:rPr>
              <w:t>Noua lege:</w:t>
            </w:r>
          </w:p>
          <w:p w14:paraId="30951735"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va fi aliniată la dispozițiile Cadrului european de interoperabilitate</w:t>
            </w:r>
            <w:r w:rsidRPr="000A27B3">
              <w:rPr>
                <w:rFonts w:ascii="Times New Roman" w:eastAsia="Times New Roman" w:hAnsi="Times New Roman" w:cs="Times New Roman"/>
                <w:noProof/>
                <w:sz w:val="24"/>
                <w:lang w:val="en-GB" w:eastAsia="en-IE"/>
              </w:rPr>
              <w:footnoteReference w:id="13"/>
            </w:r>
            <w:r>
              <w:rPr>
                <w:rFonts w:ascii="Times New Roman" w:hAnsi="Times New Roman"/>
                <w:noProof/>
                <w:sz w:val="24"/>
              </w:rPr>
              <w:t>;</w:t>
            </w:r>
          </w:p>
          <w:p w14:paraId="62A82711"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va institui un cadru/o guvernanță pentru sprijinirea alegerii standardelor și normelor relevante pentru dezvoltarea aplicațiilor și serviciilor de către sectorul public într-un mediu sigur și durabil;</w:t>
            </w:r>
          </w:p>
          <w:p w14:paraId="67EF96B5"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va operaționaliza migrarea și integrarea în structurile de date existente, asigurând în același timp interoperabilitatea;</w:t>
            </w:r>
          </w:p>
          <w:p w14:paraId="6D758E4B"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va asigura faptul că punerea în aplicare a funcționalităților implică alinierea infrastructurilor naționale de identificare și autorizare la cele ale statelor membre ale UE în cadrul unui sistem transnațional, în conformitate cu normele europene prevăzute în Regulamentul (UE) 2014/910 privind identificarea electronică și serviciile de încredere pentru tranzacțiile electronice pe piața internă (e-IDAS);</w:t>
            </w:r>
          </w:p>
          <w:p w14:paraId="51E0CCB4"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va lua în considerare principiul „doar o singură dată” încorporat în Regulamentul (UE) 2018/1724 privind portalul digital unic.</w:t>
            </w:r>
          </w:p>
        </w:tc>
      </w:tr>
      <w:tr w:rsidR="000A27B3" w:rsidRPr="000A27B3" w14:paraId="33BF3EAD"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8851EE0" w14:textId="77777777" w:rsidR="00500CF9" w:rsidRPr="000A27B3" w:rsidRDefault="00500CF9">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146</w:t>
            </w:r>
          </w:p>
        </w:tc>
        <w:tc>
          <w:tcPr>
            <w:tcW w:w="1740" w:type="dxa"/>
            <w:tcBorders>
              <w:top w:val="single" w:sz="4" w:space="0" w:color="auto"/>
              <w:left w:val="nil"/>
              <w:bottom w:val="single" w:sz="4" w:space="0" w:color="auto"/>
              <w:right w:val="single" w:sz="4" w:space="0" w:color="auto"/>
            </w:tcBorders>
            <w:shd w:val="clear" w:color="auto" w:fill="C6EFCE"/>
            <w:noWrap/>
          </w:tcPr>
          <w:p w14:paraId="05FE6C7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2.</w:t>
            </w:r>
          </w:p>
          <w:p w14:paraId="0C94CD9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Tranziția către atingerea obiectivelor de conectivitate UE 2025 și stimularea investițiilor private pentru dezvoltarea rețelelor de foarte mare capacitate </w:t>
            </w:r>
          </w:p>
        </w:tc>
        <w:tc>
          <w:tcPr>
            <w:tcW w:w="1073" w:type="dxa"/>
            <w:tcBorders>
              <w:top w:val="single" w:sz="4" w:space="0" w:color="auto"/>
              <w:left w:val="nil"/>
              <w:bottom w:val="single" w:sz="4" w:space="0" w:color="auto"/>
              <w:right w:val="single" w:sz="4" w:space="0" w:color="auto"/>
            </w:tcBorders>
            <w:shd w:val="clear" w:color="auto" w:fill="C6EFCE"/>
            <w:noWrap/>
          </w:tcPr>
          <w:p w14:paraId="439F7C4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86ED37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Intrarea în vigoare a legii privind securitatea rețelelor 5G </w:t>
            </w:r>
          </w:p>
        </w:tc>
        <w:tc>
          <w:tcPr>
            <w:tcW w:w="1389" w:type="dxa"/>
            <w:tcBorders>
              <w:top w:val="single" w:sz="4" w:space="0" w:color="auto"/>
              <w:left w:val="nil"/>
              <w:bottom w:val="single" w:sz="4" w:space="0" w:color="auto"/>
              <w:right w:val="single" w:sz="4" w:space="0" w:color="auto"/>
            </w:tcBorders>
            <w:shd w:val="clear" w:color="auto" w:fill="C6EFCE"/>
            <w:noWrap/>
          </w:tcPr>
          <w:p w14:paraId="2EB3F7E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legală care indică intrarea în vigoare a Legii privind securitatea rețelelor 5G</w:t>
            </w:r>
          </w:p>
        </w:tc>
        <w:tc>
          <w:tcPr>
            <w:tcW w:w="960" w:type="dxa"/>
            <w:tcBorders>
              <w:top w:val="single" w:sz="4" w:space="0" w:color="auto"/>
              <w:left w:val="nil"/>
              <w:bottom w:val="single" w:sz="4" w:space="0" w:color="auto"/>
              <w:right w:val="single" w:sz="4" w:space="0" w:color="auto"/>
            </w:tcBorders>
            <w:shd w:val="clear" w:color="auto" w:fill="C6EFCE"/>
            <w:noWrap/>
          </w:tcPr>
          <w:p w14:paraId="493AAAD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6AB9DED6"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77A6AFE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869" w:type="dxa"/>
            <w:tcBorders>
              <w:top w:val="single" w:sz="4" w:space="0" w:color="auto"/>
              <w:left w:val="nil"/>
              <w:bottom w:val="single" w:sz="4" w:space="0" w:color="auto"/>
              <w:right w:val="single" w:sz="4" w:space="0" w:color="auto"/>
            </w:tcBorders>
            <w:shd w:val="clear" w:color="auto" w:fill="C6EFCE"/>
            <w:noWrap/>
          </w:tcPr>
          <w:p w14:paraId="50B7FE6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3DA861A8"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2021</w:t>
            </w:r>
          </w:p>
        </w:tc>
        <w:tc>
          <w:tcPr>
            <w:tcW w:w="3021" w:type="dxa"/>
            <w:tcBorders>
              <w:top w:val="single" w:sz="4" w:space="0" w:color="auto"/>
              <w:left w:val="nil"/>
              <w:bottom w:val="single" w:sz="4" w:space="0" w:color="auto"/>
              <w:right w:val="single" w:sz="4" w:space="0" w:color="auto"/>
            </w:tcBorders>
            <w:shd w:val="clear" w:color="auto" w:fill="C6EFCE"/>
            <w:noWrap/>
          </w:tcPr>
          <w:p w14:paraId="7FB73D7F" w14:textId="77777777" w:rsidR="00500CF9" w:rsidRPr="000A27B3" w:rsidRDefault="00500CF9">
            <w:pPr>
              <w:spacing w:after="0" w:line="240" w:lineRule="auto"/>
              <w:contextualSpacing/>
              <w:jc w:val="both"/>
              <w:rPr>
                <w:rFonts w:ascii="Times New Roman" w:eastAsia="Times New Roman" w:hAnsi="Times New Roman" w:cs="Times New Roman"/>
                <w:noProof/>
                <w:sz w:val="24"/>
                <w:szCs w:val="24"/>
              </w:rPr>
            </w:pPr>
            <w:r>
              <w:rPr>
                <w:rFonts w:ascii="Times New Roman" w:hAnsi="Times New Roman"/>
                <w:noProof/>
                <w:sz w:val="24"/>
              </w:rPr>
              <w:t>Intrarea în vigoare a Legii privind securitatea rețelelor 5G. Principalele prevederi se vor referi la furnizorii de comunicații, care vor putea utiliza în rețelele 5G numai tehnologii, echipamente și programe software de la producători autorizați în prealabil printr-o decizie a primului ministru, pe baza avizului Consiliului Suprem de Apărare a Țării. Fiecare producător de echipamente și programe software 5G va trebui să facă o solicitare pentru obținerea acestei autorizări, solicitare care va fi depusă la ministerul cu atribuții în domeniul comunicațiilor.</w:t>
            </w:r>
          </w:p>
        </w:tc>
      </w:tr>
      <w:tr w:rsidR="000A27B3" w:rsidRPr="000A27B3" w14:paraId="6EE9A895"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AD45155" w14:textId="77777777" w:rsidR="00500CF9" w:rsidRPr="000A27B3" w:rsidRDefault="00500CF9">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147</w:t>
            </w:r>
          </w:p>
        </w:tc>
        <w:tc>
          <w:tcPr>
            <w:tcW w:w="1740" w:type="dxa"/>
            <w:tcBorders>
              <w:top w:val="single" w:sz="4" w:space="0" w:color="auto"/>
              <w:left w:val="nil"/>
              <w:bottom w:val="single" w:sz="4" w:space="0" w:color="auto"/>
              <w:right w:val="single" w:sz="4" w:space="0" w:color="auto"/>
            </w:tcBorders>
            <w:shd w:val="clear" w:color="auto" w:fill="C6EFCE"/>
            <w:noWrap/>
          </w:tcPr>
          <w:p w14:paraId="4E41059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2.</w:t>
            </w:r>
          </w:p>
          <w:p w14:paraId="2F80584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Tranziția către atingerea obiectivelor de conectivitate UE 2025 și stimularea investițiilor private pentru dezvoltarea rețelelor de foarte mare capacitate </w:t>
            </w:r>
          </w:p>
        </w:tc>
        <w:tc>
          <w:tcPr>
            <w:tcW w:w="1073" w:type="dxa"/>
            <w:tcBorders>
              <w:top w:val="single" w:sz="4" w:space="0" w:color="auto"/>
              <w:left w:val="nil"/>
              <w:bottom w:val="single" w:sz="4" w:space="0" w:color="auto"/>
              <w:right w:val="single" w:sz="4" w:space="0" w:color="auto"/>
            </w:tcBorders>
            <w:shd w:val="clear" w:color="auto" w:fill="C6EFCE"/>
            <w:noWrap/>
          </w:tcPr>
          <w:p w14:paraId="69C7A79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2B75E344" w14:textId="461AF4EF"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Publicarea cererii de ofertă pentru autorizarea operatorilor de telecomunicații să acorde licențe 5G </w:t>
            </w:r>
          </w:p>
        </w:tc>
        <w:tc>
          <w:tcPr>
            <w:tcW w:w="1389" w:type="dxa"/>
            <w:tcBorders>
              <w:top w:val="single" w:sz="4" w:space="0" w:color="auto"/>
              <w:left w:val="nil"/>
              <w:bottom w:val="single" w:sz="4" w:space="0" w:color="auto"/>
              <w:right w:val="single" w:sz="4" w:space="0" w:color="auto"/>
            </w:tcBorders>
            <w:shd w:val="clear" w:color="auto" w:fill="C6EFCE"/>
            <w:noWrap/>
          </w:tcPr>
          <w:p w14:paraId="649C682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Cererea de oferte este publicată pe site-ul ANCOM </w:t>
            </w:r>
          </w:p>
        </w:tc>
        <w:tc>
          <w:tcPr>
            <w:tcW w:w="960" w:type="dxa"/>
            <w:tcBorders>
              <w:top w:val="single" w:sz="4" w:space="0" w:color="auto"/>
              <w:left w:val="nil"/>
              <w:bottom w:val="single" w:sz="4" w:space="0" w:color="auto"/>
              <w:right w:val="single" w:sz="4" w:space="0" w:color="auto"/>
            </w:tcBorders>
            <w:shd w:val="clear" w:color="auto" w:fill="C6EFCE"/>
            <w:noWrap/>
          </w:tcPr>
          <w:p w14:paraId="5F540F0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36D0A91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7DF3269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869" w:type="dxa"/>
            <w:tcBorders>
              <w:top w:val="single" w:sz="4" w:space="0" w:color="auto"/>
              <w:left w:val="nil"/>
              <w:bottom w:val="single" w:sz="4" w:space="0" w:color="auto"/>
              <w:right w:val="single" w:sz="4" w:space="0" w:color="auto"/>
            </w:tcBorders>
            <w:shd w:val="clear" w:color="auto" w:fill="C6EFCE"/>
            <w:noWrap/>
          </w:tcPr>
          <w:p w14:paraId="741BCC16"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69715D6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3D192A8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Publicarea și organizarea unei proceduri de selecție concurențiale (licitație) pentru acordarea așa-numitelor „licențe 5G” (și anume, în benzile de 700 MHz, 1 500 MHz și 3,4-3,8 GHz). </w:t>
            </w:r>
          </w:p>
          <w:p w14:paraId="098195C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Sunt avute în vedere licențe pe termen lung în conformitate cu criteriile Codului european al comunicațiilor electronice, pentru a stimula în mod eficient tehnologia 5G, pentru a promova concurența și drepturile utilizatorilor finali.</w:t>
            </w:r>
          </w:p>
          <w:p w14:paraId="4B5AA14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Procedura de licitație se va baza pe experiența anterioară cu licitațiile din domeniul spectrului din România (2012 și 2015) și pe procedurile recente similare din UE și va include garanții concurențiale, mecanisme de modelare a pieței și condiții aferente licențelor, toate acestea fiind adecvate specificului și dinamicii pieței românești. </w:t>
            </w:r>
          </w:p>
        </w:tc>
      </w:tr>
      <w:tr w:rsidR="000A27B3" w:rsidRPr="000A27B3" w14:paraId="6A0ED002"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4F55823"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148</w:t>
            </w:r>
          </w:p>
        </w:tc>
        <w:tc>
          <w:tcPr>
            <w:tcW w:w="1740" w:type="dxa"/>
            <w:tcBorders>
              <w:top w:val="single" w:sz="4" w:space="0" w:color="auto"/>
              <w:left w:val="nil"/>
              <w:bottom w:val="single" w:sz="4" w:space="0" w:color="auto"/>
              <w:right w:val="single" w:sz="4" w:space="0" w:color="auto"/>
            </w:tcBorders>
            <w:shd w:val="clear" w:color="auto" w:fill="C6EFCE"/>
            <w:noWrap/>
          </w:tcPr>
          <w:p w14:paraId="234301DF"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2.</w:t>
            </w:r>
          </w:p>
          <w:p w14:paraId="5CAB829B" w14:textId="32971ED8"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Tranziția către atingerea obiectivelor de conectivitate UE 2025 și stimularea investițiilor private pentru dezvoltarea rețelelor de foarte mare capacitate </w:t>
            </w:r>
          </w:p>
        </w:tc>
        <w:tc>
          <w:tcPr>
            <w:tcW w:w="1073" w:type="dxa"/>
            <w:tcBorders>
              <w:top w:val="single" w:sz="4" w:space="0" w:color="auto"/>
              <w:left w:val="nil"/>
              <w:bottom w:val="single" w:sz="4" w:space="0" w:color="auto"/>
              <w:right w:val="single" w:sz="4" w:space="0" w:color="auto"/>
            </w:tcBorders>
            <w:shd w:val="clear" w:color="auto" w:fill="C6EFCE"/>
            <w:noWrap/>
          </w:tcPr>
          <w:p w14:paraId="3ABE4FC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320816A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Recomandările prevăzute în setul de instrumente al UE privind conectivitatea sunt implementate</w:t>
            </w:r>
          </w:p>
        </w:tc>
        <w:tc>
          <w:tcPr>
            <w:tcW w:w="1389" w:type="dxa"/>
            <w:tcBorders>
              <w:top w:val="single" w:sz="4" w:space="0" w:color="auto"/>
              <w:left w:val="nil"/>
              <w:bottom w:val="single" w:sz="4" w:space="0" w:color="auto"/>
              <w:right w:val="single" w:sz="4" w:space="0" w:color="auto"/>
            </w:tcBorders>
            <w:shd w:val="clear" w:color="auto" w:fill="C6EFCE"/>
            <w:noWrap/>
          </w:tcPr>
          <w:p w14:paraId="7B59104D"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960" w:type="dxa"/>
            <w:tcBorders>
              <w:top w:val="single" w:sz="4" w:space="0" w:color="auto"/>
              <w:left w:val="nil"/>
              <w:bottom w:val="single" w:sz="4" w:space="0" w:color="auto"/>
              <w:right w:val="single" w:sz="4" w:space="0" w:color="auto"/>
            </w:tcBorders>
            <w:shd w:val="clear" w:color="auto" w:fill="C6EFCE"/>
            <w:noWrap/>
          </w:tcPr>
          <w:p w14:paraId="22D356CE"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20B5E7FE"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51" w:type="dxa"/>
            <w:tcBorders>
              <w:top w:val="single" w:sz="4" w:space="0" w:color="auto"/>
              <w:left w:val="nil"/>
              <w:bottom w:val="single" w:sz="4" w:space="0" w:color="auto"/>
              <w:right w:val="single" w:sz="4" w:space="0" w:color="auto"/>
            </w:tcBorders>
            <w:shd w:val="clear" w:color="auto" w:fill="C6EFCE"/>
            <w:noWrap/>
          </w:tcPr>
          <w:p w14:paraId="7D91B5DD"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869" w:type="dxa"/>
            <w:tcBorders>
              <w:top w:val="single" w:sz="4" w:space="0" w:color="auto"/>
              <w:left w:val="nil"/>
              <w:bottom w:val="single" w:sz="4" w:space="0" w:color="auto"/>
              <w:right w:val="single" w:sz="4" w:space="0" w:color="auto"/>
            </w:tcBorders>
            <w:shd w:val="clear" w:color="auto" w:fill="C6EFCE"/>
            <w:noWrap/>
          </w:tcPr>
          <w:p w14:paraId="59FAE12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7" w:type="dxa"/>
            <w:tcBorders>
              <w:top w:val="single" w:sz="4" w:space="0" w:color="auto"/>
              <w:left w:val="nil"/>
              <w:bottom w:val="single" w:sz="4" w:space="0" w:color="auto"/>
              <w:right w:val="single" w:sz="4" w:space="0" w:color="auto"/>
            </w:tcBorders>
            <w:shd w:val="clear" w:color="auto" w:fill="C6EFCE"/>
            <w:noWrap/>
          </w:tcPr>
          <w:p w14:paraId="089BCD5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5C20487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foii de parcurs a României, ce aplică setul de instrumente privind conectivitatea</w:t>
            </w:r>
            <w:r w:rsidRPr="000A27B3">
              <w:rPr>
                <w:rFonts w:ascii="Times New Roman" w:eastAsia="Times New Roman" w:hAnsi="Times New Roman" w:cs="Times New Roman"/>
                <w:noProof/>
                <w:sz w:val="24"/>
                <w:szCs w:val="24"/>
                <w:vertAlign w:val="superscript"/>
                <w:lang w:val="en-GB"/>
              </w:rPr>
              <w:footnoteReference w:id="14"/>
            </w:r>
            <w:r>
              <w:rPr>
                <w:rFonts w:ascii="Times New Roman" w:hAnsi="Times New Roman"/>
                <w:noProof/>
                <w:sz w:val="24"/>
              </w:rPr>
              <w:t>, este un efort comun care implică mai multe părți interesate.</w:t>
            </w:r>
          </w:p>
          <w:p w14:paraId="5D898F6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Conform proiectului de foaie de parcurs, care în prezent este analizat de ministerele de resort, România va pune în aplicare 12 dintre cele 39 de recomandări:</w:t>
            </w:r>
          </w:p>
          <w:p w14:paraId="014EE11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24 – Promovarea unor prețuri de rezervă adecvate</w:t>
            </w:r>
          </w:p>
          <w:p w14:paraId="4A1D3F0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25 – Disponibilitatea la timp a benzilor armonizate 5G</w:t>
            </w:r>
          </w:p>
          <w:p w14:paraId="5F0831C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28 – Regim de autorizare individuală pentru banda de frecvențe de 24.25-27.5 GHz</w:t>
            </w:r>
          </w:p>
          <w:p w14:paraId="5869BD96"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31 – Structura taxelor recurente pentru spectru va stimula implementarea</w:t>
            </w:r>
          </w:p>
          <w:p w14:paraId="6B9B02B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38 – Comunicare coordonată și specifică pentru informarea și educarea cu privire la implementarea tehnologiei 5G</w:t>
            </w:r>
          </w:p>
          <w:p w14:paraId="34C46E3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39 – Informarea publicului cu privire la conformitatea instalațiilor stațiilor radio de bază cu limitele de siguranță pentru CEM aplicabile.</w:t>
            </w:r>
          </w:p>
          <w:p w14:paraId="6EC5FDE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 preconizează că toate aceste recomandări vor fi finalizate până la sfârșitul anului 2021, în timp ce:</w:t>
            </w:r>
          </w:p>
          <w:p w14:paraId="3CA9E49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 – Furnizarea de reglementări model privind instalarea rețelelor de comunicații electronice</w:t>
            </w:r>
          </w:p>
          <w:p w14:paraId="5CB3BA9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 – Furnizarea de materiale informative și organizarea de ateliere pentru municipalități și alte autorități competente</w:t>
            </w:r>
          </w:p>
          <w:p w14:paraId="760A1A1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11 – Asigurarea disponibilității informațiilor din diferite surse și sporirea transparenței lucrărilor de construcții civile planificate</w:t>
            </w:r>
          </w:p>
          <w:p w14:paraId="7C98632F"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26 – Revizuirea periodică a planurilor naționale privind spectrul</w:t>
            </w:r>
          </w:p>
          <w:p w14:paraId="7D21F92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32 – Utilizarea ajutorului financiar ca o completare pentru stimularea investițiilor</w:t>
            </w:r>
          </w:p>
          <w:p w14:paraId="1B5F7F5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35 – Utilizarea condițiilor tehnice armonizate elaborate de Conferința europeană a administrațiilor de poștă și telecomunicații (CEPT)/Comitetul pentru comunicații electronice (ECC), în cazul în care vor fi considerate necesare intervale de frecvențe specifice comune</w:t>
            </w:r>
          </w:p>
          <w:p w14:paraId="39A42AE8" w14:textId="77777777" w:rsidR="00500CF9" w:rsidRPr="000A27B3" w:rsidRDefault="00500CF9">
            <w:pPr>
              <w:spacing w:after="0"/>
              <w:contextualSpacing/>
              <w:jc w:val="both"/>
              <w:rPr>
                <w:rFonts w:eastAsia="Times New Roman"/>
                <w:noProof/>
              </w:rPr>
            </w:pPr>
            <w:r>
              <w:rPr>
                <w:rFonts w:ascii="Times New Roman" w:hAnsi="Times New Roman"/>
                <w:noProof/>
                <w:sz w:val="24"/>
              </w:rPr>
              <w:t>Toate acestea vor fi finalizate în 2022.</w:t>
            </w:r>
          </w:p>
        </w:tc>
      </w:tr>
      <w:tr w:rsidR="000A27B3" w:rsidRPr="000A27B3" w14:paraId="66ECB1BA"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54ED2BD"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149</w:t>
            </w:r>
          </w:p>
        </w:tc>
        <w:tc>
          <w:tcPr>
            <w:tcW w:w="1740" w:type="dxa"/>
            <w:tcBorders>
              <w:top w:val="single" w:sz="4" w:space="0" w:color="auto"/>
              <w:left w:val="nil"/>
              <w:bottom w:val="single" w:sz="4" w:space="0" w:color="auto"/>
              <w:right w:val="single" w:sz="4" w:space="0" w:color="auto"/>
            </w:tcBorders>
            <w:shd w:val="clear" w:color="auto" w:fill="C6EFCE"/>
            <w:noWrap/>
          </w:tcPr>
          <w:p w14:paraId="4BF779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2.</w:t>
            </w:r>
          </w:p>
          <w:p w14:paraId="7005789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Tranziția către atingerea obiectivelor de conectivitate UE 2025 și stimularea investițiilor private pentru dezvoltarea rețelelor de foarte mare capacitate </w:t>
            </w:r>
          </w:p>
        </w:tc>
        <w:tc>
          <w:tcPr>
            <w:tcW w:w="1073" w:type="dxa"/>
            <w:tcBorders>
              <w:top w:val="single" w:sz="4" w:space="0" w:color="auto"/>
              <w:left w:val="nil"/>
              <w:bottom w:val="single" w:sz="4" w:space="0" w:color="auto"/>
              <w:right w:val="single" w:sz="4" w:space="0" w:color="auto"/>
            </w:tcBorders>
            <w:shd w:val="clear" w:color="auto" w:fill="C6EFCE"/>
            <w:noWrap/>
          </w:tcPr>
          <w:p w14:paraId="1CF0E0A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FE804D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Alocarea drepturilor de utilizare a spectrului de frecvențe radio</w:t>
            </w:r>
          </w:p>
        </w:tc>
        <w:tc>
          <w:tcPr>
            <w:tcW w:w="1389" w:type="dxa"/>
            <w:tcBorders>
              <w:top w:val="single" w:sz="4" w:space="0" w:color="auto"/>
              <w:left w:val="nil"/>
              <w:bottom w:val="single" w:sz="4" w:space="0" w:color="auto"/>
              <w:right w:val="single" w:sz="4" w:space="0" w:color="auto"/>
            </w:tcBorders>
            <w:shd w:val="clear" w:color="auto" w:fill="C6EFCE"/>
            <w:noWrap/>
          </w:tcPr>
          <w:p w14:paraId="630DBA1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Drepturile de utilizare sunt atribuite</w:t>
            </w:r>
          </w:p>
        </w:tc>
        <w:tc>
          <w:tcPr>
            <w:tcW w:w="960" w:type="dxa"/>
            <w:tcBorders>
              <w:top w:val="single" w:sz="4" w:space="0" w:color="auto"/>
              <w:left w:val="nil"/>
              <w:bottom w:val="single" w:sz="4" w:space="0" w:color="auto"/>
              <w:right w:val="single" w:sz="4" w:space="0" w:color="auto"/>
            </w:tcBorders>
            <w:shd w:val="clear" w:color="auto" w:fill="C6EFCE"/>
            <w:noWrap/>
          </w:tcPr>
          <w:p w14:paraId="20A7E67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6441E16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4E70719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869" w:type="dxa"/>
            <w:tcBorders>
              <w:top w:val="single" w:sz="4" w:space="0" w:color="auto"/>
              <w:left w:val="nil"/>
              <w:bottom w:val="single" w:sz="4" w:space="0" w:color="auto"/>
              <w:right w:val="single" w:sz="4" w:space="0" w:color="auto"/>
            </w:tcBorders>
            <w:shd w:val="clear" w:color="auto" w:fill="C6EFCE"/>
            <w:noWrap/>
          </w:tcPr>
          <w:p w14:paraId="4AC2E43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7" w:type="dxa"/>
            <w:tcBorders>
              <w:top w:val="single" w:sz="4" w:space="0" w:color="auto"/>
              <w:left w:val="nil"/>
              <w:bottom w:val="single" w:sz="4" w:space="0" w:color="auto"/>
              <w:right w:val="single" w:sz="4" w:space="0" w:color="auto"/>
            </w:tcBorders>
            <w:shd w:val="clear" w:color="auto" w:fill="C6EFCE"/>
            <w:noWrap/>
          </w:tcPr>
          <w:p w14:paraId="31BA899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5C3E589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Licențele pentru frecvențele radio „5G” se vor aloca pe baza rezultatelor procedurii de selecție concurențiale/licitației prevăzute la jalonul 147.</w:t>
            </w:r>
          </w:p>
          <w:p w14:paraId="5ED9DC7E" w14:textId="77777777" w:rsidR="00500CF9" w:rsidRPr="009F1DC7" w:rsidRDefault="00500CF9">
            <w:pPr>
              <w:spacing w:after="0" w:line="240" w:lineRule="auto"/>
              <w:ind w:left="282"/>
              <w:contextualSpacing/>
              <w:jc w:val="both"/>
              <w:rPr>
                <w:rFonts w:ascii="Times New Roman" w:eastAsia="Times New Roman" w:hAnsi="Times New Roman" w:cs="Times New Roman"/>
                <w:noProof/>
                <w:sz w:val="24"/>
                <w:szCs w:val="24"/>
              </w:rPr>
            </w:pPr>
          </w:p>
        </w:tc>
      </w:tr>
      <w:tr w:rsidR="000A27B3" w:rsidRPr="000A27B3" w14:paraId="16750ED8"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16B1240"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150</w:t>
            </w:r>
          </w:p>
        </w:tc>
        <w:tc>
          <w:tcPr>
            <w:tcW w:w="1740" w:type="dxa"/>
            <w:tcBorders>
              <w:top w:val="single" w:sz="4" w:space="0" w:color="auto"/>
              <w:left w:val="nil"/>
              <w:bottom w:val="single" w:sz="4" w:space="0" w:color="auto"/>
              <w:right w:val="single" w:sz="4" w:space="0" w:color="auto"/>
            </w:tcBorders>
            <w:shd w:val="clear" w:color="auto" w:fill="C6EFCE"/>
            <w:noWrap/>
          </w:tcPr>
          <w:p w14:paraId="23A7E7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3. Asigurarea securității cibernetice a entităților publice și private care dețin infrastructuri cu valențe critice </w:t>
            </w:r>
          </w:p>
        </w:tc>
        <w:tc>
          <w:tcPr>
            <w:tcW w:w="1073" w:type="dxa"/>
            <w:tcBorders>
              <w:top w:val="single" w:sz="4" w:space="0" w:color="auto"/>
              <w:left w:val="nil"/>
              <w:bottom w:val="single" w:sz="4" w:space="0" w:color="auto"/>
              <w:right w:val="single" w:sz="4" w:space="0" w:color="auto"/>
            </w:tcBorders>
            <w:shd w:val="clear" w:color="auto" w:fill="C6EFCE"/>
            <w:noWrap/>
          </w:tcPr>
          <w:p w14:paraId="7B64750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7EAE3B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Adoptarea Strategiei naționale privind securitatea cibernetică 2021-2026</w:t>
            </w:r>
          </w:p>
        </w:tc>
        <w:tc>
          <w:tcPr>
            <w:tcW w:w="1389" w:type="dxa"/>
            <w:tcBorders>
              <w:top w:val="single" w:sz="4" w:space="0" w:color="auto"/>
              <w:left w:val="nil"/>
              <w:bottom w:val="single" w:sz="4" w:space="0" w:color="auto"/>
              <w:right w:val="single" w:sz="4" w:space="0" w:color="auto"/>
            </w:tcBorders>
            <w:shd w:val="clear" w:color="auto" w:fill="C6EFCE"/>
            <w:noWrap/>
          </w:tcPr>
          <w:p w14:paraId="692DB5DF"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Adoptarea de către guvern a Strategiei naționale privind securitatea cibernetică 2021-2026</w:t>
            </w:r>
          </w:p>
        </w:tc>
        <w:tc>
          <w:tcPr>
            <w:tcW w:w="960" w:type="dxa"/>
            <w:tcBorders>
              <w:top w:val="single" w:sz="4" w:space="0" w:color="auto"/>
              <w:left w:val="nil"/>
              <w:bottom w:val="single" w:sz="4" w:space="0" w:color="auto"/>
              <w:right w:val="single" w:sz="4" w:space="0" w:color="auto"/>
            </w:tcBorders>
            <w:shd w:val="clear" w:color="auto" w:fill="C6EFCE"/>
            <w:noWrap/>
          </w:tcPr>
          <w:p w14:paraId="19A70B2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386464B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7E77754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47DAE74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33E686F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2021</w:t>
            </w:r>
          </w:p>
        </w:tc>
        <w:tc>
          <w:tcPr>
            <w:tcW w:w="3021" w:type="dxa"/>
            <w:tcBorders>
              <w:top w:val="single" w:sz="4" w:space="0" w:color="auto"/>
              <w:left w:val="nil"/>
              <w:bottom w:val="single" w:sz="4" w:space="0" w:color="auto"/>
              <w:right w:val="single" w:sz="4" w:space="0" w:color="auto"/>
            </w:tcBorders>
            <w:shd w:val="clear" w:color="auto" w:fill="C6EFCE"/>
            <w:noWrap/>
          </w:tcPr>
          <w:p w14:paraId="2DD3E60E" w14:textId="17D3178D"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Strategia națională privind securitatea cibernetică 2021</w:t>
            </w:r>
            <w:r w:rsidR="00ED2A55">
              <w:rPr>
                <w:rFonts w:ascii="Times New Roman" w:hAnsi="Times New Roman"/>
                <w:noProof/>
                <w:sz w:val="24"/>
              </w:rPr>
              <w:t>­</w:t>
            </w:r>
            <w:r>
              <w:rPr>
                <w:rFonts w:ascii="Times New Roman" w:hAnsi="Times New Roman"/>
                <w:noProof/>
                <w:sz w:val="24"/>
              </w:rPr>
              <w:t>2026 va fi adoptată și va include dispoziții privind:</w:t>
            </w:r>
          </w:p>
          <w:p w14:paraId="352D6F65"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 xml:space="preserve">evaluări și actualizări periodice ale cadrului instituțional și de reglementare în materie de securitate cibernetică; </w:t>
            </w:r>
          </w:p>
          <w:p w14:paraId="2B173409"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 xml:space="preserve">consolidarea parteneriatului public-privat pentru sporirea rezilienței cibernetică a societății în ansamblul său; </w:t>
            </w:r>
          </w:p>
          <w:p w14:paraId="3433F58B"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 xml:space="preserve">dezvoltarea capacității de reacție la atacurile cibernetice și a rezilienței sistemelor, rețelelor și serviciilor; </w:t>
            </w:r>
          </w:p>
          <w:p w14:paraId="485F98C8"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consolidarea rolului României în arhitectura securității cibernetice de la nivel internațional.</w:t>
            </w:r>
          </w:p>
        </w:tc>
      </w:tr>
      <w:tr w:rsidR="000A27B3" w:rsidRPr="000A27B3" w14:paraId="066A07B4"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3C7344F"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151</w:t>
            </w:r>
          </w:p>
        </w:tc>
        <w:tc>
          <w:tcPr>
            <w:tcW w:w="1740" w:type="dxa"/>
            <w:tcBorders>
              <w:top w:val="single" w:sz="4" w:space="0" w:color="auto"/>
              <w:left w:val="nil"/>
              <w:bottom w:val="single" w:sz="4" w:space="0" w:color="auto"/>
              <w:right w:val="single" w:sz="4" w:space="0" w:color="auto"/>
            </w:tcBorders>
            <w:shd w:val="clear" w:color="auto" w:fill="C6EFCE"/>
            <w:noWrap/>
          </w:tcPr>
          <w:p w14:paraId="2C2E8B4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3. Asigurarea securității cibernetice a entităților publice și private care dețin infrastructuri cu valențe critice</w:t>
            </w:r>
          </w:p>
        </w:tc>
        <w:tc>
          <w:tcPr>
            <w:tcW w:w="1073" w:type="dxa"/>
            <w:tcBorders>
              <w:top w:val="single" w:sz="4" w:space="0" w:color="auto"/>
              <w:left w:val="nil"/>
              <w:bottom w:val="single" w:sz="4" w:space="0" w:color="auto"/>
              <w:right w:val="single" w:sz="4" w:space="0" w:color="auto"/>
            </w:tcBorders>
            <w:shd w:val="clear" w:color="auto" w:fill="C6EFCE"/>
            <w:noWrap/>
          </w:tcPr>
          <w:p w14:paraId="10A0D3D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04EBC4C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Legii privind apărarea și securitatea cibernetică a României</w:t>
            </w:r>
          </w:p>
        </w:tc>
        <w:tc>
          <w:tcPr>
            <w:tcW w:w="1389" w:type="dxa"/>
            <w:tcBorders>
              <w:top w:val="single" w:sz="4" w:space="0" w:color="auto"/>
              <w:left w:val="nil"/>
              <w:bottom w:val="single" w:sz="4" w:space="0" w:color="auto"/>
              <w:right w:val="single" w:sz="4" w:space="0" w:color="auto"/>
            </w:tcBorders>
            <w:shd w:val="clear" w:color="auto" w:fill="C6EFCE"/>
            <w:noWrap/>
          </w:tcPr>
          <w:p w14:paraId="63E9192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legală care indică intrarea în vigoare a Legii privind apărarea și securitatea cibernetică a României</w:t>
            </w:r>
          </w:p>
        </w:tc>
        <w:tc>
          <w:tcPr>
            <w:tcW w:w="960" w:type="dxa"/>
            <w:tcBorders>
              <w:top w:val="single" w:sz="4" w:space="0" w:color="auto"/>
              <w:left w:val="nil"/>
              <w:bottom w:val="single" w:sz="4" w:space="0" w:color="auto"/>
              <w:right w:val="single" w:sz="4" w:space="0" w:color="auto"/>
            </w:tcBorders>
            <w:shd w:val="clear" w:color="auto" w:fill="C6EFCE"/>
            <w:noWrap/>
          </w:tcPr>
          <w:p w14:paraId="0076C79C"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67D4685D"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51" w:type="dxa"/>
            <w:tcBorders>
              <w:top w:val="single" w:sz="4" w:space="0" w:color="auto"/>
              <w:left w:val="nil"/>
              <w:bottom w:val="single" w:sz="4" w:space="0" w:color="auto"/>
              <w:right w:val="single" w:sz="4" w:space="0" w:color="auto"/>
            </w:tcBorders>
            <w:shd w:val="clear" w:color="auto" w:fill="C6EFCE"/>
            <w:noWrap/>
          </w:tcPr>
          <w:p w14:paraId="5AB49692"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869" w:type="dxa"/>
            <w:tcBorders>
              <w:top w:val="single" w:sz="4" w:space="0" w:color="auto"/>
              <w:left w:val="nil"/>
              <w:bottom w:val="single" w:sz="4" w:space="0" w:color="auto"/>
              <w:right w:val="single" w:sz="4" w:space="0" w:color="auto"/>
            </w:tcBorders>
            <w:shd w:val="clear" w:color="auto" w:fill="C6EFCE"/>
            <w:noWrap/>
          </w:tcPr>
          <w:p w14:paraId="5D013BB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135D1C8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761B0A6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Legea privind apărarea și securitatea cibernetică a România va stabili cadrul juridic și instituțional pentru organizarea și desfășurarea activităților din domeniul securității cibernetice și al apărării cibernetice, mecanismele de cooperare și răspunsurile instituțiilor în domeniile în cauză.</w:t>
            </w:r>
          </w:p>
        </w:tc>
      </w:tr>
      <w:tr w:rsidR="000A27B3" w:rsidRPr="000A27B3" w14:paraId="216B1A0E"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CB63D90"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152</w:t>
            </w:r>
          </w:p>
        </w:tc>
        <w:tc>
          <w:tcPr>
            <w:tcW w:w="1740" w:type="dxa"/>
            <w:tcBorders>
              <w:top w:val="single" w:sz="4" w:space="0" w:color="auto"/>
              <w:left w:val="nil"/>
              <w:bottom w:val="single" w:sz="4" w:space="0" w:color="auto"/>
              <w:right w:val="single" w:sz="4" w:space="0" w:color="auto"/>
            </w:tcBorders>
            <w:shd w:val="clear" w:color="auto" w:fill="C6EFCE"/>
            <w:noWrap/>
          </w:tcPr>
          <w:p w14:paraId="6664877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4.</w:t>
            </w:r>
          </w:p>
          <w:p w14:paraId="39AEBFD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Creșterea competențelor digitale pentru exercitarea funcției publice și educație digitală pe parcursul vieții pentru cetățeni</w:t>
            </w:r>
          </w:p>
        </w:tc>
        <w:tc>
          <w:tcPr>
            <w:tcW w:w="1073" w:type="dxa"/>
            <w:tcBorders>
              <w:top w:val="single" w:sz="4" w:space="0" w:color="auto"/>
              <w:left w:val="nil"/>
              <w:bottom w:val="single" w:sz="4" w:space="0" w:color="auto"/>
              <w:right w:val="single" w:sz="4" w:space="0" w:color="auto"/>
            </w:tcBorders>
            <w:shd w:val="clear" w:color="auto" w:fill="C6EFCE"/>
            <w:noWrap/>
          </w:tcPr>
          <w:p w14:paraId="0003925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24122CFC" w14:textId="5BB6D8F9"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Ordinului ministerial al ministrului muncii și al președintelui Institutului Național de Statistică pentru definirea ocupațiilor noi digitale în clasificarea ocupațiilor (COR) </w:t>
            </w:r>
          </w:p>
          <w:p w14:paraId="6854926B" w14:textId="77777777" w:rsidR="00500CF9" w:rsidRPr="009F1DC7" w:rsidRDefault="00500CF9">
            <w:pPr>
              <w:spacing w:after="0" w:line="240" w:lineRule="auto"/>
              <w:jc w:val="both"/>
              <w:rPr>
                <w:rFonts w:ascii="Times New Roman" w:eastAsia="Times New Roman" w:hAnsi="Times New Roman" w:cs="Times New Roman"/>
                <w:noProof/>
                <w:sz w:val="24"/>
                <w:szCs w:val="24"/>
              </w:rPr>
            </w:pPr>
          </w:p>
        </w:tc>
        <w:tc>
          <w:tcPr>
            <w:tcW w:w="1389" w:type="dxa"/>
            <w:tcBorders>
              <w:top w:val="single" w:sz="4" w:space="0" w:color="auto"/>
              <w:left w:val="nil"/>
              <w:bottom w:val="single" w:sz="4" w:space="0" w:color="auto"/>
              <w:right w:val="single" w:sz="4" w:space="0" w:color="auto"/>
            </w:tcBorders>
            <w:shd w:val="clear" w:color="auto" w:fill="C6EFCE"/>
            <w:noWrap/>
          </w:tcPr>
          <w:p w14:paraId="0F81F67E" w14:textId="77777777" w:rsidR="00500CF9" w:rsidRPr="009F1DC7" w:rsidRDefault="00500CF9">
            <w:pPr>
              <w:spacing w:after="0" w:line="240" w:lineRule="auto"/>
              <w:jc w:val="both"/>
              <w:rPr>
                <w:rFonts w:ascii="Times New Roman" w:eastAsia="Times New Roman" w:hAnsi="Times New Roman" w:cs="Times New Roman"/>
                <w:noProof/>
                <w:sz w:val="24"/>
                <w:szCs w:val="24"/>
              </w:rPr>
            </w:pPr>
          </w:p>
          <w:p w14:paraId="07D9F2E1" w14:textId="77777777" w:rsidR="00500CF9" w:rsidRPr="009F1DC7" w:rsidRDefault="00500CF9">
            <w:pPr>
              <w:spacing w:after="0" w:line="240" w:lineRule="auto"/>
              <w:jc w:val="both"/>
              <w:rPr>
                <w:rFonts w:ascii="Times New Roman" w:eastAsia="Times New Roman" w:hAnsi="Times New Roman" w:cs="Times New Roman"/>
                <w:noProof/>
                <w:sz w:val="24"/>
                <w:szCs w:val="24"/>
              </w:rPr>
            </w:pPr>
          </w:p>
          <w:p w14:paraId="4F47509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din ordinul ministrului muncii și al președintelui Institutului Național de Statistică care indică intrarea în vigoare a modificării prin care se definesc noile ocupații digitale în cadrul COR.</w:t>
            </w:r>
          </w:p>
        </w:tc>
        <w:tc>
          <w:tcPr>
            <w:tcW w:w="960" w:type="dxa"/>
            <w:tcBorders>
              <w:top w:val="single" w:sz="4" w:space="0" w:color="auto"/>
              <w:left w:val="nil"/>
              <w:bottom w:val="single" w:sz="4" w:space="0" w:color="auto"/>
              <w:right w:val="single" w:sz="4" w:space="0" w:color="auto"/>
            </w:tcBorders>
            <w:shd w:val="clear" w:color="auto" w:fill="C6EFCE"/>
            <w:noWrap/>
          </w:tcPr>
          <w:p w14:paraId="7DEAB8A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30BB6AD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51" w:type="dxa"/>
            <w:tcBorders>
              <w:top w:val="single" w:sz="4" w:space="0" w:color="auto"/>
              <w:left w:val="nil"/>
              <w:bottom w:val="single" w:sz="4" w:space="0" w:color="auto"/>
              <w:right w:val="single" w:sz="4" w:space="0" w:color="auto"/>
            </w:tcBorders>
            <w:shd w:val="clear" w:color="auto" w:fill="C6EFCE"/>
            <w:noWrap/>
          </w:tcPr>
          <w:p w14:paraId="20FE712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869" w:type="dxa"/>
            <w:tcBorders>
              <w:top w:val="single" w:sz="4" w:space="0" w:color="auto"/>
              <w:left w:val="nil"/>
              <w:bottom w:val="single" w:sz="4" w:space="0" w:color="auto"/>
              <w:right w:val="single" w:sz="4" w:space="0" w:color="auto"/>
            </w:tcBorders>
            <w:shd w:val="clear" w:color="auto" w:fill="C6EFCE"/>
            <w:noWrap/>
          </w:tcPr>
          <w:p w14:paraId="5C48B89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7" w:type="dxa"/>
            <w:tcBorders>
              <w:top w:val="single" w:sz="4" w:space="0" w:color="auto"/>
              <w:left w:val="nil"/>
              <w:bottom w:val="single" w:sz="4" w:space="0" w:color="auto"/>
              <w:right w:val="single" w:sz="4" w:space="0" w:color="auto"/>
            </w:tcBorders>
            <w:shd w:val="clear" w:color="auto" w:fill="C6EFCE"/>
            <w:noWrap/>
          </w:tcPr>
          <w:p w14:paraId="6CDE729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2CDFD13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Ordinul ministerial al ministrului muncii și al președintelui Institutului Național de Statistică va defini noile ocupații digitale în cadrul Clasificării Ocupațiilor din România (COR), acestea fiind echivalente cu cele existente în țările Uniunii Europene cu bune practici în digitalizare. Se va efectua un studiu/o analiză de diagnosticare pentru a furniza o previziune pentru următorii cinci ani în ceea ce privește nevoile de forță de muncă în contextul transformării digitale a economiei și al tranziției către industria 4.0, inclusiv recomandări pentru definirea noilor ocupații digitale în clasificarea oficială a ocupațiilor.</w:t>
            </w:r>
          </w:p>
        </w:tc>
      </w:tr>
      <w:tr w:rsidR="000A27B3" w:rsidRPr="000A27B3" w14:paraId="45BC0D44"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4D35F75"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153</w:t>
            </w:r>
          </w:p>
        </w:tc>
        <w:tc>
          <w:tcPr>
            <w:tcW w:w="1740" w:type="dxa"/>
            <w:tcBorders>
              <w:top w:val="single" w:sz="4" w:space="0" w:color="auto"/>
              <w:left w:val="nil"/>
              <w:bottom w:val="single" w:sz="4" w:space="0" w:color="auto"/>
              <w:right w:val="single" w:sz="4" w:space="0" w:color="auto"/>
            </w:tcBorders>
            <w:shd w:val="clear" w:color="auto" w:fill="C6EFCE"/>
            <w:noWrap/>
          </w:tcPr>
          <w:p w14:paraId="5C01D33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w:t>
            </w:r>
          </w:p>
          <w:p w14:paraId="4D1091F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infrastructurii de cloud guvernamental </w:t>
            </w:r>
          </w:p>
          <w:p w14:paraId="0FBB7D6E"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26C7A54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41B5C3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contractului de implementare a investiției pe baza procedurii de ofertare pentru implementarea investiției</w:t>
            </w:r>
          </w:p>
        </w:tc>
        <w:tc>
          <w:tcPr>
            <w:tcW w:w="1389" w:type="dxa"/>
            <w:tcBorders>
              <w:top w:val="single" w:sz="4" w:space="0" w:color="auto"/>
              <w:left w:val="nil"/>
              <w:bottom w:val="single" w:sz="4" w:space="0" w:color="auto"/>
              <w:right w:val="single" w:sz="4" w:space="0" w:color="auto"/>
            </w:tcBorders>
            <w:shd w:val="clear" w:color="auto" w:fill="C6EFCE"/>
            <w:noWrap/>
          </w:tcPr>
          <w:p w14:paraId="38AEA81E"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rPr>
            </w:pPr>
          </w:p>
          <w:p w14:paraId="1F74487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Semnarea contractului</w:t>
            </w:r>
          </w:p>
        </w:tc>
        <w:tc>
          <w:tcPr>
            <w:tcW w:w="960" w:type="dxa"/>
            <w:tcBorders>
              <w:top w:val="single" w:sz="4" w:space="0" w:color="auto"/>
              <w:left w:val="nil"/>
              <w:bottom w:val="single" w:sz="4" w:space="0" w:color="auto"/>
              <w:right w:val="single" w:sz="4" w:space="0" w:color="auto"/>
            </w:tcBorders>
            <w:shd w:val="clear" w:color="auto" w:fill="C6EFCE"/>
            <w:noWrap/>
          </w:tcPr>
          <w:p w14:paraId="4B0CAE3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408505B2"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4A38459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6BD2C07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0F2DA2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021" w:type="dxa"/>
            <w:tcBorders>
              <w:top w:val="single" w:sz="4" w:space="0" w:color="auto"/>
              <w:left w:val="nil"/>
              <w:bottom w:val="single" w:sz="4" w:space="0" w:color="auto"/>
              <w:right w:val="single" w:sz="4" w:space="0" w:color="auto"/>
            </w:tcBorders>
            <w:shd w:val="clear" w:color="auto" w:fill="C6EFCE"/>
            <w:noWrap/>
          </w:tcPr>
          <w:p w14:paraId="64B7D8CE" w14:textId="77777777" w:rsidR="00500CF9" w:rsidRPr="000A27B3" w:rsidRDefault="00500CF9">
            <w:pPr>
              <w:spacing w:after="0" w:line="240" w:lineRule="auto"/>
              <w:contextualSpacing/>
              <w:jc w:val="both"/>
              <w:rPr>
                <w:rFonts w:ascii="Times New Roman" w:eastAsia="Times New Roman" w:hAnsi="Times New Roman" w:cs="Times New Roman"/>
                <w:noProof/>
                <w:sz w:val="24"/>
                <w:szCs w:val="24"/>
              </w:rPr>
            </w:pPr>
            <w:r>
              <w:rPr>
                <w:rFonts w:ascii="Times New Roman" w:hAnsi="Times New Roman"/>
                <w:noProof/>
                <w:sz w:val="24"/>
              </w:rPr>
              <w:t>Semnarea contractului pentru implementarea infrastructurii de cloud guvernamental</w:t>
            </w:r>
          </w:p>
          <w:p w14:paraId="7C055490" w14:textId="77777777" w:rsidR="00500CF9" w:rsidRPr="000A27B3" w:rsidRDefault="00500CF9">
            <w:pPr>
              <w:spacing w:after="0" w:line="240" w:lineRule="auto"/>
              <w:contextualSpacing/>
              <w:jc w:val="both"/>
              <w:rPr>
                <w:rFonts w:ascii="Times New Roman" w:eastAsia="Times New Roman" w:hAnsi="Times New Roman" w:cs="Times New Roman"/>
                <w:noProof/>
                <w:sz w:val="24"/>
                <w:szCs w:val="24"/>
              </w:rPr>
            </w:pPr>
            <w:r>
              <w:rPr>
                <w:rFonts w:ascii="Times New Roman" w:hAnsi="Times New Roman"/>
                <w:noProof/>
                <w:sz w:val="24"/>
              </w:rPr>
              <w:t>Instituțiile responsabile pentru licitație și punerea în aplicare a acestei investiții sunt Serviciul de Telecomunicații Speciale și Autoritatea pentru Digitalizarea României.</w:t>
            </w:r>
          </w:p>
          <w:p w14:paraId="738A109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Implementarea cloud-ului guvernamental va presupune cel puțin următoarele etape:</w:t>
            </w:r>
          </w:p>
          <w:p w14:paraId="12AA9F69"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construcția de centre de date Tier IV de la momentul conceperii pentru cele două centre principale și Tier III de la momentul conceperii pentru cele secundare;</w:t>
            </w:r>
          </w:p>
          <w:p w14:paraId="36B2480D"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furnizarea infrastructurii de comunicații și tehnologia informației (cabluri de fibră </w:t>
            </w:r>
            <w:r>
              <w:rPr>
                <w:rFonts w:ascii="Times New Roman" w:hAnsi="Times New Roman"/>
                <w:noProof/>
                <w:sz w:val="24"/>
              </w:rPr>
              <w:cr/>
            </w:r>
            <w:r>
              <w:rPr>
                <w:rFonts w:ascii="Times New Roman" w:hAnsi="Times New Roman"/>
                <w:noProof/>
                <w:sz w:val="24"/>
              </w:rPr>
              <w:br/>
              <w:t>optică și echipamente de comunicații de mare capacitate) specifice;</w:t>
            </w:r>
          </w:p>
          <w:p w14:paraId="7082EA72"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dezvoltarea/extinderea rețelei de alimentare cu energie electrică pentru fiecare centru de date în parte în vederea asigurării redundanței și a necesarului de energie electrică;</w:t>
            </w:r>
          </w:p>
          <w:p w14:paraId="6968FB71"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realizarea unei infrastructuri de climatizare scalabile și redundante, eficientă din punct de vedere energetic;</w:t>
            </w:r>
          </w:p>
          <w:p w14:paraId="7B830AC5"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instalarea sistemului de detecție și de stingere a incendiilor cu gaz inert care să asigure protecția întregii infrastructuri din fiecare centru de date;</w:t>
            </w:r>
          </w:p>
          <w:p w14:paraId="6D4116E8"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implementarea sistemului de securitate fizică (control acces, monitorizare video, antiefracție etc.) pentru infrastructura dezvoltată;</w:t>
            </w:r>
          </w:p>
          <w:p w14:paraId="7518BF7C"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implementarea rețelei de monitorizare și management a infrastructurii în cadrul facilității realizate;</w:t>
            </w:r>
          </w:p>
          <w:p w14:paraId="5176E5F7"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realizarea infrastructurii TIC scalabile și de înaltă disponibilitate (echipamente de </w:t>
            </w:r>
            <w:r>
              <w:rPr>
                <w:rFonts w:ascii="Times New Roman" w:hAnsi="Times New Roman"/>
                <w:noProof/>
                <w:sz w:val="24"/>
              </w:rPr>
              <w:cr/>
            </w:r>
            <w:r>
              <w:rPr>
                <w:rFonts w:ascii="Times New Roman" w:hAnsi="Times New Roman"/>
                <w:noProof/>
                <w:sz w:val="24"/>
              </w:rPr>
              <w:br/>
              <w:t>procesare, stocare, comunicații, software de virtualizare) în cadrul fiecărui centru de date în parte;</w:t>
            </w:r>
          </w:p>
          <w:p w14:paraId="5961208D"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achiziția licențelor și echipamentelor specializate necesare pentru securitatea cibernetică perimetrală. </w:t>
            </w:r>
          </w:p>
          <w:p w14:paraId="7E2AA9AB" w14:textId="77777777" w:rsidR="00500CF9" w:rsidRPr="000A27B3" w:rsidRDefault="00500CF9" w:rsidP="00500CF9">
            <w:pPr>
              <w:pStyle w:val="ListParagraph"/>
              <w:numPr>
                <w:ilvl w:val="1"/>
                <w:numId w:val="53"/>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Securitatea va fi asigurată de administratorul infrastructurii de cloud guvernamental.</w:t>
            </w:r>
          </w:p>
        </w:tc>
      </w:tr>
      <w:tr w:rsidR="000A27B3" w:rsidRPr="000A27B3" w14:paraId="5AAA4ED0"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A55C530"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154</w:t>
            </w:r>
          </w:p>
        </w:tc>
        <w:tc>
          <w:tcPr>
            <w:tcW w:w="1740" w:type="dxa"/>
            <w:tcBorders>
              <w:top w:val="single" w:sz="4" w:space="0" w:color="auto"/>
              <w:left w:val="nil"/>
              <w:bottom w:val="single" w:sz="4" w:space="0" w:color="auto"/>
              <w:right w:val="single" w:sz="4" w:space="0" w:color="auto"/>
            </w:tcBorders>
            <w:shd w:val="clear" w:color="auto" w:fill="C6EFCE"/>
            <w:noWrap/>
          </w:tcPr>
          <w:p w14:paraId="277ABA5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w:t>
            </w:r>
          </w:p>
          <w:p w14:paraId="2A4ACD9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infrastructurii de cloud guvernamental </w:t>
            </w:r>
          </w:p>
          <w:p w14:paraId="12BE89C7" w14:textId="77777777" w:rsidR="00500CF9" w:rsidRPr="009F1DC7" w:rsidRDefault="00500CF9">
            <w:pPr>
              <w:spacing w:after="0" w:line="240" w:lineRule="auto"/>
              <w:jc w:val="both"/>
              <w:rPr>
                <w:rFonts w:ascii="Times New Roman" w:eastAsia="Times New Roman" w:hAnsi="Times New Roman" w:cs="Times New Roman"/>
                <w:noProof/>
                <w:sz w:val="24"/>
                <w:lang w:val="fr-FR"/>
              </w:rPr>
            </w:pPr>
          </w:p>
        </w:tc>
        <w:tc>
          <w:tcPr>
            <w:tcW w:w="1073" w:type="dxa"/>
            <w:tcBorders>
              <w:top w:val="single" w:sz="4" w:space="0" w:color="auto"/>
              <w:left w:val="nil"/>
              <w:bottom w:val="single" w:sz="4" w:space="0" w:color="auto"/>
              <w:right w:val="single" w:sz="4" w:space="0" w:color="auto"/>
            </w:tcBorders>
            <w:shd w:val="clear" w:color="auto" w:fill="C6EFCE"/>
            <w:noWrap/>
          </w:tcPr>
          <w:p w14:paraId="32B8624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669FD0A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Instituții publice conectate prin intermediul cloud-ului guvernamental</w:t>
            </w:r>
          </w:p>
        </w:tc>
        <w:tc>
          <w:tcPr>
            <w:tcW w:w="1389" w:type="dxa"/>
            <w:tcBorders>
              <w:top w:val="single" w:sz="4" w:space="0" w:color="auto"/>
              <w:left w:val="nil"/>
              <w:bottom w:val="single" w:sz="4" w:space="0" w:color="auto"/>
              <w:right w:val="single" w:sz="4" w:space="0" w:color="auto"/>
            </w:tcBorders>
            <w:shd w:val="clear" w:color="auto" w:fill="C6EFCE"/>
            <w:noWrap/>
          </w:tcPr>
          <w:p w14:paraId="1C139438"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960" w:type="dxa"/>
            <w:tcBorders>
              <w:top w:val="single" w:sz="4" w:space="0" w:color="auto"/>
              <w:left w:val="nil"/>
              <w:bottom w:val="single" w:sz="4" w:space="0" w:color="auto"/>
              <w:right w:val="single" w:sz="4" w:space="0" w:color="auto"/>
            </w:tcBorders>
            <w:shd w:val="clear" w:color="auto" w:fill="C6EFCE"/>
            <w:noWrap/>
          </w:tcPr>
          <w:p w14:paraId="3629F91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0346C66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4D35EA0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30</w:t>
            </w:r>
          </w:p>
        </w:tc>
        <w:tc>
          <w:tcPr>
            <w:tcW w:w="869" w:type="dxa"/>
            <w:tcBorders>
              <w:top w:val="single" w:sz="4" w:space="0" w:color="auto"/>
              <w:left w:val="nil"/>
              <w:bottom w:val="single" w:sz="4" w:space="0" w:color="auto"/>
              <w:right w:val="single" w:sz="4" w:space="0" w:color="auto"/>
            </w:tcBorders>
            <w:shd w:val="clear" w:color="auto" w:fill="C6EFCE"/>
            <w:noWrap/>
          </w:tcPr>
          <w:p w14:paraId="285F15F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62DB4B6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11E9572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30 de instituții publice sunt conectate și utilizează pe deplin cloud-ul guvernamental, în conformitate cu dispozițiile prevăzute în jalonul 153.</w:t>
            </w:r>
          </w:p>
          <w:p w14:paraId="3FC0989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Instituțiile publice vor face schimb de date între ele prin intermediul infrastructurii de cloud guvernamental.</w:t>
            </w:r>
          </w:p>
        </w:tc>
      </w:tr>
      <w:tr w:rsidR="000A27B3" w:rsidRPr="000A27B3" w14:paraId="357EF313"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9E74BA"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155</w:t>
            </w:r>
          </w:p>
        </w:tc>
        <w:tc>
          <w:tcPr>
            <w:tcW w:w="1740" w:type="dxa"/>
            <w:tcBorders>
              <w:top w:val="single" w:sz="4" w:space="0" w:color="auto"/>
              <w:left w:val="nil"/>
              <w:bottom w:val="single" w:sz="4" w:space="0" w:color="auto"/>
              <w:right w:val="single" w:sz="4" w:space="0" w:color="auto"/>
            </w:tcBorders>
            <w:shd w:val="clear" w:color="auto" w:fill="C6EFCE"/>
            <w:noWrap/>
          </w:tcPr>
          <w:p w14:paraId="23F0E46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w:t>
            </w:r>
          </w:p>
          <w:p w14:paraId="6B762AC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infrastructurii de cloud guvernamental </w:t>
            </w:r>
          </w:p>
          <w:p w14:paraId="2F546126"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531FB9A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03224D7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Centre de date Tier IV de la momentul conceperii, infrastructură si tehnologii pentru servicii de cloud</w:t>
            </w:r>
          </w:p>
        </w:tc>
        <w:tc>
          <w:tcPr>
            <w:tcW w:w="1389" w:type="dxa"/>
            <w:tcBorders>
              <w:top w:val="single" w:sz="4" w:space="0" w:color="auto"/>
              <w:left w:val="nil"/>
              <w:bottom w:val="single" w:sz="4" w:space="0" w:color="auto"/>
              <w:right w:val="single" w:sz="4" w:space="0" w:color="auto"/>
            </w:tcBorders>
            <w:shd w:val="clear" w:color="auto" w:fill="C6EFCE"/>
            <w:noWrap/>
          </w:tcPr>
          <w:p w14:paraId="56032D4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52ED664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7879559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61D614C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4</w:t>
            </w:r>
          </w:p>
        </w:tc>
        <w:tc>
          <w:tcPr>
            <w:tcW w:w="869" w:type="dxa"/>
            <w:tcBorders>
              <w:top w:val="single" w:sz="4" w:space="0" w:color="auto"/>
              <w:left w:val="nil"/>
              <w:bottom w:val="single" w:sz="4" w:space="0" w:color="auto"/>
              <w:right w:val="single" w:sz="4" w:space="0" w:color="auto"/>
            </w:tcBorders>
            <w:shd w:val="clear" w:color="auto" w:fill="C6EFCE"/>
            <w:noWrap/>
          </w:tcPr>
          <w:p w14:paraId="6CE78DF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0A3E837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1B4554C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Două centre de date Tier III și două Tier IV de la momentul conceperii, hardware și software de cloud (infrastructură ca serviciu - IaaS/platformă ca serviciu - PaaS/software ca serviciu - SaaS) funcționale, în conformitate cu dispozițiile prevăzute în jalonul 153.</w:t>
            </w:r>
          </w:p>
          <w:p w14:paraId="4DD312A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Centrele de date vor respecta Codul european de conduită privind eficiența energetică a centrelor de date.</w:t>
            </w:r>
          </w:p>
        </w:tc>
      </w:tr>
      <w:tr w:rsidR="000A27B3" w:rsidRPr="000A27B3" w14:paraId="64927258"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23FDD0B"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156</w:t>
            </w:r>
          </w:p>
        </w:tc>
        <w:tc>
          <w:tcPr>
            <w:tcW w:w="1740" w:type="dxa"/>
            <w:tcBorders>
              <w:top w:val="single" w:sz="4" w:space="0" w:color="auto"/>
              <w:left w:val="nil"/>
              <w:bottom w:val="single" w:sz="4" w:space="0" w:color="auto"/>
              <w:right w:val="single" w:sz="4" w:space="0" w:color="auto"/>
            </w:tcBorders>
            <w:shd w:val="clear" w:color="auto" w:fill="C6EFCE"/>
            <w:noWrap/>
          </w:tcPr>
          <w:p w14:paraId="470FD13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w:t>
            </w:r>
          </w:p>
          <w:p w14:paraId="44DA7CE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Dezvoltarea cloudului și migrarea în cloud </w:t>
            </w:r>
          </w:p>
          <w:p w14:paraId="0CF78EA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10286E7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7A2398B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Migrarea aplicațiilor de servicii digitale guvernamentale către soluții de tip infrastructură ca serviciu - IaaS/platformă ca serviciu - PaaS</w:t>
            </w:r>
          </w:p>
        </w:tc>
        <w:tc>
          <w:tcPr>
            <w:tcW w:w="1389" w:type="dxa"/>
            <w:tcBorders>
              <w:top w:val="single" w:sz="4" w:space="0" w:color="auto"/>
              <w:left w:val="nil"/>
              <w:bottom w:val="single" w:sz="4" w:space="0" w:color="auto"/>
              <w:right w:val="single" w:sz="4" w:space="0" w:color="auto"/>
            </w:tcBorders>
            <w:shd w:val="clear" w:color="auto" w:fill="C6EFCE"/>
            <w:noWrap/>
          </w:tcPr>
          <w:p w14:paraId="42A750A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27CD969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517181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3204002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5</w:t>
            </w:r>
          </w:p>
        </w:tc>
        <w:tc>
          <w:tcPr>
            <w:tcW w:w="869" w:type="dxa"/>
            <w:tcBorders>
              <w:top w:val="single" w:sz="4" w:space="0" w:color="auto"/>
              <w:left w:val="nil"/>
              <w:bottom w:val="single" w:sz="4" w:space="0" w:color="auto"/>
              <w:right w:val="single" w:sz="4" w:space="0" w:color="auto"/>
            </w:tcBorders>
            <w:shd w:val="clear" w:color="auto" w:fill="C6EFCE"/>
            <w:noWrap/>
          </w:tcPr>
          <w:p w14:paraId="5E868AD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6A886C0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0EA575A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 de aplicații de servicii digitale guvernamentale dezvoltate pentru cloud (</w:t>
            </w:r>
            <w:r>
              <w:rPr>
                <w:rFonts w:ascii="Times New Roman" w:hAnsi="Times New Roman"/>
                <w:i/>
                <w:noProof/>
                <w:sz w:val="24"/>
              </w:rPr>
              <w:t>cloud ready</w:t>
            </w:r>
            <w:r>
              <w:rPr>
                <w:rFonts w:ascii="Times New Roman" w:hAnsi="Times New Roman"/>
                <w:noProof/>
                <w:sz w:val="24"/>
              </w:rPr>
              <w:t>) în soluțiile de tip PaaS și migrarea celor existente dezvoltate pentru cloud/ virtualizate către soluțiile de tip IaaS, conform analizei elaborate la jalonul 143.</w:t>
            </w:r>
          </w:p>
          <w:p w14:paraId="7C9E6B9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vor dezvolta aplicații/servicii pentru autoritățile/instituțiile publice pentru a le ajuta să furnizeze serviciile publice care sunt de competența lor, deci nu sunt utilizate pentru activități economice.</w:t>
            </w:r>
          </w:p>
        </w:tc>
      </w:tr>
      <w:tr w:rsidR="000A27B3" w:rsidRPr="000A27B3" w14:paraId="00EB4182"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13988C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157</w:t>
            </w:r>
          </w:p>
        </w:tc>
        <w:tc>
          <w:tcPr>
            <w:tcW w:w="1740" w:type="dxa"/>
            <w:tcBorders>
              <w:top w:val="single" w:sz="4" w:space="0" w:color="auto"/>
              <w:left w:val="nil"/>
              <w:bottom w:val="single" w:sz="4" w:space="0" w:color="auto"/>
              <w:right w:val="single" w:sz="4" w:space="0" w:color="auto"/>
            </w:tcBorders>
            <w:shd w:val="clear" w:color="auto" w:fill="C6EFCE"/>
            <w:noWrap/>
          </w:tcPr>
          <w:p w14:paraId="774179A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2.</w:t>
            </w:r>
          </w:p>
          <w:p w14:paraId="25E51EC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Dezvoltarea cloudului și migrarea în cloud </w:t>
            </w:r>
          </w:p>
          <w:p w14:paraId="61DAEF7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p w14:paraId="272292E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7469C75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191102E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Migrarea aplicațiilor de servicii digitale guvernamentale către soluții de tip infrastructură ca serviciu - IaaS/platformă ca serviciu - PaaS</w:t>
            </w:r>
          </w:p>
        </w:tc>
        <w:tc>
          <w:tcPr>
            <w:tcW w:w="1389" w:type="dxa"/>
            <w:tcBorders>
              <w:top w:val="single" w:sz="4" w:space="0" w:color="auto"/>
              <w:left w:val="nil"/>
              <w:bottom w:val="single" w:sz="4" w:space="0" w:color="auto"/>
              <w:right w:val="single" w:sz="4" w:space="0" w:color="auto"/>
            </w:tcBorders>
            <w:shd w:val="clear" w:color="auto" w:fill="C6EFCE"/>
            <w:noWrap/>
          </w:tcPr>
          <w:p w14:paraId="3CA9886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4EE19BA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401D01C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5</w:t>
            </w:r>
          </w:p>
        </w:tc>
        <w:tc>
          <w:tcPr>
            <w:tcW w:w="1051" w:type="dxa"/>
            <w:tcBorders>
              <w:top w:val="single" w:sz="4" w:space="0" w:color="auto"/>
              <w:left w:val="nil"/>
              <w:bottom w:val="single" w:sz="4" w:space="0" w:color="auto"/>
              <w:right w:val="single" w:sz="4" w:space="0" w:color="auto"/>
            </w:tcBorders>
            <w:shd w:val="clear" w:color="auto" w:fill="C6EFCE"/>
            <w:noWrap/>
          </w:tcPr>
          <w:p w14:paraId="33DAEEC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30</w:t>
            </w:r>
          </w:p>
        </w:tc>
        <w:tc>
          <w:tcPr>
            <w:tcW w:w="869" w:type="dxa"/>
            <w:tcBorders>
              <w:top w:val="single" w:sz="4" w:space="0" w:color="auto"/>
              <w:left w:val="nil"/>
              <w:bottom w:val="single" w:sz="4" w:space="0" w:color="auto"/>
              <w:right w:val="single" w:sz="4" w:space="0" w:color="auto"/>
            </w:tcBorders>
            <w:shd w:val="clear" w:color="auto" w:fill="C6EFCE"/>
            <w:noWrap/>
          </w:tcPr>
          <w:p w14:paraId="710782A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482B9D7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4C4436E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 de aplicații de servicii digitale guvernamentale dezvoltate pentru cloud (</w:t>
            </w:r>
            <w:r>
              <w:rPr>
                <w:rFonts w:ascii="Times New Roman" w:hAnsi="Times New Roman"/>
                <w:i/>
                <w:noProof/>
                <w:sz w:val="24"/>
              </w:rPr>
              <w:t>cloud ready</w:t>
            </w:r>
            <w:r>
              <w:rPr>
                <w:rFonts w:ascii="Times New Roman" w:hAnsi="Times New Roman"/>
                <w:noProof/>
                <w:sz w:val="24"/>
              </w:rPr>
              <w:t>) în PaaS si migrarea celor existente pregătite pentru cloud/ virtualizate către soluțiile de tip IaaS, conform analizei elaborate la jalonul 143.</w:t>
            </w:r>
          </w:p>
          <w:p w14:paraId="6FFABB2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vor dezvolta aplicații/servicii pentru autoritățile/instituțiile publice pentru a le ajuta să furnizeze serviciile publice care sunt de competența lor, deci nu sunt utilizate pentru activități economice.</w:t>
            </w:r>
          </w:p>
        </w:tc>
      </w:tr>
      <w:tr w:rsidR="000A27B3" w:rsidRPr="000A27B3" w14:paraId="21332021"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C3CC675"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158</w:t>
            </w:r>
          </w:p>
        </w:tc>
        <w:tc>
          <w:tcPr>
            <w:tcW w:w="1740" w:type="dxa"/>
            <w:tcBorders>
              <w:top w:val="single" w:sz="4" w:space="0" w:color="auto"/>
              <w:left w:val="nil"/>
              <w:bottom w:val="single" w:sz="4" w:space="0" w:color="auto"/>
              <w:right w:val="single" w:sz="4" w:space="0" w:color="auto"/>
            </w:tcBorders>
            <w:shd w:val="clear" w:color="auto" w:fill="C6EFCE"/>
            <w:noWrap/>
          </w:tcPr>
          <w:p w14:paraId="2296531E" w14:textId="77777777" w:rsidR="00500CF9" w:rsidRPr="000A27B3" w:rsidRDefault="00500CF9">
            <w:pPr>
              <w:spacing w:after="120" w:line="240" w:lineRule="auto"/>
              <w:jc w:val="both"/>
              <w:rPr>
                <w:rFonts w:ascii="Times New Roman" w:hAnsi="Times New Roman" w:cs="Times New Roman"/>
                <w:noProof/>
                <w:sz w:val="24"/>
              </w:rPr>
            </w:pPr>
            <w:r>
              <w:rPr>
                <w:rFonts w:ascii="Times New Roman" w:hAnsi="Times New Roman"/>
                <w:noProof/>
                <w:sz w:val="24"/>
              </w:rPr>
              <w:t>Investiția 3. Crearea sistemului de eHealth și telemedicină</w:t>
            </w:r>
          </w:p>
          <w:p w14:paraId="7BFF7851" w14:textId="77777777" w:rsidR="00500CF9" w:rsidRPr="000A27B3" w:rsidRDefault="00500CF9">
            <w:p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73" w:type="dxa"/>
            <w:tcBorders>
              <w:top w:val="single" w:sz="4" w:space="0" w:color="auto"/>
              <w:left w:val="nil"/>
              <w:bottom w:val="single" w:sz="4" w:space="0" w:color="auto"/>
              <w:right w:val="single" w:sz="4" w:space="0" w:color="auto"/>
            </w:tcBorders>
            <w:shd w:val="clear" w:color="auto" w:fill="C6EFCE"/>
            <w:noWrap/>
          </w:tcPr>
          <w:p w14:paraId="12B7B42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2C866E2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Instituții de sănătate publică digitalizate </w:t>
            </w:r>
          </w:p>
        </w:tc>
        <w:tc>
          <w:tcPr>
            <w:tcW w:w="1389" w:type="dxa"/>
            <w:tcBorders>
              <w:top w:val="single" w:sz="4" w:space="0" w:color="auto"/>
              <w:left w:val="nil"/>
              <w:bottom w:val="single" w:sz="4" w:space="0" w:color="auto"/>
              <w:right w:val="single" w:sz="4" w:space="0" w:color="auto"/>
            </w:tcBorders>
            <w:shd w:val="clear" w:color="auto" w:fill="C6EFCE"/>
            <w:noWrap/>
          </w:tcPr>
          <w:p w14:paraId="3C3D3E1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1483C35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DEA737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465B99C8"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60</w:t>
            </w:r>
          </w:p>
        </w:tc>
        <w:tc>
          <w:tcPr>
            <w:tcW w:w="869" w:type="dxa"/>
            <w:tcBorders>
              <w:top w:val="single" w:sz="4" w:space="0" w:color="auto"/>
              <w:left w:val="nil"/>
              <w:bottom w:val="single" w:sz="4" w:space="0" w:color="auto"/>
              <w:right w:val="single" w:sz="4" w:space="0" w:color="auto"/>
            </w:tcBorders>
            <w:shd w:val="clear" w:color="auto" w:fill="C6EFCE"/>
            <w:noWrap/>
          </w:tcPr>
          <w:p w14:paraId="43275E6E" w14:textId="77777777" w:rsidR="00500CF9" w:rsidRPr="000A27B3" w:rsidRDefault="00500CF9">
            <w:pPr>
              <w:spacing w:after="0" w:line="240" w:lineRule="auto"/>
              <w:jc w:val="both"/>
              <w:rPr>
                <w:rFonts w:ascii="Times New Roman" w:eastAsia="Calibri"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585E747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021" w:type="dxa"/>
            <w:tcBorders>
              <w:top w:val="single" w:sz="4" w:space="0" w:color="auto"/>
              <w:left w:val="nil"/>
              <w:bottom w:val="single" w:sz="4" w:space="0" w:color="auto"/>
              <w:right w:val="single" w:sz="4" w:space="0" w:color="auto"/>
            </w:tcBorders>
            <w:shd w:val="clear" w:color="auto" w:fill="C6EFCE"/>
            <w:noWrap/>
          </w:tcPr>
          <w:p w14:paraId="3AA685D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60 de instituții de sănătate publică vor fi digitalizate.</w:t>
            </w:r>
          </w:p>
          <w:p w14:paraId="2168908C" w14:textId="1B29DA8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Instituțiile cu atribuții în domeniul sanitar includ: direcțiile de sănătate publică, institutele de sănătate publică, Agenția Națională a Medicamentului, Școala Națională de Sănătate Publică și Management și Ministerul Sănătății.</w:t>
            </w:r>
            <w:r>
              <w:rPr>
                <w:noProof/>
              </w:rPr>
              <w:t xml:space="preserve"> </w:t>
            </w:r>
            <w:r>
              <w:rPr>
                <w:noProof/>
              </w:rPr>
              <w:br/>
            </w:r>
            <w:r>
              <w:rPr>
                <w:rFonts w:ascii="Times New Roman" w:hAnsi="Times New Roman"/>
                <w:noProof/>
                <w:sz w:val="24"/>
              </w:rPr>
              <w:t>Procesul de digitalizare va include:</w:t>
            </w:r>
            <w:r>
              <w:rPr>
                <w:noProof/>
              </w:rPr>
              <w:t xml:space="preserve"> </w:t>
            </w:r>
            <w:r>
              <w:rPr>
                <w:noProof/>
              </w:rPr>
              <w:br/>
            </w:r>
            <w:r>
              <w:rPr>
                <w:rFonts w:ascii="Times New Roman" w:hAnsi="Times New Roman"/>
                <w:noProof/>
                <w:sz w:val="24"/>
              </w:rPr>
              <w:t>1. Realizarea de investiții în sistemele informatice si în infrastructura digitală (echipamente informatice, licențe, software IT, sisteme de comunicații) pentru următoarele instituții: Ministerul Sănătății, Direcțiile Județene de Sănătate Publică [statistici în domeniul sănătății, administrarea sănătății (planificarea sănătății) și sprijin decizional (revizuirea cheltuielilor, conturile naționale de sănătate, gestionarea resurselor umane, registrele resurselor umane, sprijin decizional); Serviciile Județene de Ambulanță (inclusiv Serviciul de Ambulanță București - Ilfov), Institutul Național de Sănătate, Institutul Național de Medicină Sportivă, Institutul Național de Hematologie Transfuzională „Prof. Dr. C.T. Nicolau”, Agenția Națională de Transplant, Oficiul Central de Stocare pentru Situații Speciale, Registrul Național al Donatorilor Voluntari de Celule Stem Hematopoietice, Agenția Națională a Medicamentului și a Dispozitivelor Medicale, institutele de medicină legală, Centrul Național de Sănătate Mintală și Luptă Antidrog București, Școala Națională de Sănătate Publică, Management și Perfecționare în Domeniul Sanitar București. Sistemul de supraveghere a bolilor transmisibile, statistici privind sănătatea, sprijin decizional, registre pentru transplantul de celule stem).</w:t>
            </w:r>
          </w:p>
          <w:p w14:paraId="437E1AB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 Asistență tehnică pentru dezvoltarea și integrarea soluțiilor de sănătate digitală în sistemul de sănătate.</w:t>
            </w:r>
          </w:p>
          <w:p w14:paraId="57D469E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 Formarea personalului pentru a învăța să utilizeze aplicațiile informatice. Se va acorda sprijin din Planul național de redresare și reziliență pentru formarea a 2 970 de angajați.</w:t>
            </w:r>
          </w:p>
          <w:p w14:paraId="0AEF80F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va acorda prioritate furnizorilor de servicii medicale din zonele îndepărtate sau sărace.</w:t>
            </w:r>
          </w:p>
        </w:tc>
      </w:tr>
      <w:tr w:rsidR="000A27B3" w:rsidRPr="000A27B3" w14:paraId="70009335"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16465C2" w14:textId="77777777" w:rsidR="00500CF9" w:rsidRPr="000A27B3" w:rsidRDefault="00500CF9">
            <w:pPr>
              <w:spacing w:after="0" w:line="240" w:lineRule="auto"/>
              <w:jc w:val="center"/>
              <w:rPr>
                <w:rFonts w:ascii="Times New Roman" w:eastAsia="Times New Roman" w:hAnsi="Times New Roman" w:cs="Times New Roman"/>
                <w:noProof/>
                <w:sz w:val="24"/>
              </w:rPr>
            </w:pPr>
            <w:bookmarkStart w:id="8" w:name="_Hlk146892231"/>
            <w:r>
              <w:rPr>
                <w:rFonts w:ascii="Times New Roman" w:hAnsi="Times New Roman"/>
                <w:noProof/>
                <w:sz w:val="24"/>
              </w:rPr>
              <w:t>159</w:t>
            </w:r>
          </w:p>
        </w:tc>
        <w:tc>
          <w:tcPr>
            <w:tcW w:w="1740" w:type="dxa"/>
            <w:tcBorders>
              <w:top w:val="single" w:sz="4" w:space="0" w:color="auto"/>
              <w:left w:val="nil"/>
              <w:bottom w:val="single" w:sz="4" w:space="0" w:color="auto"/>
              <w:right w:val="single" w:sz="4" w:space="0" w:color="auto"/>
            </w:tcBorders>
            <w:shd w:val="clear" w:color="auto" w:fill="C6EFCE"/>
            <w:noWrap/>
          </w:tcPr>
          <w:p w14:paraId="43A0A02A" w14:textId="77777777" w:rsidR="00500CF9" w:rsidRPr="000A27B3" w:rsidRDefault="00500CF9">
            <w:pPr>
              <w:spacing w:after="120" w:line="240" w:lineRule="auto"/>
              <w:jc w:val="both"/>
              <w:rPr>
                <w:rFonts w:ascii="Times New Roman" w:hAnsi="Times New Roman" w:cs="Times New Roman"/>
                <w:noProof/>
                <w:sz w:val="24"/>
              </w:rPr>
            </w:pPr>
            <w:r>
              <w:rPr>
                <w:rFonts w:ascii="Times New Roman" w:hAnsi="Times New Roman"/>
                <w:noProof/>
                <w:sz w:val="24"/>
              </w:rPr>
              <w:t>Investiția 3. Crearea sistemului de eHealth și telemedicină</w:t>
            </w:r>
          </w:p>
          <w:p w14:paraId="042D3930"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p w14:paraId="55F79651"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73" w:type="dxa"/>
            <w:tcBorders>
              <w:top w:val="single" w:sz="4" w:space="0" w:color="auto"/>
              <w:left w:val="nil"/>
              <w:bottom w:val="single" w:sz="4" w:space="0" w:color="auto"/>
              <w:right w:val="single" w:sz="4" w:space="0" w:color="auto"/>
            </w:tcBorders>
            <w:shd w:val="clear" w:color="auto" w:fill="C6EFCE"/>
            <w:noWrap/>
          </w:tcPr>
          <w:p w14:paraId="164E7DE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C404CD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Implementarea sistemului de telemedicină</w:t>
            </w:r>
          </w:p>
        </w:tc>
        <w:tc>
          <w:tcPr>
            <w:tcW w:w="1389" w:type="dxa"/>
            <w:tcBorders>
              <w:top w:val="single" w:sz="4" w:space="0" w:color="auto"/>
              <w:left w:val="nil"/>
              <w:bottom w:val="single" w:sz="4" w:space="0" w:color="auto"/>
              <w:right w:val="single" w:sz="4" w:space="0" w:color="auto"/>
            </w:tcBorders>
            <w:shd w:val="clear" w:color="auto" w:fill="C6EFCE"/>
            <w:noWrap/>
          </w:tcPr>
          <w:p w14:paraId="29D10370"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960" w:type="dxa"/>
            <w:tcBorders>
              <w:top w:val="single" w:sz="4" w:space="0" w:color="auto"/>
              <w:left w:val="nil"/>
              <w:bottom w:val="single" w:sz="4" w:space="0" w:color="auto"/>
              <w:right w:val="single" w:sz="4" w:space="0" w:color="auto"/>
            </w:tcBorders>
            <w:shd w:val="clear" w:color="auto" w:fill="C6EFCE"/>
            <w:noWrap/>
          </w:tcPr>
          <w:p w14:paraId="527DBB0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3C7CBF2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18BD28B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2BCE97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2F8EEA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18BF151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Sistemul de telemedicină va fi accesibil unei game largi de furnizori de servicii medicale relevanți, cu posibilitatea de a fi implementat pe scară largă în întreaga țară, mai ales în zonele rurale și zonele urbane mici.</w:t>
            </w:r>
          </w:p>
          <w:p w14:paraId="7599D98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Zonele rurale și zonele urbane mici în care se va implementa sistemul de telemedicină vor fi alese pe baza mai multor factori, printre care: </w:t>
            </w:r>
          </w:p>
          <w:p w14:paraId="2A3A90F2"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accesul actual la asistență medicală (măsurat în numărul de medici generaliști sau de medici de familie raportat la populație), acordându-se prioritate zonelor cu acces redus la asistență medicală;</w:t>
            </w:r>
          </w:p>
          <w:p w14:paraId="23D74E49"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regiunile mai puțin dezvoltate (conform clasificării UE, criteriu stabilit în funcție de PIB-ul pe cap de locuitor), acordându-se prioritate zonelor din afara Bucureștiului și județului Ilfov.</w:t>
            </w:r>
          </w:p>
          <w:p w14:paraId="15E30D1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Sistemul va asigura atât consultații de la distanță în timp real prin intermediul videoconferințelor, cât și transmisii de date în direct sau conexiuni asincrone.</w:t>
            </w:r>
          </w:p>
          <w:p w14:paraId="427A7C5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Darea în funcțiune a sistemului de telemedicină va asigura faptul că în ultimul an (T3/2025-T2/2026) al punerii în aplicare a Planului de redresare și reziliență se vor efectua cel puțin 200 000 de consultații de telemedicină.</w:t>
            </w:r>
          </w:p>
        </w:tc>
      </w:tr>
      <w:bookmarkEnd w:id="8"/>
      <w:tr w:rsidR="000A27B3" w:rsidRPr="000A27B3" w14:paraId="0975E60D"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11C394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160</w:t>
            </w:r>
          </w:p>
        </w:tc>
        <w:tc>
          <w:tcPr>
            <w:tcW w:w="1740" w:type="dxa"/>
            <w:tcBorders>
              <w:top w:val="single" w:sz="4" w:space="0" w:color="auto"/>
              <w:left w:val="nil"/>
              <w:bottom w:val="single" w:sz="4" w:space="0" w:color="auto"/>
              <w:right w:val="single" w:sz="4" w:space="0" w:color="auto"/>
            </w:tcBorders>
            <w:shd w:val="clear" w:color="auto" w:fill="C6EFCE"/>
            <w:noWrap/>
          </w:tcPr>
          <w:p w14:paraId="12CE880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w:t>
            </w:r>
          </w:p>
          <w:p w14:paraId="18462F1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Crearea sistemului de eHealth și telemedicină</w:t>
            </w:r>
          </w:p>
        </w:tc>
        <w:tc>
          <w:tcPr>
            <w:tcW w:w="1073" w:type="dxa"/>
            <w:tcBorders>
              <w:top w:val="single" w:sz="4" w:space="0" w:color="auto"/>
              <w:left w:val="nil"/>
              <w:bottom w:val="single" w:sz="4" w:space="0" w:color="auto"/>
              <w:right w:val="single" w:sz="4" w:space="0" w:color="auto"/>
            </w:tcBorders>
            <w:shd w:val="clear" w:color="auto" w:fill="C6EFCE"/>
            <w:noWrap/>
          </w:tcPr>
          <w:p w14:paraId="5789736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4F1DEFE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Noua PIAS (platforma informatică de asigurări de sănătate) este operațională</w:t>
            </w:r>
          </w:p>
        </w:tc>
        <w:tc>
          <w:tcPr>
            <w:tcW w:w="1389" w:type="dxa"/>
            <w:tcBorders>
              <w:top w:val="single" w:sz="4" w:space="0" w:color="auto"/>
              <w:left w:val="nil"/>
              <w:bottom w:val="single" w:sz="4" w:space="0" w:color="auto"/>
              <w:right w:val="single" w:sz="4" w:space="0" w:color="auto"/>
            </w:tcBorders>
            <w:shd w:val="clear" w:color="auto" w:fill="C6EFCE"/>
            <w:noWrap/>
          </w:tcPr>
          <w:p w14:paraId="4A89E39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PIAS (platforma informatică de asigurări de sănătate) este operațională</w:t>
            </w:r>
          </w:p>
        </w:tc>
        <w:tc>
          <w:tcPr>
            <w:tcW w:w="960" w:type="dxa"/>
            <w:tcBorders>
              <w:top w:val="single" w:sz="4" w:space="0" w:color="auto"/>
              <w:left w:val="nil"/>
              <w:bottom w:val="single" w:sz="4" w:space="0" w:color="auto"/>
              <w:right w:val="single" w:sz="4" w:space="0" w:color="auto"/>
            </w:tcBorders>
            <w:shd w:val="clear" w:color="auto" w:fill="C6EFCE"/>
            <w:noWrap/>
          </w:tcPr>
          <w:p w14:paraId="26EDBE53"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09AB4A27"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0B485F09"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72729DD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321DCBB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3C1E306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preconizează că noua PIAS (platforma informatică de asigurări de sănătate):</w:t>
            </w:r>
          </w:p>
          <w:p w14:paraId="6D34E831"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va asigura un mediu prietenos și accesibil pentru utilizatori, inclusiv cei cu handicap; </w:t>
            </w:r>
          </w:p>
          <w:p w14:paraId="21BC7FC9"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va îmbunătăți interconectarea și interoperabilitatea; </w:t>
            </w:r>
          </w:p>
          <w:p w14:paraId="577F0FB8"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 xml:space="preserve">va permite funcționalități noi (de exemplu digitalizarea unor documente conexe actului medical); </w:t>
            </w:r>
          </w:p>
          <w:p w14:paraId="408AED8B"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szCs w:val="24"/>
              </w:rPr>
            </w:pPr>
            <w:r>
              <w:rPr>
                <w:rFonts w:ascii="Times New Roman" w:hAnsi="Times New Roman"/>
                <w:noProof/>
                <w:sz w:val="24"/>
              </w:rPr>
              <w:t xml:space="preserve">va optimiza fluxurile de date, monitorizarea electronică a obiectivelor generale, a obiectivelor specifice, a activităților și a indicatorilor de performanță asumați la nivelul CNAS/CAS/furnizorului de servicii medicale. </w:t>
            </w:r>
          </w:p>
          <w:p w14:paraId="2CC7D65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Printre caracteristicile platformei se numără: actualizarea Sistemului informatic unic integrat (SIUI), a Sistemului național al cardului de asigurări sociale de sănătate (CEAS) și a Sistemului național de prescriere electronică (SIPE).</w:t>
            </w:r>
            <w:r>
              <w:rPr>
                <w:noProof/>
              </w:rPr>
              <w:t xml:space="preserve"> </w:t>
            </w:r>
            <w:r>
              <w:rPr>
                <w:noProof/>
              </w:rPr>
              <w:br/>
            </w:r>
            <w:r>
              <w:rPr>
                <w:rFonts w:ascii="Times New Roman" w:hAnsi="Times New Roman"/>
                <w:noProof/>
                <w:sz w:val="24"/>
              </w:rPr>
              <w:t>Actualizarea vizează înlocuirea serverelor, rescrierea aplicațiilor acestora în tehnologii moderne, pregătite pentru cloud, și înlocuirea altor dispozitive informatice și de comunicații.</w:t>
            </w:r>
            <w:r>
              <w:rPr>
                <w:noProof/>
              </w:rPr>
              <w:t xml:space="preserve"> </w:t>
            </w:r>
            <w:r>
              <w:rPr>
                <w:noProof/>
              </w:rPr>
              <w:br/>
            </w:r>
            <w:r>
              <w:rPr>
                <w:rFonts w:ascii="Times New Roman" w:hAnsi="Times New Roman"/>
                <w:noProof/>
                <w:sz w:val="24"/>
              </w:rPr>
              <w:t>SIUI conține module de validare online a serviciilor furnizate pentru decontarea fiecărui tip de furnizor (ambulatoriile de specialitate, spitalele, medicii specialiști, medicii de familie, farmaciile, furnizorii de dispozitive medicale).</w:t>
            </w:r>
          </w:p>
        </w:tc>
      </w:tr>
      <w:tr w:rsidR="000A27B3" w:rsidRPr="000A27B3" w14:paraId="181C39F6"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B07478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161</w:t>
            </w:r>
          </w:p>
        </w:tc>
        <w:tc>
          <w:tcPr>
            <w:tcW w:w="1740" w:type="dxa"/>
            <w:tcBorders>
              <w:top w:val="single" w:sz="4" w:space="0" w:color="auto"/>
              <w:left w:val="nil"/>
              <w:bottom w:val="single" w:sz="4" w:space="0" w:color="auto"/>
              <w:right w:val="single" w:sz="4" w:space="0" w:color="auto"/>
            </w:tcBorders>
            <w:shd w:val="clear" w:color="auto" w:fill="C6EFCE"/>
            <w:noWrap/>
          </w:tcPr>
          <w:p w14:paraId="314FF8D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 Crearea sistemului de eHealth și telemedicină</w:t>
            </w:r>
          </w:p>
          <w:p w14:paraId="6409E7B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6B0AECE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1D2F7E8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Digitalizarea a 200 de unități sanitare publice</w:t>
            </w:r>
          </w:p>
          <w:p w14:paraId="42162A2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389" w:type="dxa"/>
            <w:tcBorders>
              <w:top w:val="single" w:sz="4" w:space="0" w:color="auto"/>
              <w:left w:val="nil"/>
              <w:bottom w:val="single" w:sz="4" w:space="0" w:color="auto"/>
              <w:right w:val="single" w:sz="4" w:space="0" w:color="auto"/>
            </w:tcBorders>
            <w:shd w:val="clear" w:color="auto" w:fill="C6EFCE"/>
            <w:noWrap/>
          </w:tcPr>
          <w:p w14:paraId="675C18F2"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5335E2A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5544888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4137039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200</w:t>
            </w:r>
          </w:p>
        </w:tc>
        <w:tc>
          <w:tcPr>
            <w:tcW w:w="869" w:type="dxa"/>
            <w:tcBorders>
              <w:top w:val="single" w:sz="4" w:space="0" w:color="auto"/>
              <w:left w:val="nil"/>
              <w:bottom w:val="single" w:sz="4" w:space="0" w:color="auto"/>
              <w:right w:val="single" w:sz="4" w:space="0" w:color="auto"/>
            </w:tcBorders>
            <w:shd w:val="clear" w:color="auto" w:fill="C6EFCE"/>
            <w:noWrap/>
          </w:tcPr>
          <w:p w14:paraId="7692133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5CF92BB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E0F88A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200 de unități sanitare publice vor beneficia de:</w:t>
            </w:r>
          </w:p>
          <w:p w14:paraId="14FAB289"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sisteme informatice și infrastructură digitală pentru unitățile sanitare publice Sistemele informatice ale spitalelor vor include gestionarea dosarelor medicale ale pacienților, internările și externările, produsele farmaceutice, gestionarea depozitelor, gestionarea unității, programele de grupare aferente Sistemului de clasificare în grupe de diagnostice (</w:t>
            </w:r>
            <w:r>
              <w:rPr>
                <w:rFonts w:ascii="Times New Roman" w:hAnsi="Times New Roman"/>
                <w:i/>
                <w:noProof/>
                <w:sz w:val="24"/>
              </w:rPr>
              <w:t>Diagnosis Related Groups</w:t>
            </w:r>
            <w:r>
              <w:rPr>
                <w:rFonts w:ascii="Times New Roman" w:hAnsi="Times New Roman"/>
                <w:noProof/>
                <w:sz w:val="24"/>
              </w:rPr>
              <w:t xml:space="preserve"> - DRG) și sprijinul pentru codificarea DRG, statisticile în domeniul sănătății, gestiunea financiară, contabilitatea costurilor, managementul calității, gestionarea salariilor și a resurselor umane, rapoartele financiare pentru agenția de finanțare, sprijinul decizional și sistemul informatic ambulatoriu;</w:t>
            </w:r>
          </w:p>
          <w:p w14:paraId="709FDDE6"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consolidarea sistemului de telemedicină și a sistemelor mobile de monitorizare a pacienților. Sistemele informatice spitalicești ar trebui să fie interoperabile cu sistemele de telemedicină (modulul de monitorizare și modulul de consultații de specialitate ambulatorii), iar specialiștii din ambulatoarele spitalelor ar trebui să fie în măsură să ofere teleconsultații și, de asemenea, să monitorizeze pacienții ambulatorii și pacienții cronici cu sprijinul persoanelor care asigură îngrijirea la domiciliu sau al medicilor de familie/medicilor generaliști;</w:t>
            </w:r>
          </w:p>
          <w:p w14:paraId="4010C03C"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Asistență tehnică pentru dezvoltarea și integrarea soluțiilor de sănătate digitală în sistemul de sănătate.</w:t>
            </w:r>
          </w:p>
          <w:p w14:paraId="5DAB850D" w14:textId="77777777" w:rsidR="00500CF9" w:rsidRPr="000A27B3" w:rsidRDefault="00500CF9" w:rsidP="00500CF9">
            <w:pPr>
              <w:numPr>
                <w:ilvl w:val="0"/>
                <w:numId w:val="49"/>
              </w:numPr>
              <w:spacing w:after="0" w:line="240" w:lineRule="auto"/>
              <w:ind w:left="259" w:hanging="218"/>
              <w:jc w:val="both"/>
              <w:rPr>
                <w:rFonts w:ascii="Times New Roman" w:eastAsia="Times New Roman" w:hAnsi="Times New Roman" w:cs="Times New Roman"/>
                <w:noProof/>
                <w:sz w:val="24"/>
              </w:rPr>
            </w:pPr>
            <w:r>
              <w:rPr>
                <w:rFonts w:ascii="Times New Roman" w:hAnsi="Times New Roman"/>
                <w:noProof/>
                <w:sz w:val="24"/>
              </w:rPr>
              <w:t>Formarea personalului pentru a învăța să utilizeze aplicațiile informatice. Se va acorda sprijin din Planul național de redresare și reziliență pentru ca 3 000 de medici să urmeze cursuri de formare.</w:t>
            </w:r>
          </w:p>
        </w:tc>
      </w:tr>
      <w:tr w:rsidR="000A27B3" w:rsidRPr="000A27B3" w14:paraId="7928F60E"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E85DF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162</w:t>
            </w:r>
          </w:p>
        </w:tc>
        <w:tc>
          <w:tcPr>
            <w:tcW w:w="1740" w:type="dxa"/>
            <w:tcBorders>
              <w:top w:val="single" w:sz="4" w:space="0" w:color="auto"/>
              <w:left w:val="nil"/>
              <w:bottom w:val="single" w:sz="4" w:space="0" w:color="auto"/>
              <w:right w:val="single" w:sz="4" w:space="0" w:color="auto"/>
            </w:tcBorders>
            <w:shd w:val="clear" w:color="auto" w:fill="C6EFCE"/>
            <w:noWrap/>
          </w:tcPr>
          <w:p w14:paraId="2669D78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3.</w:t>
            </w:r>
          </w:p>
          <w:p w14:paraId="457D0C43" w14:textId="77777777" w:rsidR="00500CF9" w:rsidRPr="000A27B3" w:rsidRDefault="00500CF9">
            <w:pPr>
              <w:spacing w:after="120" w:line="240" w:lineRule="auto"/>
              <w:jc w:val="both"/>
              <w:rPr>
                <w:rFonts w:ascii="Times New Roman" w:hAnsi="Times New Roman" w:cs="Times New Roman"/>
                <w:noProof/>
                <w:sz w:val="24"/>
              </w:rPr>
            </w:pPr>
            <w:r>
              <w:rPr>
                <w:rFonts w:ascii="Times New Roman" w:hAnsi="Times New Roman"/>
                <w:noProof/>
                <w:sz w:val="24"/>
              </w:rPr>
              <w:t>Crearea sistemului de eHealth și telemedicină</w:t>
            </w:r>
          </w:p>
          <w:p w14:paraId="694C3A1C"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73" w:type="dxa"/>
            <w:tcBorders>
              <w:top w:val="single" w:sz="4" w:space="0" w:color="auto"/>
              <w:left w:val="nil"/>
              <w:bottom w:val="single" w:sz="4" w:space="0" w:color="auto"/>
              <w:right w:val="single" w:sz="4" w:space="0" w:color="auto"/>
            </w:tcBorders>
            <w:shd w:val="clear" w:color="auto" w:fill="C6EFCE"/>
            <w:noWrap/>
          </w:tcPr>
          <w:p w14:paraId="2C5E20D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rPr>
            </w:pPr>
          </w:p>
          <w:p w14:paraId="321F65D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rPr>
            </w:pPr>
          </w:p>
          <w:p w14:paraId="79930C1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1943115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Furnizorii de servicii medicale sunt conectați la noua platformă PIAS</w:t>
            </w:r>
          </w:p>
        </w:tc>
        <w:tc>
          <w:tcPr>
            <w:tcW w:w="1389" w:type="dxa"/>
            <w:tcBorders>
              <w:top w:val="single" w:sz="4" w:space="0" w:color="auto"/>
              <w:left w:val="nil"/>
              <w:bottom w:val="single" w:sz="4" w:space="0" w:color="auto"/>
              <w:right w:val="single" w:sz="4" w:space="0" w:color="auto"/>
            </w:tcBorders>
            <w:shd w:val="clear" w:color="auto" w:fill="C6EFCE"/>
            <w:noWrap/>
          </w:tcPr>
          <w:p w14:paraId="3CFDFC52" w14:textId="77777777" w:rsidR="00500CF9" w:rsidRPr="009F1DC7" w:rsidRDefault="00500CF9">
            <w:pPr>
              <w:spacing w:after="0" w:line="240" w:lineRule="auto"/>
              <w:jc w:val="both"/>
              <w:rPr>
                <w:rFonts w:ascii="Times New Roman" w:eastAsia="Times New Roman" w:hAnsi="Times New Roman" w:cs="Times New Roman"/>
                <w:noProof/>
                <w:sz w:val="24"/>
                <w:lang w:val="fr-FR"/>
              </w:rPr>
            </w:pPr>
          </w:p>
        </w:tc>
        <w:tc>
          <w:tcPr>
            <w:tcW w:w="960" w:type="dxa"/>
            <w:tcBorders>
              <w:top w:val="single" w:sz="4" w:space="0" w:color="auto"/>
              <w:left w:val="nil"/>
              <w:bottom w:val="single" w:sz="4" w:space="0" w:color="auto"/>
              <w:right w:val="single" w:sz="4" w:space="0" w:color="auto"/>
            </w:tcBorders>
            <w:shd w:val="clear" w:color="auto" w:fill="C6EFCE"/>
            <w:noWrap/>
          </w:tcPr>
          <w:p w14:paraId="76C59FF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696C03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3057DC36"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25 000</w:t>
            </w:r>
          </w:p>
        </w:tc>
        <w:tc>
          <w:tcPr>
            <w:tcW w:w="869" w:type="dxa"/>
            <w:tcBorders>
              <w:top w:val="single" w:sz="4" w:space="0" w:color="auto"/>
              <w:left w:val="nil"/>
              <w:bottom w:val="single" w:sz="4" w:space="0" w:color="auto"/>
              <w:right w:val="single" w:sz="4" w:space="0" w:color="auto"/>
            </w:tcBorders>
            <w:shd w:val="clear" w:color="auto" w:fill="C6EFCE"/>
            <w:noWrap/>
          </w:tcPr>
          <w:p w14:paraId="35A7D73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7" w:type="dxa"/>
            <w:tcBorders>
              <w:top w:val="single" w:sz="4" w:space="0" w:color="auto"/>
              <w:left w:val="nil"/>
              <w:bottom w:val="single" w:sz="4" w:space="0" w:color="auto"/>
              <w:right w:val="single" w:sz="4" w:space="0" w:color="auto"/>
            </w:tcBorders>
            <w:shd w:val="clear" w:color="auto" w:fill="C6EFCE"/>
            <w:noWrap/>
          </w:tcPr>
          <w:p w14:paraId="02F90DE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279779D0" w14:textId="77777777" w:rsidR="00500CF9" w:rsidRPr="000A27B3" w:rsidRDefault="00500CF9">
            <w:pPr>
              <w:spacing w:after="120" w:line="240" w:lineRule="auto"/>
              <w:jc w:val="both"/>
              <w:rPr>
                <w:rFonts w:ascii="Times New Roman" w:eastAsia="Times New Roman" w:hAnsi="Times New Roman" w:cs="Times New Roman"/>
                <w:noProof/>
                <w:sz w:val="24"/>
              </w:rPr>
            </w:pPr>
            <w:r>
              <w:rPr>
                <w:rFonts w:ascii="Times New Roman" w:hAnsi="Times New Roman"/>
                <w:noProof/>
                <w:sz w:val="24"/>
              </w:rPr>
              <w:t>25 000 de furnizori de servicii medicale (spitale, ambulatorii de specialitate, laboratoare, medici de familie, farmacii, furnizori de dispozitive medicale, furnizori de îngrijire la domiciliu) vor fi conectați la noua platformă PIAS.</w:t>
            </w:r>
          </w:p>
        </w:tc>
      </w:tr>
      <w:tr w:rsidR="000A27B3" w:rsidRPr="000A27B3" w14:paraId="69753471"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3747198"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163</w:t>
            </w:r>
          </w:p>
        </w:tc>
        <w:tc>
          <w:tcPr>
            <w:tcW w:w="1740" w:type="dxa"/>
            <w:tcBorders>
              <w:top w:val="single" w:sz="4" w:space="0" w:color="auto"/>
              <w:left w:val="nil"/>
              <w:bottom w:val="single" w:sz="4" w:space="0" w:color="auto"/>
              <w:right w:val="single" w:sz="4" w:space="0" w:color="auto"/>
            </w:tcBorders>
            <w:shd w:val="clear" w:color="auto" w:fill="C6EFCE"/>
            <w:noWrap/>
          </w:tcPr>
          <w:p w14:paraId="1536AD7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Digitalizarea sistemului judiciar </w:t>
            </w:r>
          </w:p>
          <w:p w14:paraId="6DA94827"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73" w:type="dxa"/>
            <w:tcBorders>
              <w:top w:val="single" w:sz="4" w:space="0" w:color="auto"/>
              <w:left w:val="nil"/>
              <w:bottom w:val="single" w:sz="4" w:space="0" w:color="auto"/>
              <w:right w:val="single" w:sz="4" w:space="0" w:color="auto"/>
            </w:tcBorders>
            <w:shd w:val="clear" w:color="auto" w:fill="C6EFCE"/>
            <w:noWrap/>
          </w:tcPr>
          <w:p w14:paraId="1241FA8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0834D85A" w14:textId="2EA599D1"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Virtualizarea și centralizarea aplicațiilor comerciale este operațională</w:t>
            </w:r>
          </w:p>
        </w:tc>
        <w:tc>
          <w:tcPr>
            <w:tcW w:w="1389" w:type="dxa"/>
            <w:tcBorders>
              <w:top w:val="single" w:sz="4" w:space="0" w:color="auto"/>
              <w:left w:val="nil"/>
              <w:bottom w:val="single" w:sz="4" w:space="0" w:color="auto"/>
              <w:right w:val="single" w:sz="4" w:space="0" w:color="auto"/>
            </w:tcBorders>
            <w:shd w:val="clear" w:color="auto" w:fill="C6EFCE"/>
            <w:noWrap/>
          </w:tcPr>
          <w:p w14:paraId="6E5C96D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Dosarul electronic (e-file) (centralizat) național este operațional, iar gestionarea dosarelor judiciare este virtualizată în mai puține locații</w:t>
            </w:r>
          </w:p>
        </w:tc>
        <w:tc>
          <w:tcPr>
            <w:tcW w:w="960" w:type="dxa"/>
            <w:tcBorders>
              <w:top w:val="single" w:sz="4" w:space="0" w:color="auto"/>
              <w:left w:val="nil"/>
              <w:bottom w:val="single" w:sz="4" w:space="0" w:color="auto"/>
              <w:right w:val="single" w:sz="4" w:space="0" w:color="auto"/>
            </w:tcBorders>
            <w:shd w:val="clear" w:color="auto" w:fill="C6EFCE"/>
            <w:noWrap/>
          </w:tcPr>
          <w:p w14:paraId="71146F87"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380786C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13C96592"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304A422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2BD8507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021" w:type="dxa"/>
            <w:tcBorders>
              <w:top w:val="single" w:sz="4" w:space="0" w:color="auto"/>
              <w:left w:val="nil"/>
              <w:bottom w:val="single" w:sz="4" w:space="0" w:color="auto"/>
              <w:right w:val="single" w:sz="4" w:space="0" w:color="auto"/>
            </w:tcBorders>
            <w:shd w:val="clear" w:color="auto" w:fill="C6EFCE"/>
            <w:noWrap/>
          </w:tcPr>
          <w:p w14:paraId="2492F87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Pentru a reduce riscul operațional al sistemului existent de gestionare a dosarelor (și anume Sistemul electronic de management al cauzelor, versiunea ECRIS IV) și a introduce o alternativă modernă de acces electronic la dosarele cauzelor („dosarul electronic”), această investiție: </w:t>
            </w:r>
          </w:p>
          <w:p w14:paraId="35519E0E" w14:textId="77777777" w:rsidR="00500CF9" w:rsidRPr="000A27B3" w:rsidRDefault="00500CF9" w:rsidP="00500CF9">
            <w:pPr>
              <w:numPr>
                <w:ilvl w:val="0"/>
                <w:numId w:val="54"/>
              </w:numPr>
              <w:spacing w:after="0" w:line="240" w:lineRule="auto"/>
              <w:ind w:left="259" w:hanging="259"/>
              <w:contextualSpacing/>
              <w:jc w:val="both"/>
              <w:rPr>
                <w:rFonts w:ascii="Times New Roman" w:eastAsia="Times New Roman" w:hAnsi="Times New Roman" w:cs="Times New Roman"/>
                <w:noProof/>
                <w:sz w:val="24"/>
                <w:szCs w:val="24"/>
              </w:rPr>
            </w:pPr>
            <w:r>
              <w:rPr>
                <w:rFonts w:ascii="Times New Roman" w:hAnsi="Times New Roman"/>
                <w:noProof/>
                <w:sz w:val="24"/>
              </w:rPr>
              <w:t>va utiliza „virtualizarea” pentru a reduce numărul de servere de la aproximativ 270 de locații la 60 de locații (nu va fi o centralizare completă din cauza limitărilor cu privire la comunicarea datelor pentru tehnologiile vechi și pe termen scurt pentru ECRIS IV);</w:t>
            </w:r>
          </w:p>
          <w:p w14:paraId="17294FDD" w14:textId="77777777" w:rsidR="00500CF9" w:rsidRPr="000A27B3" w:rsidRDefault="00500CF9" w:rsidP="00500CF9">
            <w:pPr>
              <w:numPr>
                <w:ilvl w:val="0"/>
                <w:numId w:val="54"/>
              </w:numPr>
              <w:spacing w:line="240" w:lineRule="auto"/>
              <w:ind w:left="259" w:hanging="259"/>
              <w:contextualSpacing/>
              <w:jc w:val="both"/>
              <w:rPr>
                <w:rFonts w:ascii="Times New Roman" w:eastAsia="Times New Roman" w:hAnsi="Times New Roman" w:cs="Times New Roman"/>
                <w:noProof/>
                <w:sz w:val="24"/>
                <w:szCs w:val="24"/>
              </w:rPr>
            </w:pPr>
            <w:r>
              <w:rPr>
                <w:rFonts w:ascii="Times New Roman" w:hAnsi="Times New Roman"/>
                <w:noProof/>
                <w:sz w:val="24"/>
              </w:rPr>
              <w:t>va „centraliza” cele 4 extensii existente ale dosarului electronic într-un singur „dosar electronic” național prin care justițiabilii vor putea accesa cu ușurință și în siguranță documentele din dosarele instanțelor.</w:t>
            </w:r>
          </w:p>
          <w:p w14:paraId="26E97D6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De asemenea, un obiectiv strategic major este de a accelera și de a asigura o tranziție ușoară către următoarea versiune a ECRIS (ECRIS V).</w:t>
            </w:r>
          </w:p>
          <w:p w14:paraId="667D4B2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Astfel, obiectivul concret al „virtualizării și centralizării” propuse în Planul național de redresare și reziliență este modernizarea tehnologică a infrastructurii informatice a sistemului judiciar prin:</w:t>
            </w:r>
          </w:p>
          <w:p w14:paraId="6FBA37B1" w14:textId="77777777" w:rsidR="00500CF9" w:rsidRPr="000A27B3" w:rsidRDefault="00500CF9" w:rsidP="00500CF9">
            <w:pPr>
              <w:numPr>
                <w:ilvl w:val="0"/>
                <w:numId w:val="54"/>
              </w:numPr>
              <w:spacing w:after="0" w:line="240" w:lineRule="auto"/>
              <w:ind w:left="259" w:hanging="259"/>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creșterea capacității de transmitere a datelor în WAN (creșterea lărgimii de bandă) necesară pentru buna funcționare a sistemului electronic de gestionare a cauzelor într-o configurație centralizată; </w:t>
            </w:r>
          </w:p>
          <w:p w14:paraId="55F77789" w14:textId="77777777" w:rsidR="00500CF9" w:rsidRPr="000A27B3" w:rsidRDefault="00500CF9" w:rsidP="00500CF9">
            <w:pPr>
              <w:numPr>
                <w:ilvl w:val="0"/>
                <w:numId w:val="54"/>
              </w:numPr>
              <w:spacing w:after="0" w:line="240" w:lineRule="auto"/>
              <w:ind w:left="259" w:hanging="259"/>
              <w:contextualSpacing/>
              <w:jc w:val="both"/>
              <w:rPr>
                <w:rFonts w:ascii="Times New Roman" w:eastAsia="Times New Roman" w:hAnsi="Times New Roman" w:cs="Times New Roman"/>
                <w:noProof/>
                <w:sz w:val="24"/>
                <w:szCs w:val="24"/>
              </w:rPr>
            </w:pPr>
            <w:r>
              <w:rPr>
                <w:rFonts w:ascii="Times New Roman" w:hAnsi="Times New Roman"/>
                <w:noProof/>
                <w:sz w:val="24"/>
              </w:rPr>
              <w:t>asigurarea unei capacități adecvate de prelucrare și stocare la nivelul tribunalelor și al curților de apel, pentru a centraliza aplicațiile din sistemul judiciar și a asigura gestionarea eficientă a resurselor informatice în instanțe;</w:t>
            </w:r>
          </w:p>
          <w:p w14:paraId="11B1B4E3" w14:textId="77777777" w:rsidR="00500CF9" w:rsidRPr="000A27B3" w:rsidRDefault="00500CF9" w:rsidP="00500CF9">
            <w:pPr>
              <w:numPr>
                <w:ilvl w:val="0"/>
                <w:numId w:val="54"/>
              </w:numPr>
              <w:spacing w:after="0" w:line="240" w:lineRule="auto"/>
              <w:ind w:left="259" w:hanging="259"/>
              <w:contextualSpacing/>
              <w:jc w:val="both"/>
              <w:rPr>
                <w:rFonts w:ascii="Times New Roman" w:eastAsia="Times New Roman" w:hAnsi="Times New Roman" w:cs="Times New Roman"/>
                <w:noProof/>
                <w:sz w:val="24"/>
              </w:rPr>
            </w:pPr>
            <w:r>
              <w:rPr>
                <w:rFonts w:ascii="Times New Roman" w:hAnsi="Times New Roman"/>
                <w:noProof/>
                <w:sz w:val="24"/>
              </w:rPr>
              <w:t>sporirea securității și a disponibilității serviciilor oferite publicului larg prin implementarea dosarului electronic național (dosarul electronic).</w:t>
            </w:r>
          </w:p>
        </w:tc>
      </w:tr>
      <w:tr w:rsidR="000A27B3" w:rsidRPr="000A27B3" w14:paraId="610FCFED"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069B3EF"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164</w:t>
            </w:r>
          </w:p>
        </w:tc>
        <w:tc>
          <w:tcPr>
            <w:tcW w:w="1740" w:type="dxa"/>
            <w:tcBorders>
              <w:top w:val="single" w:sz="4" w:space="0" w:color="auto"/>
              <w:left w:val="nil"/>
              <w:bottom w:val="single" w:sz="4" w:space="0" w:color="auto"/>
              <w:right w:val="single" w:sz="4" w:space="0" w:color="auto"/>
            </w:tcBorders>
            <w:shd w:val="clear" w:color="auto" w:fill="C6EFCE"/>
            <w:noWrap/>
          </w:tcPr>
          <w:p w14:paraId="0228AC5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Digitalizarea sistemului judiciar </w:t>
            </w:r>
          </w:p>
          <w:p w14:paraId="6D68819C"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73" w:type="dxa"/>
            <w:tcBorders>
              <w:top w:val="single" w:sz="4" w:space="0" w:color="auto"/>
              <w:left w:val="nil"/>
              <w:bottom w:val="single" w:sz="4" w:space="0" w:color="auto"/>
              <w:right w:val="single" w:sz="4" w:space="0" w:color="auto"/>
            </w:tcBorders>
            <w:shd w:val="clear" w:color="auto" w:fill="C6EFCE"/>
            <w:noWrap/>
          </w:tcPr>
          <w:p w14:paraId="5D412F1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28B95C9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operaționalizării ECRIS V (Sistemul electronic de management al cauzelor)</w:t>
            </w:r>
          </w:p>
        </w:tc>
        <w:tc>
          <w:tcPr>
            <w:tcW w:w="1389" w:type="dxa"/>
            <w:tcBorders>
              <w:top w:val="single" w:sz="4" w:space="0" w:color="auto"/>
              <w:left w:val="nil"/>
              <w:bottom w:val="single" w:sz="4" w:space="0" w:color="auto"/>
              <w:right w:val="single" w:sz="4" w:space="0" w:color="auto"/>
            </w:tcBorders>
            <w:shd w:val="clear" w:color="auto" w:fill="C6EFCE"/>
            <w:noWrap/>
          </w:tcPr>
          <w:p w14:paraId="6A225D7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Sistemul ECRIS V este operațional și funcțional</w:t>
            </w:r>
          </w:p>
        </w:tc>
        <w:tc>
          <w:tcPr>
            <w:tcW w:w="960" w:type="dxa"/>
            <w:tcBorders>
              <w:top w:val="single" w:sz="4" w:space="0" w:color="auto"/>
              <w:left w:val="nil"/>
              <w:bottom w:val="single" w:sz="4" w:space="0" w:color="auto"/>
              <w:right w:val="single" w:sz="4" w:space="0" w:color="auto"/>
            </w:tcBorders>
            <w:shd w:val="clear" w:color="auto" w:fill="C6EFCE"/>
            <w:noWrap/>
          </w:tcPr>
          <w:p w14:paraId="43681F5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0C87B55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4D445E7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52E8B3E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44497E8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286E47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Elementul central al transformării digitale a sistemului judiciar este implementarea unui nou sistem de gestionare a cauzelor (ECRIS V), care va permite, pe de o parte, interacțiunea digitală dintre justițiabil și orice entitate interesată cu sistemul judiciar și, pe de altă parte, o interacțiune digitală mai bună și extinsă între instituțiile de la nivelul sistemului judiciar și între acestea și alte instituții adiacente.</w:t>
            </w:r>
          </w:p>
          <w:p w14:paraId="1BF6AB21" w14:textId="65BDF5C4" w:rsidR="00500CF9" w:rsidRPr="009F1DC7" w:rsidRDefault="00500CF9">
            <w:pPr>
              <w:spacing w:after="120" w:line="240" w:lineRule="auto"/>
              <w:jc w:val="both"/>
              <w:rPr>
                <w:rFonts w:ascii="Times New Roman" w:eastAsia="Times New Roman" w:hAnsi="Times New Roman" w:cs="Times New Roman"/>
                <w:noProof/>
                <w:sz w:val="24"/>
              </w:rPr>
            </w:pPr>
          </w:p>
        </w:tc>
      </w:tr>
      <w:tr w:rsidR="000A27B3" w:rsidRPr="000A27B3" w14:paraId="34F35010"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6A8A71E"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165</w:t>
            </w:r>
          </w:p>
        </w:tc>
        <w:tc>
          <w:tcPr>
            <w:tcW w:w="1740" w:type="dxa"/>
            <w:tcBorders>
              <w:top w:val="single" w:sz="4" w:space="0" w:color="auto"/>
              <w:left w:val="nil"/>
              <w:bottom w:val="single" w:sz="4" w:space="0" w:color="auto"/>
              <w:right w:val="single" w:sz="4" w:space="0" w:color="auto"/>
            </w:tcBorders>
            <w:shd w:val="clear" w:color="auto" w:fill="C6EFCE"/>
            <w:noWrap/>
          </w:tcPr>
          <w:p w14:paraId="7F1FF293" w14:textId="0CDAA732"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Digitalizarea sistemului judiciar </w:t>
            </w:r>
          </w:p>
          <w:p w14:paraId="07A9F8F4"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1EC04C6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23F17B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Digitalizarea autorităților publice centrale din sectorul judiciar</w:t>
            </w:r>
          </w:p>
        </w:tc>
        <w:tc>
          <w:tcPr>
            <w:tcW w:w="1389" w:type="dxa"/>
            <w:tcBorders>
              <w:top w:val="single" w:sz="4" w:space="0" w:color="auto"/>
              <w:left w:val="nil"/>
              <w:bottom w:val="single" w:sz="4" w:space="0" w:color="auto"/>
              <w:right w:val="single" w:sz="4" w:space="0" w:color="auto"/>
            </w:tcBorders>
            <w:shd w:val="clear" w:color="auto" w:fill="C6EFCE"/>
            <w:noWrap/>
          </w:tcPr>
          <w:p w14:paraId="597E29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Creșterea capacității de transmitere a datelor în WAN a autorităților publice centrale din sistemul judiciar </w:t>
            </w:r>
          </w:p>
        </w:tc>
        <w:tc>
          <w:tcPr>
            <w:tcW w:w="960" w:type="dxa"/>
            <w:tcBorders>
              <w:top w:val="single" w:sz="4" w:space="0" w:color="auto"/>
              <w:left w:val="nil"/>
              <w:bottom w:val="single" w:sz="4" w:space="0" w:color="auto"/>
              <w:right w:val="single" w:sz="4" w:space="0" w:color="auto"/>
            </w:tcBorders>
            <w:shd w:val="clear" w:color="auto" w:fill="C6EFCE"/>
            <w:noWrap/>
          </w:tcPr>
          <w:p w14:paraId="5806AD9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133EE9B4"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6F98626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4404C6B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0649241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EFA619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Pentru îmbunătățirea guvernării electronice și accelerarea transformării digitale în sectorul judiciar, autoritățile publice centrale din sistemul judiciar vor beneficia de următoarele îmbunătățiri tehnologice, care includ:</w:t>
            </w:r>
          </w:p>
          <w:p w14:paraId="267FCD61"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comunicații LAN și WAN. Acest lucru va permite îmbunătățirea organizării videoconferințelor, în conformitate cu cea mai recentă legislație adoptată în timpul pandemiei de COVID-19;</w:t>
            </w:r>
          </w:p>
          <w:p w14:paraId="0FF6DA0F"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echipamente de securitate informatică și soluții pentru protecția cibernetică;</w:t>
            </w:r>
          </w:p>
          <w:p w14:paraId="0C18206F"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terminale/periferice IT;</w:t>
            </w:r>
          </w:p>
          <w:p w14:paraId="14A0F188"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modernizarea și extinderea numărului de sisteme de videoconferință de la 400 la 600;</w:t>
            </w:r>
          </w:p>
          <w:p w14:paraId="7D5EB283"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echipamente specializate – pentru investigații juridice complexe, cum ar fi supravegherea audio și video, echipamente specializate pentru procesele critice (microscoape digitale pentru expertiza criminalistică).</w:t>
            </w:r>
          </w:p>
        </w:tc>
      </w:tr>
      <w:tr w:rsidR="000A27B3" w:rsidRPr="000A27B3" w14:paraId="1CD63C87"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553550B"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166</w:t>
            </w:r>
          </w:p>
        </w:tc>
        <w:tc>
          <w:tcPr>
            <w:tcW w:w="1740" w:type="dxa"/>
            <w:tcBorders>
              <w:top w:val="single" w:sz="4" w:space="0" w:color="auto"/>
              <w:left w:val="nil"/>
              <w:bottom w:val="single" w:sz="4" w:space="0" w:color="auto"/>
              <w:right w:val="single" w:sz="4" w:space="0" w:color="auto"/>
            </w:tcBorders>
            <w:shd w:val="clear" w:color="auto" w:fill="C6EFCE"/>
            <w:noWrap/>
          </w:tcPr>
          <w:p w14:paraId="18F28208" w14:textId="0F548A4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Digitalizarea sistemului judiciar </w:t>
            </w:r>
          </w:p>
          <w:p w14:paraId="2A732A4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1F29903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188DED6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Centrul de date este operațional</w:t>
            </w:r>
          </w:p>
        </w:tc>
        <w:tc>
          <w:tcPr>
            <w:tcW w:w="1389" w:type="dxa"/>
            <w:tcBorders>
              <w:top w:val="single" w:sz="4" w:space="0" w:color="auto"/>
              <w:left w:val="nil"/>
              <w:bottom w:val="single" w:sz="4" w:space="0" w:color="auto"/>
              <w:right w:val="single" w:sz="4" w:space="0" w:color="auto"/>
            </w:tcBorders>
            <w:shd w:val="clear" w:color="auto" w:fill="C6EFCE"/>
            <w:noWrap/>
          </w:tcPr>
          <w:p w14:paraId="17D8C84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Centrul de date este înființat și operațional</w:t>
            </w:r>
          </w:p>
        </w:tc>
        <w:tc>
          <w:tcPr>
            <w:tcW w:w="960" w:type="dxa"/>
            <w:tcBorders>
              <w:top w:val="single" w:sz="4" w:space="0" w:color="auto"/>
              <w:left w:val="nil"/>
              <w:bottom w:val="single" w:sz="4" w:space="0" w:color="auto"/>
              <w:right w:val="single" w:sz="4" w:space="0" w:color="auto"/>
            </w:tcBorders>
            <w:shd w:val="clear" w:color="auto" w:fill="C6EFCE"/>
            <w:noWrap/>
          </w:tcPr>
          <w:p w14:paraId="72883969"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6F0F6761"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3CFDE65B"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737AFD1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504D030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579CDB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Un nou centru de date este operaționalizat pentru uzul Ministerului Justiției, Ministerului Public și instituțiilor subordonate și este interoperabil cu cloud-ul guvernamental dezvoltat în cadrul Planului național de redresare și reziliență. 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tc>
      </w:tr>
      <w:tr w:rsidR="000A27B3" w:rsidRPr="000A27B3" w14:paraId="2C35356A"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1DCC65B"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167</w:t>
            </w:r>
          </w:p>
        </w:tc>
        <w:tc>
          <w:tcPr>
            <w:tcW w:w="1740" w:type="dxa"/>
            <w:tcBorders>
              <w:top w:val="single" w:sz="4" w:space="0" w:color="auto"/>
              <w:left w:val="nil"/>
              <w:bottom w:val="single" w:sz="4" w:space="0" w:color="auto"/>
              <w:right w:val="single" w:sz="4" w:space="0" w:color="auto"/>
            </w:tcBorders>
            <w:shd w:val="clear" w:color="auto" w:fill="C6EFCE"/>
            <w:noWrap/>
          </w:tcPr>
          <w:p w14:paraId="6DB27D8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5.</w:t>
            </w:r>
          </w:p>
          <w:p w14:paraId="73878B0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Digitalizare în domeniul mediului </w:t>
            </w:r>
          </w:p>
          <w:p w14:paraId="31ED485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76FBE48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387AE31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Capacitate sporită de supraveghere, control și monitorizare a pădurilor prin intermediul unui sistem informatic integrat</w:t>
            </w:r>
          </w:p>
        </w:tc>
        <w:tc>
          <w:tcPr>
            <w:tcW w:w="1389" w:type="dxa"/>
            <w:tcBorders>
              <w:top w:val="single" w:sz="4" w:space="0" w:color="auto"/>
              <w:left w:val="nil"/>
              <w:bottom w:val="single" w:sz="4" w:space="0" w:color="auto"/>
              <w:right w:val="single" w:sz="4" w:space="0" w:color="auto"/>
            </w:tcBorders>
            <w:shd w:val="clear" w:color="auto" w:fill="C6EFCE"/>
            <w:noWrap/>
          </w:tcPr>
          <w:p w14:paraId="5D67A1E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Sistemul de combatere a exploatării forestiere ilegale este instituit și operațional</w:t>
            </w:r>
          </w:p>
        </w:tc>
        <w:tc>
          <w:tcPr>
            <w:tcW w:w="960" w:type="dxa"/>
            <w:tcBorders>
              <w:top w:val="single" w:sz="4" w:space="0" w:color="auto"/>
              <w:left w:val="nil"/>
              <w:bottom w:val="single" w:sz="4" w:space="0" w:color="auto"/>
              <w:right w:val="single" w:sz="4" w:space="0" w:color="auto"/>
            </w:tcBorders>
            <w:shd w:val="clear" w:color="auto" w:fill="C6EFCE"/>
            <w:noWrap/>
          </w:tcPr>
          <w:p w14:paraId="6BBA267A"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5F630C2E"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75D7364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5C49F50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1C4A8A2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72A1D360" w14:textId="5A79A252"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Sistemul de combatere a exploatării forestiere ilegale este instituit și operațional. Sistemul va fi integrat în SUMAL 2.0 (sistemul românesc de urmărire a materialelor lemnoase) și va monitoriza îndeplinirea obligațiile legale legate de recoltarea lemnului, regenerarea în timp util a pădurilor, sănătatea pădurilor și starea de conservare a habitatelor forestiere (cum ar fi pierderea de suprafață forestieră și câștigarea de suprafață forestieră).</w:t>
            </w:r>
          </w:p>
          <w:p w14:paraId="69A1C8FF" w14:textId="31502882"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Registrul funciar forestier, astfel cum este prevăzut de sistemul național eTerra3 (baza de date a proprietății funciare), este inclus în SUMAL 2.0 prin intermediul interfeței de programare a aplicațiilor (API) pentru a obține un set complet de date privind drepturile de proprietate și de administrare. Sistemul trebuie să aibă trei componente principale: (i) compararea imaginilor prin satelit (automată și la cerere) pentru a detecta modificările acoperirii forestiere; (ii) monitorizarea transportului de cherestea cu ajutorul camerelor de supraveghere video asistate de inteligență artificială; (iii) un model forestier digital obținut prin scanare aeriană și terestră LiDAR (densitate mare – peste 30 puncte/m²). Centrele de date vor respecta Codul european de conduită privind eficiența energetică a centrelor de date.</w:t>
            </w:r>
          </w:p>
          <w:p w14:paraId="7EA8C908"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r>
      <w:tr w:rsidR="000A27B3" w:rsidRPr="000A27B3" w14:paraId="3308A1E4"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04EE094"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168</w:t>
            </w:r>
          </w:p>
        </w:tc>
        <w:tc>
          <w:tcPr>
            <w:tcW w:w="1740" w:type="dxa"/>
            <w:tcBorders>
              <w:top w:val="single" w:sz="4" w:space="0" w:color="auto"/>
              <w:left w:val="nil"/>
              <w:bottom w:val="single" w:sz="4" w:space="0" w:color="auto"/>
              <w:right w:val="single" w:sz="4" w:space="0" w:color="auto"/>
            </w:tcBorders>
            <w:shd w:val="clear" w:color="auto" w:fill="C6EFCE"/>
            <w:noWrap/>
          </w:tcPr>
          <w:p w14:paraId="3D0A42A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5.</w:t>
            </w:r>
          </w:p>
          <w:p w14:paraId="4DAC56B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Digitalizare în domeniul mediului </w:t>
            </w:r>
          </w:p>
          <w:p w14:paraId="6788687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771CE5A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2AA3805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Servicii publice de mediu digitalizate </w:t>
            </w:r>
          </w:p>
        </w:tc>
        <w:tc>
          <w:tcPr>
            <w:tcW w:w="1389" w:type="dxa"/>
            <w:tcBorders>
              <w:top w:val="single" w:sz="4" w:space="0" w:color="auto"/>
              <w:left w:val="nil"/>
              <w:bottom w:val="single" w:sz="4" w:space="0" w:color="auto"/>
              <w:right w:val="single" w:sz="4" w:space="0" w:color="auto"/>
            </w:tcBorders>
            <w:shd w:val="clear" w:color="auto" w:fill="C6EFCE"/>
            <w:noWrap/>
          </w:tcPr>
          <w:p w14:paraId="5D7EDAC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669BC9F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01A052D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7E95CAF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32</w:t>
            </w:r>
          </w:p>
        </w:tc>
        <w:tc>
          <w:tcPr>
            <w:tcW w:w="869" w:type="dxa"/>
            <w:tcBorders>
              <w:top w:val="single" w:sz="4" w:space="0" w:color="auto"/>
              <w:left w:val="nil"/>
              <w:bottom w:val="single" w:sz="4" w:space="0" w:color="auto"/>
              <w:right w:val="single" w:sz="4" w:space="0" w:color="auto"/>
            </w:tcBorders>
            <w:shd w:val="clear" w:color="auto" w:fill="C6EFCE"/>
            <w:noWrap/>
          </w:tcPr>
          <w:p w14:paraId="5398DB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2A3213D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E2ED09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32 de servicii publice legate de mediu vor fi digitalizate și gestionate online pentru a include:</w:t>
            </w:r>
          </w:p>
          <w:p w14:paraId="45058D12" w14:textId="77777777" w:rsidR="00500CF9" w:rsidRPr="000A27B3" w:rsidRDefault="00500CF9" w:rsidP="00500CF9">
            <w:pPr>
              <w:numPr>
                <w:ilvl w:val="0"/>
                <w:numId w:val="50"/>
              </w:numPr>
              <w:spacing w:after="0" w:line="240" w:lineRule="auto"/>
              <w:ind w:left="259" w:hanging="214"/>
              <w:contextualSpacing/>
              <w:jc w:val="both"/>
              <w:rPr>
                <w:rFonts w:ascii="Times New Roman" w:eastAsia="Times New Roman" w:hAnsi="Times New Roman" w:cs="Times New Roman"/>
                <w:noProof/>
                <w:sz w:val="24"/>
                <w:szCs w:val="24"/>
              </w:rPr>
            </w:pPr>
            <w:r>
              <w:rPr>
                <w:rFonts w:ascii="Times New Roman" w:hAnsi="Times New Roman"/>
                <w:noProof/>
                <w:sz w:val="24"/>
              </w:rPr>
              <w:t>transmiterea datelor și informațiilor pentru inventarele emisiilor;</w:t>
            </w:r>
          </w:p>
          <w:p w14:paraId="0101BF50" w14:textId="77777777" w:rsidR="00500CF9" w:rsidRPr="000A27B3" w:rsidRDefault="00500CF9" w:rsidP="00500CF9">
            <w:pPr>
              <w:numPr>
                <w:ilvl w:val="0"/>
                <w:numId w:val="50"/>
              </w:numPr>
              <w:spacing w:after="0" w:line="240" w:lineRule="auto"/>
              <w:ind w:left="259" w:hanging="214"/>
              <w:contextualSpacing/>
              <w:jc w:val="both"/>
              <w:rPr>
                <w:rFonts w:ascii="Times New Roman" w:eastAsia="Times New Roman" w:hAnsi="Times New Roman" w:cs="Times New Roman"/>
                <w:noProof/>
                <w:sz w:val="24"/>
                <w:szCs w:val="24"/>
              </w:rPr>
            </w:pPr>
            <w:r>
              <w:rPr>
                <w:rFonts w:ascii="Times New Roman" w:hAnsi="Times New Roman"/>
                <w:noProof/>
                <w:sz w:val="24"/>
              </w:rPr>
              <w:t>raportarea aferentă Natura 2000 și serviciile de conservare a naturii;</w:t>
            </w:r>
          </w:p>
          <w:p w14:paraId="3B151663" w14:textId="485295C1" w:rsidR="00500CF9" w:rsidRPr="000A27B3" w:rsidRDefault="00500CF9" w:rsidP="00500CF9">
            <w:pPr>
              <w:numPr>
                <w:ilvl w:val="0"/>
                <w:numId w:val="50"/>
              </w:numPr>
              <w:spacing w:after="0" w:line="240" w:lineRule="auto"/>
              <w:ind w:left="259" w:hanging="214"/>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gestionarea registrelor de mediu, a procedurilor de notificare și autorizare și a permiselor, cu scopul de a raționaliza serviciile de gestionare a deșeurilor pentru cetățeni și întreprinderi. </w:t>
            </w:r>
          </w:p>
        </w:tc>
      </w:tr>
      <w:tr w:rsidR="000A27B3" w:rsidRPr="000A27B3" w14:paraId="5D24090D"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D378988" w14:textId="77777777" w:rsidR="00500CF9" w:rsidRPr="000A27B3" w:rsidRDefault="00500CF9">
            <w:pPr>
              <w:spacing w:after="0" w:line="240" w:lineRule="auto"/>
              <w:jc w:val="center"/>
              <w:rPr>
                <w:rFonts w:ascii="Times New Roman" w:hAnsi="Times New Roman" w:cs="Times New Roman"/>
                <w:noProof/>
                <w:sz w:val="24"/>
              </w:rPr>
            </w:pPr>
            <w:r>
              <w:rPr>
                <w:rFonts w:ascii="Times New Roman" w:hAnsi="Times New Roman"/>
                <w:noProof/>
                <w:sz w:val="24"/>
              </w:rPr>
              <w:t>169</w:t>
            </w:r>
          </w:p>
        </w:tc>
        <w:tc>
          <w:tcPr>
            <w:tcW w:w="1740" w:type="dxa"/>
            <w:tcBorders>
              <w:top w:val="single" w:sz="4" w:space="0" w:color="auto"/>
              <w:left w:val="nil"/>
              <w:bottom w:val="single" w:sz="4" w:space="0" w:color="auto"/>
              <w:right w:val="single" w:sz="4" w:space="0" w:color="auto"/>
            </w:tcBorders>
            <w:shd w:val="clear" w:color="auto" w:fill="C6EFCE"/>
            <w:noWrap/>
          </w:tcPr>
          <w:p w14:paraId="06A4213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6. Digitalizarea în domeniul muncii și protecției sociale </w:t>
            </w:r>
          </w:p>
          <w:p w14:paraId="619B09BA"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73" w:type="dxa"/>
            <w:tcBorders>
              <w:top w:val="single" w:sz="4" w:space="0" w:color="auto"/>
              <w:left w:val="nil"/>
              <w:bottom w:val="single" w:sz="4" w:space="0" w:color="auto"/>
              <w:right w:val="single" w:sz="4" w:space="0" w:color="auto"/>
            </w:tcBorders>
            <w:shd w:val="clear" w:color="auto" w:fill="C6EFCE"/>
            <w:noWrap/>
          </w:tcPr>
          <w:p w14:paraId="13D1211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58EFB7F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Punerea în funcțiune a sistemului REGES-ONLINE</w:t>
            </w:r>
          </w:p>
        </w:tc>
        <w:tc>
          <w:tcPr>
            <w:tcW w:w="1389" w:type="dxa"/>
            <w:tcBorders>
              <w:top w:val="single" w:sz="4" w:space="0" w:color="auto"/>
              <w:left w:val="nil"/>
              <w:bottom w:val="single" w:sz="4" w:space="0" w:color="auto"/>
              <w:right w:val="single" w:sz="4" w:space="0" w:color="auto"/>
            </w:tcBorders>
            <w:shd w:val="clear" w:color="auto" w:fill="C6EFCE"/>
            <w:noWrap/>
          </w:tcPr>
          <w:p w14:paraId="7F7055B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Sistemul online REGES este funcțional.</w:t>
            </w:r>
          </w:p>
        </w:tc>
        <w:tc>
          <w:tcPr>
            <w:tcW w:w="960" w:type="dxa"/>
            <w:tcBorders>
              <w:top w:val="single" w:sz="4" w:space="0" w:color="auto"/>
              <w:left w:val="nil"/>
              <w:bottom w:val="single" w:sz="4" w:space="0" w:color="auto"/>
              <w:right w:val="single" w:sz="4" w:space="0" w:color="auto"/>
            </w:tcBorders>
            <w:shd w:val="clear" w:color="auto" w:fill="C6EFCE"/>
            <w:noWrap/>
          </w:tcPr>
          <w:p w14:paraId="13944989"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3AD5C557"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1051" w:type="dxa"/>
            <w:tcBorders>
              <w:top w:val="single" w:sz="4" w:space="0" w:color="auto"/>
              <w:left w:val="nil"/>
              <w:bottom w:val="single" w:sz="4" w:space="0" w:color="auto"/>
              <w:right w:val="single" w:sz="4" w:space="0" w:color="auto"/>
            </w:tcBorders>
            <w:shd w:val="clear" w:color="auto" w:fill="C6EFCE"/>
            <w:noWrap/>
          </w:tcPr>
          <w:p w14:paraId="360079C4" w14:textId="77777777" w:rsidR="00500CF9" w:rsidRPr="000A27B3" w:rsidRDefault="00500CF9">
            <w:pPr>
              <w:spacing w:after="0" w:line="240" w:lineRule="auto"/>
              <w:jc w:val="both"/>
              <w:rPr>
                <w:rFonts w:ascii="Times New Roman" w:eastAsia="Times New Roman" w:hAnsi="Times New Roman" w:cs="Times New Roman"/>
                <w:noProof/>
                <w:sz w:val="24"/>
                <w:lang w:val="en-GB"/>
              </w:rPr>
            </w:pPr>
          </w:p>
        </w:tc>
        <w:tc>
          <w:tcPr>
            <w:tcW w:w="869" w:type="dxa"/>
            <w:tcBorders>
              <w:top w:val="single" w:sz="4" w:space="0" w:color="auto"/>
              <w:left w:val="nil"/>
              <w:bottom w:val="single" w:sz="4" w:space="0" w:color="auto"/>
              <w:right w:val="single" w:sz="4" w:space="0" w:color="auto"/>
            </w:tcBorders>
            <w:shd w:val="clear" w:color="auto" w:fill="C6EFCE"/>
            <w:noWrap/>
          </w:tcPr>
          <w:p w14:paraId="4B4C21E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42BD829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7B48D038" w14:textId="77777777" w:rsidR="00500CF9" w:rsidRPr="000A27B3" w:rsidRDefault="00500CF9">
            <w:pPr>
              <w:spacing w:after="120" w:line="240" w:lineRule="auto"/>
              <w:jc w:val="both"/>
              <w:rPr>
                <w:rFonts w:ascii="Times New Roman" w:eastAsia="Times New Roman" w:hAnsi="Times New Roman" w:cs="Times New Roman"/>
                <w:noProof/>
                <w:sz w:val="24"/>
              </w:rPr>
            </w:pPr>
            <w:r>
              <w:rPr>
                <w:rFonts w:ascii="Times New Roman" w:hAnsi="Times New Roman"/>
                <w:noProof/>
                <w:sz w:val="24"/>
              </w:rPr>
              <w:t>Sistemul informatic REGES-ONLINE este implementat și interoperabil, asigurând accesul autorităților și instituțiilor publice la înregistrarea datelor în interfața de programare a aplicațiilor (API).</w:t>
            </w:r>
          </w:p>
          <w:p w14:paraId="3368F8F8" w14:textId="77777777" w:rsidR="00500CF9" w:rsidRPr="000A27B3" w:rsidRDefault="00500CF9">
            <w:pPr>
              <w:spacing w:after="120" w:line="240" w:lineRule="auto"/>
              <w:jc w:val="both"/>
              <w:rPr>
                <w:rFonts w:ascii="Times New Roman" w:eastAsia="Times New Roman" w:hAnsi="Times New Roman" w:cs="Times New Roman"/>
                <w:noProof/>
                <w:sz w:val="24"/>
              </w:rPr>
            </w:pPr>
            <w:r>
              <w:rPr>
                <w:rFonts w:ascii="Times New Roman" w:hAnsi="Times New Roman"/>
                <w:noProof/>
                <w:sz w:val="24"/>
              </w:rPr>
              <w:t>Proiectul REGES-ONLINE vizează digitalizarea relației inspectoratelor teritoriale de muncă cu angajatorii, facilitând transmiterea datelor privind angajații și contractele individuale de muncă ale acestora.</w:t>
            </w:r>
          </w:p>
        </w:tc>
      </w:tr>
      <w:tr w:rsidR="000A27B3" w:rsidRPr="000A27B3" w14:paraId="25A62128"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A7C1216"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170</w:t>
            </w:r>
          </w:p>
        </w:tc>
        <w:tc>
          <w:tcPr>
            <w:tcW w:w="1740" w:type="dxa"/>
            <w:tcBorders>
              <w:top w:val="single" w:sz="4" w:space="0" w:color="auto"/>
              <w:left w:val="nil"/>
              <w:bottom w:val="single" w:sz="4" w:space="0" w:color="auto"/>
              <w:right w:val="single" w:sz="4" w:space="0" w:color="auto"/>
            </w:tcBorders>
            <w:shd w:val="clear" w:color="auto" w:fill="C6EFCE"/>
            <w:noWrap/>
          </w:tcPr>
          <w:p w14:paraId="14CEB21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6. Digitalizarea în domeniul muncii și protecției sociale </w:t>
            </w:r>
          </w:p>
          <w:p w14:paraId="58928C2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091844D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031578D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serviciilor digitale în domeniul muncii și protecției sociale </w:t>
            </w:r>
          </w:p>
        </w:tc>
        <w:tc>
          <w:tcPr>
            <w:tcW w:w="1389" w:type="dxa"/>
            <w:tcBorders>
              <w:top w:val="single" w:sz="4" w:space="0" w:color="auto"/>
              <w:left w:val="nil"/>
              <w:bottom w:val="single" w:sz="4" w:space="0" w:color="auto"/>
              <w:right w:val="single" w:sz="4" w:space="0" w:color="auto"/>
            </w:tcBorders>
            <w:shd w:val="clear" w:color="auto" w:fill="C6EFCE"/>
            <w:noWrap/>
          </w:tcPr>
          <w:p w14:paraId="69C9CBA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7D9700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24F6DFA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2DF0110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w:t>
            </w:r>
          </w:p>
        </w:tc>
        <w:tc>
          <w:tcPr>
            <w:tcW w:w="869" w:type="dxa"/>
            <w:tcBorders>
              <w:top w:val="single" w:sz="4" w:space="0" w:color="auto"/>
              <w:left w:val="nil"/>
              <w:bottom w:val="single" w:sz="4" w:space="0" w:color="auto"/>
              <w:right w:val="single" w:sz="4" w:space="0" w:color="auto"/>
            </w:tcBorders>
            <w:shd w:val="clear" w:color="auto" w:fill="C6EFCE"/>
            <w:noWrap/>
          </w:tcPr>
          <w:p w14:paraId="6DC9BB7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6F2A9FF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147ED2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Începerea funcționării serviciilor digitale de tip e-guvernare în domeniul muncii si protecției sociale</w:t>
            </w:r>
          </w:p>
          <w:p w14:paraId="4F618E9D" w14:textId="77777777" w:rsidR="00500CF9" w:rsidRPr="000A27B3" w:rsidRDefault="00500CF9" w:rsidP="00500CF9">
            <w:pPr>
              <w:numPr>
                <w:ilvl w:val="0"/>
                <w:numId w:val="55"/>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digitalizarea serviciilor oferite de Agenția Națională pentru Ocuparea Forței de Muncă (ANOFM) pentru a răspunde eficient la noile nevoi ale pieței forței de muncă, prin optimizarea operațiunilor în beneficiul cetățenilor și prin furnizarea de cursuri de formare privind competențele digitale pentru gestionarea anumitor activități (cum ar fi depunerea online a documentelor pentru înregistrarea beneficiarilor și acordarea de prestații, posibilitatea de a se înregistra și de a participa la cursuri de formare online și evaluarea competențelor profesionale, sesiuni de consiliere online) și modernizarea infrastructurii informatice;</w:t>
            </w:r>
          </w:p>
          <w:p w14:paraId="6CA905A2" w14:textId="77777777" w:rsidR="00500CF9" w:rsidRPr="000A27B3" w:rsidRDefault="00500CF9" w:rsidP="00500CF9">
            <w:pPr>
              <w:numPr>
                <w:ilvl w:val="0"/>
                <w:numId w:val="55"/>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digitalizarea activității de control în domeniul relațiilor de muncă și al securității și sănătății în muncă;</w:t>
            </w:r>
          </w:p>
          <w:p w14:paraId="2B4A0792" w14:textId="77777777" w:rsidR="00500CF9" w:rsidRPr="000A27B3" w:rsidRDefault="00500CF9" w:rsidP="00500CF9">
            <w:pPr>
              <w:numPr>
                <w:ilvl w:val="0"/>
                <w:numId w:val="55"/>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digitalizarea prestațiilor de asistență socială gestionate de Agenția Națională pentru Plăți și Inspecție Socială – ANPIS (inclusiv sisteme informatice funcționale pentru beneficiarii venitului minim de incluziune). Operaționalizarea platformei digitale pentru implementarea venitului minim de incluziune – VMI – va permite, printre altele:</w:t>
            </w:r>
          </w:p>
          <w:p w14:paraId="52113F49" w14:textId="77777777" w:rsidR="00500CF9" w:rsidRPr="000A27B3" w:rsidRDefault="00500CF9" w:rsidP="00500CF9">
            <w:pPr>
              <w:numPr>
                <w:ilvl w:val="1"/>
                <w:numId w:val="50"/>
              </w:numPr>
              <w:spacing w:after="0" w:line="240" w:lineRule="auto"/>
              <w:ind w:left="543" w:hanging="219"/>
              <w:contextualSpacing/>
              <w:jc w:val="both"/>
              <w:rPr>
                <w:rFonts w:ascii="Times New Roman" w:eastAsia="Times New Roman" w:hAnsi="Times New Roman" w:cs="Times New Roman"/>
                <w:noProof/>
                <w:sz w:val="24"/>
                <w:szCs w:val="24"/>
              </w:rPr>
            </w:pPr>
            <w:r>
              <w:rPr>
                <w:rFonts w:ascii="Times New Roman" w:hAnsi="Times New Roman"/>
                <w:noProof/>
                <w:sz w:val="24"/>
              </w:rPr>
              <w:t>efectuarea tuturor operațiunilor legate de implementarea VMI, cu module care permit utilizarea abordării gestionării cazurilor în funcție de caracteristicile individuale, inclusiv măsuri de activare, într-un mod intuitiv/ușor de utilizat;</w:t>
            </w:r>
          </w:p>
          <w:p w14:paraId="7AB5A5CA" w14:textId="77777777" w:rsidR="00500CF9" w:rsidRPr="000A27B3" w:rsidRDefault="00500CF9" w:rsidP="00500CF9">
            <w:pPr>
              <w:numPr>
                <w:ilvl w:val="1"/>
                <w:numId w:val="50"/>
              </w:numPr>
              <w:spacing w:after="0" w:line="240" w:lineRule="auto"/>
              <w:ind w:left="543" w:hanging="219"/>
              <w:contextualSpacing/>
              <w:jc w:val="both"/>
              <w:rPr>
                <w:rFonts w:ascii="Times New Roman" w:eastAsia="Times New Roman" w:hAnsi="Times New Roman" w:cs="Times New Roman"/>
                <w:noProof/>
                <w:sz w:val="24"/>
                <w:szCs w:val="24"/>
              </w:rPr>
            </w:pPr>
            <w:r>
              <w:rPr>
                <w:rFonts w:ascii="Times New Roman" w:hAnsi="Times New Roman"/>
                <w:noProof/>
                <w:sz w:val="24"/>
              </w:rPr>
              <w:t>interoperabilitatea cu alte baze de date relevante, de exemplu ale Ministerului Finanțelor, Ministerului Muncii, Ministerului Educației și Serviciului public de ocupare a forței de muncă.</w:t>
            </w:r>
          </w:p>
        </w:tc>
      </w:tr>
      <w:tr w:rsidR="000A27B3" w:rsidRPr="000A27B3" w14:paraId="33B47F74"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152CF3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171</w:t>
            </w:r>
          </w:p>
        </w:tc>
        <w:tc>
          <w:tcPr>
            <w:tcW w:w="1740" w:type="dxa"/>
            <w:tcBorders>
              <w:top w:val="single" w:sz="4" w:space="0" w:color="auto"/>
              <w:left w:val="nil"/>
              <w:bottom w:val="single" w:sz="4" w:space="0" w:color="auto"/>
              <w:right w:val="single" w:sz="4" w:space="0" w:color="auto"/>
            </w:tcBorders>
            <w:shd w:val="clear" w:color="auto" w:fill="C6EFCE"/>
            <w:noWrap/>
          </w:tcPr>
          <w:p w14:paraId="10E4B9C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6. Digitalizarea în domeniul muncii și protecției sociale </w:t>
            </w:r>
          </w:p>
          <w:p w14:paraId="31B84C6E"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0658EDD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1CA8BE0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 de angajați care participă la cursuri de formare privind competențele digitale</w:t>
            </w:r>
          </w:p>
        </w:tc>
        <w:tc>
          <w:tcPr>
            <w:tcW w:w="1389" w:type="dxa"/>
            <w:tcBorders>
              <w:top w:val="single" w:sz="4" w:space="0" w:color="auto"/>
              <w:left w:val="nil"/>
              <w:bottom w:val="single" w:sz="4" w:space="0" w:color="auto"/>
              <w:right w:val="single" w:sz="4" w:space="0" w:color="auto"/>
            </w:tcBorders>
            <w:shd w:val="clear" w:color="auto" w:fill="C6EFCE"/>
            <w:noWrap/>
          </w:tcPr>
          <w:p w14:paraId="108DD3A1"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2BFC81D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10E9B8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787081B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4 777</w:t>
            </w:r>
          </w:p>
        </w:tc>
        <w:tc>
          <w:tcPr>
            <w:tcW w:w="869" w:type="dxa"/>
            <w:tcBorders>
              <w:top w:val="single" w:sz="4" w:space="0" w:color="auto"/>
              <w:left w:val="nil"/>
              <w:bottom w:val="single" w:sz="4" w:space="0" w:color="auto"/>
              <w:right w:val="single" w:sz="4" w:space="0" w:color="auto"/>
            </w:tcBorders>
            <w:shd w:val="clear" w:color="auto" w:fill="C6EFCE"/>
            <w:noWrap/>
          </w:tcPr>
          <w:p w14:paraId="0F2E6D1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031B794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0093B1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Numărul de angajați care participă la cursuri de formare privind competențele digitale: </w:t>
            </w:r>
          </w:p>
          <w:p w14:paraId="0D2BC895" w14:textId="77777777" w:rsidR="00500CF9" w:rsidRPr="000A27B3" w:rsidRDefault="00500CF9" w:rsidP="00500CF9">
            <w:pPr>
              <w:numPr>
                <w:ilvl w:val="0"/>
                <w:numId w:val="56"/>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Agenția Națională pentru Ocuparea Forței de Muncă: 1 200 de angajați</w:t>
            </w:r>
          </w:p>
          <w:p w14:paraId="63BAB898" w14:textId="77777777" w:rsidR="00500CF9" w:rsidRPr="000A27B3" w:rsidRDefault="00500CF9" w:rsidP="00500CF9">
            <w:pPr>
              <w:numPr>
                <w:ilvl w:val="0"/>
                <w:numId w:val="56"/>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Agenția Națională pentru Plăți și Inspecție Socială: 1 595 de angajați</w:t>
            </w:r>
          </w:p>
          <w:p w14:paraId="0D488F77" w14:textId="77777777" w:rsidR="00500CF9" w:rsidRPr="000A27B3" w:rsidRDefault="00500CF9" w:rsidP="00500CF9">
            <w:pPr>
              <w:numPr>
                <w:ilvl w:val="0"/>
                <w:numId w:val="56"/>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Inspecția muncii și inspectoratele teritoriale de muncă: 1 982 de angajați</w:t>
            </w:r>
          </w:p>
        </w:tc>
      </w:tr>
      <w:tr w:rsidR="000A27B3" w:rsidRPr="000A27B3" w14:paraId="6F1329D3"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E8A59F6"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172</w:t>
            </w:r>
          </w:p>
        </w:tc>
        <w:tc>
          <w:tcPr>
            <w:tcW w:w="1740" w:type="dxa"/>
            <w:tcBorders>
              <w:top w:val="single" w:sz="4" w:space="0" w:color="auto"/>
              <w:left w:val="nil"/>
              <w:bottom w:val="single" w:sz="4" w:space="0" w:color="auto"/>
              <w:right w:val="single" w:sz="4" w:space="0" w:color="auto"/>
            </w:tcBorders>
            <w:shd w:val="clear" w:color="auto" w:fill="C6EFCE"/>
            <w:noWrap/>
          </w:tcPr>
          <w:p w14:paraId="0CA9FD8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7. Implementarea formularelor electronice eForms în domeniul achizițiilor publice </w:t>
            </w:r>
          </w:p>
          <w:p w14:paraId="706FB84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08FD30E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744A78F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formularelor naționale electronice în procedurile de achiziții publice în conformitate cu legislația UE </w:t>
            </w:r>
          </w:p>
        </w:tc>
        <w:tc>
          <w:tcPr>
            <w:tcW w:w="1389" w:type="dxa"/>
            <w:tcBorders>
              <w:top w:val="single" w:sz="4" w:space="0" w:color="auto"/>
              <w:left w:val="nil"/>
              <w:bottom w:val="single" w:sz="4" w:space="0" w:color="auto"/>
              <w:right w:val="single" w:sz="4" w:space="0" w:color="auto"/>
            </w:tcBorders>
            <w:shd w:val="clear" w:color="auto" w:fill="C6EFCE"/>
            <w:noWrap/>
          </w:tcPr>
          <w:p w14:paraId="680F948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Formularele electronice standard pentru procedurile din domeniul achizițiilor publice sunt operaționale</w:t>
            </w:r>
          </w:p>
        </w:tc>
        <w:tc>
          <w:tcPr>
            <w:tcW w:w="960" w:type="dxa"/>
            <w:tcBorders>
              <w:top w:val="single" w:sz="4" w:space="0" w:color="auto"/>
              <w:left w:val="nil"/>
              <w:bottom w:val="single" w:sz="4" w:space="0" w:color="auto"/>
              <w:right w:val="single" w:sz="4" w:space="0" w:color="auto"/>
            </w:tcBorders>
            <w:shd w:val="clear" w:color="auto" w:fill="C6EFCE"/>
            <w:noWrap/>
          </w:tcPr>
          <w:p w14:paraId="38C15E4D"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6D4B7B5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03C7FB3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29FC7C5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563BD56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3021" w:type="dxa"/>
            <w:tcBorders>
              <w:top w:val="single" w:sz="4" w:space="0" w:color="auto"/>
              <w:left w:val="nil"/>
              <w:bottom w:val="single" w:sz="4" w:space="0" w:color="auto"/>
              <w:right w:val="single" w:sz="4" w:space="0" w:color="auto"/>
            </w:tcBorders>
            <w:shd w:val="clear" w:color="auto" w:fill="C6EFCE"/>
            <w:noWrap/>
          </w:tcPr>
          <w:p w14:paraId="50768D2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va asigura punerea în aplicare a Regulamentului de punere în aplicare (UE) 2019/1780 (formulare electronice) în cadrul Serviciului de achiziții publice din România (SEAP). Se preconizează că implementarea formularelor electronice nu va afecta utilizatorul final deoarece modificările vor fi efectuate în back-end (structurile de calcul din spatele interfeței). Investiția vizează asigurarea extracției și încapsulării datelor special pentru noile cerințe tehnologice prevăzute de directivă. </w:t>
            </w:r>
          </w:p>
        </w:tc>
      </w:tr>
      <w:tr w:rsidR="000A27B3" w:rsidRPr="000A27B3" w14:paraId="3DE81FD1"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D38771E"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173</w:t>
            </w:r>
          </w:p>
        </w:tc>
        <w:tc>
          <w:tcPr>
            <w:tcW w:w="1740" w:type="dxa"/>
            <w:tcBorders>
              <w:top w:val="single" w:sz="4" w:space="0" w:color="auto"/>
              <w:left w:val="nil"/>
              <w:bottom w:val="single" w:sz="4" w:space="0" w:color="auto"/>
              <w:right w:val="single" w:sz="4" w:space="0" w:color="auto"/>
            </w:tcBorders>
            <w:shd w:val="clear" w:color="auto" w:fill="C6EFCE"/>
            <w:noWrap/>
          </w:tcPr>
          <w:p w14:paraId="0A3E90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8.</w:t>
            </w:r>
          </w:p>
          <w:p w14:paraId="1D325149" w14:textId="6B2EBEB8"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Cartea de identitate electronică și semnătura digitală</w:t>
            </w:r>
          </w:p>
          <w:p w14:paraId="2E650E4D"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75E25CF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0815440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Cetățeni pentru care se eliberează cartea de identitate electronică </w:t>
            </w:r>
          </w:p>
        </w:tc>
        <w:tc>
          <w:tcPr>
            <w:tcW w:w="1389" w:type="dxa"/>
            <w:tcBorders>
              <w:top w:val="single" w:sz="4" w:space="0" w:color="auto"/>
              <w:left w:val="nil"/>
              <w:bottom w:val="single" w:sz="4" w:space="0" w:color="auto"/>
              <w:right w:val="single" w:sz="4" w:space="0" w:color="auto"/>
            </w:tcBorders>
            <w:shd w:val="clear" w:color="auto" w:fill="C6EFCE"/>
            <w:noWrap/>
          </w:tcPr>
          <w:p w14:paraId="32DF815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43725E7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59EF65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0E5D2BCB" w14:textId="7B577B39"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5 000 000</w:t>
            </w:r>
          </w:p>
        </w:tc>
        <w:tc>
          <w:tcPr>
            <w:tcW w:w="869" w:type="dxa"/>
            <w:tcBorders>
              <w:top w:val="single" w:sz="4" w:space="0" w:color="auto"/>
              <w:left w:val="nil"/>
              <w:bottom w:val="single" w:sz="4" w:space="0" w:color="auto"/>
              <w:right w:val="single" w:sz="4" w:space="0" w:color="auto"/>
            </w:tcBorders>
            <w:shd w:val="clear" w:color="auto" w:fill="C6EFCE"/>
            <w:noWrap/>
          </w:tcPr>
          <w:p w14:paraId="2765C977" w14:textId="661F2693"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06EE8EFC" w14:textId="5417D2C2"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08F0083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Cartea de identitate va respecta cerințele Comisiei Europene privind securitatea documentelor, în conformitate cu obiectivele stabilite în Regulamentul (UE) 1157/2019. Cartea de identitate electronică va stoca două certificate digitale:</w:t>
            </w:r>
          </w:p>
          <w:p w14:paraId="7B787920" w14:textId="77777777" w:rsidR="00500CF9" w:rsidRPr="000A27B3" w:rsidRDefault="00500CF9" w:rsidP="00500CF9">
            <w:pPr>
              <w:numPr>
                <w:ilvl w:val="0"/>
                <w:numId w:val="56"/>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unul obligatoriu pentru semnătura electronică avansată, înregistrat pe toate cărțile de identitate electronice, valabil în România și utilizabil din momentul eliberării cărții de identitate electronice;</w:t>
            </w:r>
          </w:p>
          <w:p w14:paraId="57CBBB95" w14:textId="77777777" w:rsidR="00500CF9" w:rsidRPr="000A27B3" w:rsidRDefault="00500CF9" w:rsidP="00500CF9">
            <w:pPr>
              <w:numPr>
                <w:ilvl w:val="0"/>
                <w:numId w:val="56"/>
              </w:numPr>
              <w:spacing w:after="0" w:line="240" w:lineRule="auto"/>
              <w:ind w:left="260" w:hanging="215"/>
              <w:contextualSpacing/>
              <w:jc w:val="both"/>
              <w:rPr>
                <w:rFonts w:ascii="Times New Roman" w:eastAsia="Times New Roman" w:hAnsi="Times New Roman" w:cs="Times New Roman"/>
                <w:noProof/>
                <w:sz w:val="24"/>
                <w:szCs w:val="24"/>
              </w:rPr>
            </w:pPr>
            <w:r>
              <w:rPr>
                <w:rFonts w:ascii="Times New Roman" w:hAnsi="Times New Roman"/>
                <w:noProof/>
                <w:sz w:val="24"/>
              </w:rPr>
              <w:t>un certificat opțional pentru semnătura electronică calificată, eliberat de furnizorii de servicii de certificare calificată (naționali/alții decât naționali), valabil și pentru serviciile terților, valabil în România și în UE, care va putea fi achiziționat de către cetățeni.</w:t>
            </w:r>
          </w:p>
        </w:tc>
      </w:tr>
      <w:tr w:rsidR="000A27B3" w:rsidRPr="000A27B3" w14:paraId="06BE98AC"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1962DB" w14:textId="77777777" w:rsidR="00500CF9" w:rsidRPr="000A27B3" w:rsidRDefault="00500CF9">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174</w:t>
            </w:r>
          </w:p>
        </w:tc>
        <w:tc>
          <w:tcPr>
            <w:tcW w:w="1740" w:type="dxa"/>
            <w:tcBorders>
              <w:top w:val="single" w:sz="4" w:space="0" w:color="auto"/>
              <w:left w:val="nil"/>
              <w:bottom w:val="single" w:sz="4" w:space="0" w:color="auto"/>
              <w:right w:val="single" w:sz="4" w:space="0" w:color="auto"/>
            </w:tcBorders>
            <w:shd w:val="clear" w:color="auto" w:fill="C6EFCE"/>
            <w:noWrap/>
          </w:tcPr>
          <w:p w14:paraId="21F21B7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8.</w:t>
            </w:r>
          </w:p>
          <w:p w14:paraId="60137426" w14:textId="7C6FFAB9"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Cartea de identitate electronică și semnătura digitală</w:t>
            </w:r>
          </w:p>
          <w:p w14:paraId="655BB530" w14:textId="77777777"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c>
          <w:tcPr>
            <w:tcW w:w="1073" w:type="dxa"/>
            <w:tcBorders>
              <w:top w:val="single" w:sz="4" w:space="0" w:color="auto"/>
              <w:left w:val="nil"/>
              <w:bottom w:val="single" w:sz="4" w:space="0" w:color="auto"/>
              <w:right w:val="single" w:sz="4" w:space="0" w:color="auto"/>
            </w:tcBorders>
            <w:shd w:val="clear" w:color="auto" w:fill="C6EFCE"/>
            <w:noWrap/>
          </w:tcPr>
          <w:p w14:paraId="0A42D50C" w14:textId="6EF297EB"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40F3E255" w14:textId="037C5AE0"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Punerea în aplicare a măsurilor de sprijin pentru implementarea cărții de identitate electronice </w:t>
            </w:r>
          </w:p>
        </w:tc>
        <w:tc>
          <w:tcPr>
            <w:tcW w:w="1389" w:type="dxa"/>
            <w:tcBorders>
              <w:top w:val="single" w:sz="4" w:space="0" w:color="auto"/>
              <w:left w:val="nil"/>
              <w:bottom w:val="single" w:sz="4" w:space="0" w:color="auto"/>
              <w:right w:val="single" w:sz="4" w:space="0" w:color="auto"/>
            </w:tcBorders>
            <w:shd w:val="clear" w:color="auto" w:fill="C6EFCE"/>
            <w:noWrap/>
          </w:tcPr>
          <w:p w14:paraId="673EC0D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Serviciile publice online sunt implementate, sistemul de alertă timpurie este dezvoltat, campania de sensibilizare este desfășurată</w:t>
            </w:r>
          </w:p>
        </w:tc>
        <w:tc>
          <w:tcPr>
            <w:tcW w:w="960" w:type="dxa"/>
            <w:tcBorders>
              <w:top w:val="single" w:sz="4" w:space="0" w:color="auto"/>
              <w:left w:val="nil"/>
              <w:bottom w:val="single" w:sz="4" w:space="0" w:color="auto"/>
              <w:right w:val="single" w:sz="4" w:space="0" w:color="auto"/>
            </w:tcBorders>
            <w:shd w:val="clear" w:color="auto" w:fill="C6EFCE"/>
            <w:noWrap/>
          </w:tcPr>
          <w:p w14:paraId="6D7858B5" w14:textId="54B7023D"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3CF013D6" w14:textId="0BDDC737"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6135CAC9" w14:textId="56302F6B"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67B17D4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1F1EE03C" w14:textId="1197FCAE"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7E8D2B6B" w14:textId="445664CC" w:rsidR="00500CF9" w:rsidRPr="000A27B3" w:rsidRDefault="00500CF9">
            <w:pPr>
              <w:spacing w:before="120" w:after="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 xml:space="preserve">Trebuie să fie accesibile prin utilizarea cărții de identitate electronice 11 servicii publice online, cu un nivel de sofisticare de cel puțin „3”. Aceste servicii publice online trebuie să includă următoarele componente: infrastructură IT&amp;C pentru dezvoltarea, furnizarea și continuitatea sporită a serviciilor accesate prin intermediul unei cărți de identitate electronice, soluții de virtualizare pentru îmbunătățirea disponibilității infrastructurii în vederea asigurării accesului la serviciile electronice și extinderea actualei „copii de rezervă și recuperare în caz de dezastru” cu soluții modulare. </w:t>
            </w:r>
          </w:p>
          <w:p w14:paraId="08C7AEF8" w14:textId="4165B562"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Trebuie să fie finalizată dezvoltarea unui sistem de alertă timpurie cu privire la riscurile de securitate (inclusiv riscurile cibernetice).</w:t>
            </w:r>
          </w:p>
          <w:p w14:paraId="6F9026C0" w14:textId="77777777" w:rsidR="00500CF9" w:rsidRPr="000A27B3" w:rsidRDefault="00500CF9">
            <w:pPr>
              <w:spacing w:before="120" w:after="0" w:line="240" w:lineRule="auto"/>
              <w:jc w:val="both"/>
              <w:textAlignment w:val="baseline"/>
              <w:rPr>
                <w:rFonts w:ascii="Times New Roman" w:eastAsia="Times New Roman" w:hAnsi="Times New Roman" w:cs="Times New Roman"/>
                <w:noProof/>
                <w:sz w:val="24"/>
              </w:rPr>
            </w:pPr>
            <w:r>
              <w:rPr>
                <w:rFonts w:ascii="Times New Roman" w:hAnsi="Times New Roman"/>
                <w:noProof/>
                <w:sz w:val="24"/>
              </w:rPr>
              <w:t>Trebuie să fie finalizată punerea în aplicare a unei campanii de sensibilizare care să încurajeze utilizarea pe scară largă a cărții de identitate electronice și, implicit, a serviciilor publice electronice aferente acesteia.</w:t>
            </w:r>
          </w:p>
          <w:p w14:paraId="082B789B" w14:textId="05F35716" w:rsidR="00500CF9" w:rsidRPr="009F1DC7" w:rsidRDefault="00500CF9">
            <w:pPr>
              <w:spacing w:after="0" w:line="240" w:lineRule="auto"/>
              <w:jc w:val="both"/>
              <w:rPr>
                <w:rFonts w:ascii="Times New Roman" w:eastAsia="Times New Roman" w:hAnsi="Times New Roman" w:cs="Times New Roman"/>
                <w:noProof/>
                <w:sz w:val="24"/>
                <w:lang w:eastAsia="en-GB"/>
              </w:rPr>
            </w:pPr>
          </w:p>
        </w:tc>
      </w:tr>
      <w:tr w:rsidR="000A27B3" w:rsidRPr="00D1375D" w14:paraId="134D2CD5"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8F3A11A"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175</w:t>
            </w:r>
          </w:p>
        </w:tc>
        <w:tc>
          <w:tcPr>
            <w:tcW w:w="1740" w:type="dxa"/>
            <w:tcBorders>
              <w:top w:val="single" w:sz="4" w:space="0" w:color="auto"/>
              <w:left w:val="nil"/>
              <w:bottom w:val="single" w:sz="4" w:space="0" w:color="auto"/>
              <w:right w:val="single" w:sz="4" w:space="0" w:color="auto"/>
            </w:tcBorders>
            <w:shd w:val="clear" w:color="auto" w:fill="C6EFCE"/>
            <w:noWrap/>
          </w:tcPr>
          <w:p w14:paraId="1578392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9. Digitalizarea sectorului organizațiilor neguvernamentale </w:t>
            </w:r>
          </w:p>
        </w:tc>
        <w:tc>
          <w:tcPr>
            <w:tcW w:w="1073" w:type="dxa"/>
            <w:tcBorders>
              <w:top w:val="single" w:sz="4" w:space="0" w:color="auto"/>
              <w:left w:val="nil"/>
              <w:bottom w:val="single" w:sz="4" w:space="0" w:color="auto"/>
              <w:right w:val="single" w:sz="4" w:space="0" w:color="auto"/>
            </w:tcBorders>
            <w:shd w:val="clear" w:color="auto" w:fill="C6EFCE"/>
            <w:noWrap/>
          </w:tcPr>
          <w:p w14:paraId="4034D3A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45A767C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proiectelor pentru digitalizarea ONG-urilor</w:t>
            </w:r>
          </w:p>
        </w:tc>
        <w:tc>
          <w:tcPr>
            <w:tcW w:w="1389" w:type="dxa"/>
            <w:tcBorders>
              <w:top w:val="single" w:sz="4" w:space="0" w:color="auto"/>
              <w:left w:val="nil"/>
              <w:bottom w:val="single" w:sz="4" w:space="0" w:color="auto"/>
              <w:right w:val="single" w:sz="4" w:space="0" w:color="auto"/>
            </w:tcBorders>
            <w:shd w:val="clear" w:color="auto" w:fill="C6EFCE"/>
            <w:noWrap/>
          </w:tcPr>
          <w:p w14:paraId="4245488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single" w:sz="4" w:space="0" w:color="auto"/>
              <w:left w:val="nil"/>
              <w:bottom w:val="single" w:sz="4" w:space="0" w:color="auto"/>
              <w:right w:val="single" w:sz="4" w:space="0" w:color="auto"/>
            </w:tcBorders>
            <w:shd w:val="clear" w:color="auto" w:fill="C6EFCE"/>
            <w:noWrap/>
          </w:tcPr>
          <w:p w14:paraId="76FB8FC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2BC8668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4211B4E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200</w:t>
            </w:r>
          </w:p>
        </w:tc>
        <w:tc>
          <w:tcPr>
            <w:tcW w:w="869" w:type="dxa"/>
            <w:tcBorders>
              <w:top w:val="single" w:sz="4" w:space="0" w:color="auto"/>
              <w:left w:val="nil"/>
              <w:bottom w:val="single" w:sz="4" w:space="0" w:color="auto"/>
              <w:right w:val="single" w:sz="4" w:space="0" w:color="auto"/>
            </w:tcBorders>
            <w:shd w:val="clear" w:color="auto" w:fill="C6EFCE"/>
            <w:noWrap/>
          </w:tcPr>
          <w:p w14:paraId="3C5547A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2EA992D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3A72905B" w14:textId="35284F18"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Proiecte finalizate cu succes în domeniul digitalizării și al transformării digitale a ONG</w:t>
            </w:r>
            <w:r w:rsidR="00ED2A55">
              <w:rPr>
                <w:rFonts w:ascii="Times New Roman" w:hAnsi="Times New Roman"/>
                <w:noProof/>
                <w:sz w:val="24"/>
              </w:rPr>
              <w:t>­</w:t>
            </w:r>
            <w:r>
              <w:rPr>
                <w:rFonts w:ascii="Times New Roman" w:hAnsi="Times New Roman"/>
                <w:noProof/>
                <w:sz w:val="24"/>
              </w:rPr>
              <w:t>urilor.</w:t>
            </w:r>
          </w:p>
          <w:p w14:paraId="5818B58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Proiectele selectate vor sprijini ONG-urile să își digitalizeze activitățile prin investiții în infrastructura digitală, sporirea competențelor digitale ale personalului și ale voluntarilor în ceea ce privește furnizarea de servicii la distanță beneficiarilor, dezvoltarea de platforme și soluții CRM (gestionarea relațiilor cu clienții). </w:t>
            </w:r>
          </w:p>
          <w:p w14:paraId="46F88D9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Procesul de selecție se va baza pe următoarele criterii: relevanța proiectului pentru transformarea și coerența digitală; metodologia și fezabilitatea proiectului; sustenabilitatea; bugetul propus: costurile prevăzute sunt economice, justificate și corelate cu activitățile propuse pentru digitalizare. Solicitantul și echipa de proiect propusă au experiența, expertiza, motivația și capacitatea necesare pentru punerea în aplicare a proiectului.</w:t>
            </w:r>
          </w:p>
          <w:p w14:paraId="485C2D9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Sprijinul va fi de până la 70 000 EUR pe proiect, pentru o perioadă de punere în aplicare de maximum 30 de luni.</w:t>
            </w:r>
          </w:p>
        </w:tc>
      </w:tr>
      <w:tr w:rsidR="000A27B3" w:rsidRPr="000A27B3" w14:paraId="5CA907E8"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2BDA55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176</w:t>
            </w:r>
          </w:p>
        </w:tc>
        <w:tc>
          <w:tcPr>
            <w:tcW w:w="1740" w:type="dxa"/>
            <w:tcBorders>
              <w:top w:val="single" w:sz="4" w:space="0" w:color="auto"/>
              <w:left w:val="nil"/>
              <w:bottom w:val="single" w:sz="4" w:space="0" w:color="auto"/>
              <w:right w:val="single" w:sz="4" w:space="0" w:color="auto"/>
            </w:tcBorders>
            <w:shd w:val="clear" w:color="auto" w:fill="C6EFCE"/>
            <w:noWrap/>
          </w:tcPr>
          <w:p w14:paraId="107D032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9.</w:t>
            </w:r>
          </w:p>
          <w:p w14:paraId="26EDBA8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Digitalizarea sectorului organizațiilor neguvernamentale </w:t>
            </w:r>
          </w:p>
        </w:tc>
        <w:tc>
          <w:tcPr>
            <w:tcW w:w="1073" w:type="dxa"/>
            <w:tcBorders>
              <w:top w:val="single" w:sz="4" w:space="0" w:color="auto"/>
              <w:left w:val="nil"/>
              <w:bottom w:val="single" w:sz="4" w:space="0" w:color="auto"/>
              <w:right w:val="single" w:sz="4" w:space="0" w:color="auto"/>
            </w:tcBorders>
            <w:shd w:val="clear" w:color="auto" w:fill="C6EFCE"/>
            <w:noWrap/>
          </w:tcPr>
          <w:p w14:paraId="0919364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2743A02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Centru de resurse pentru transformarea digitală a ONG-urilor</w:t>
            </w:r>
          </w:p>
          <w:p w14:paraId="6863BCA6"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389" w:type="dxa"/>
            <w:tcBorders>
              <w:top w:val="single" w:sz="4" w:space="0" w:color="auto"/>
              <w:left w:val="nil"/>
              <w:bottom w:val="single" w:sz="4" w:space="0" w:color="auto"/>
              <w:right w:val="single" w:sz="4" w:space="0" w:color="auto"/>
            </w:tcBorders>
            <w:shd w:val="clear" w:color="auto" w:fill="C6EFCE"/>
            <w:noWrap/>
          </w:tcPr>
          <w:p w14:paraId="55492D4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Centrul de resurse este înființat și operațional</w:t>
            </w:r>
          </w:p>
        </w:tc>
        <w:tc>
          <w:tcPr>
            <w:tcW w:w="960" w:type="dxa"/>
            <w:tcBorders>
              <w:top w:val="single" w:sz="4" w:space="0" w:color="auto"/>
              <w:left w:val="nil"/>
              <w:bottom w:val="single" w:sz="4" w:space="0" w:color="auto"/>
              <w:right w:val="single" w:sz="4" w:space="0" w:color="auto"/>
            </w:tcBorders>
            <w:shd w:val="clear" w:color="auto" w:fill="C6EFCE"/>
            <w:noWrap/>
          </w:tcPr>
          <w:p w14:paraId="735A079A"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5FE29BD9"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1381CC3F"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75853C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136AA85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7DC7D2C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Centrul de resurse pentru digitalizarea ONG-urilor va furniza:</w:t>
            </w:r>
          </w:p>
          <w:p w14:paraId="75ED6A8A" w14:textId="77777777" w:rsidR="00500CF9" w:rsidRPr="000A27B3" w:rsidRDefault="00500CF9" w:rsidP="00500CF9">
            <w:pPr>
              <w:pStyle w:val="ListParagraph"/>
              <w:numPr>
                <w:ilvl w:val="0"/>
                <w:numId w:val="57"/>
              </w:numPr>
              <w:spacing w:after="0" w:line="240" w:lineRule="auto"/>
              <w:ind w:left="260" w:hanging="218"/>
              <w:jc w:val="both"/>
              <w:rPr>
                <w:rFonts w:ascii="Times New Roman" w:eastAsia="Times New Roman" w:hAnsi="Times New Roman" w:cs="Times New Roman"/>
                <w:noProof/>
                <w:sz w:val="24"/>
                <w:szCs w:val="24"/>
              </w:rPr>
            </w:pPr>
            <w:r>
              <w:rPr>
                <w:rFonts w:ascii="Times New Roman" w:hAnsi="Times New Roman"/>
                <w:noProof/>
                <w:sz w:val="24"/>
              </w:rPr>
              <w:t xml:space="preserve">dezvoltarea serviciilor IT și a soluțiilor software cu sursă deschisă și asistență tehnică la punerea în aplicare a strategiilor de transformare digitală; </w:t>
            </w:r>
          </w:p>
          <w:p w14:paraId="301D18F5" w14:textId="77777777" w:rsidR="00500CF9" w:rsidRPr="000A27B3" w:rsidRDefault="00500CF9" w:rsidP="00500CF9">
            <w:pPr>
              <w:pStyle w:val="ListParagraph"/>
              <w:numPr>
                <w:ilvl w:val="0"/>
                <w:numId w:val="57"/>
              </w:numPr>
              <w:spacing w:after="0" w:line="240" w:lineRule="auto"/>
              <w:ind w:left="260" w:hanging="218"/>
              <w:jc w:val="both"/>
              <w:rPr>
                <w:rFonts w:ascii="Times New Roman" w:eastAsia="Times New Roman" w:hAnsi="Times New Roman" w:cs="Times New Roman"/>
                <w:noProof/>
                <w:sz w:val="24"/>
                <w:szCs w:val="24"/>
              </w:rPr>
            </w:pPr>
            <w:r>
              <w:rPr>
                <w:rFonts w:ascii="Times New Roman" w:hAnsi="Times New Roman"/>
                <w:noProof/>
                <w:sz w:val="24"/>
              </w:rPr>
              <w:t xml:space="preserve">centralizarea resurselor digitale existente într-o librărie digitală deschisă </w:t>
            </w:r>
          </w:p>
          <w:p w14:paraId="67534D56" w14:textId="77777777" w:rsidR="00500CF9" w:rsidRPr="000A27B3" w:rsidRDefault="00500CF9" w:rsidP="00500CF9">
            <w:pPr>
              <w:pStyle w:val="ListParagraph"/>
              <w:numPr>
                <w:ilvl w:val="0"/>
                <w:numId w:val="57"/>
              </w:numPr>
              <w:spacing w:after="0" w:line="240" w:lineRule="auto"/>
              <w:ind w:left="260" w:hanging="218"/>
              <w:jc w:val="both"/>
              <w:rPr>
                <w:rFonts w:ascii="Times New Roman" w:eastAsia="Times New Roman" w:hAnsi="Times New Roman" w:cs="Times New Roman"/>
                <w:noProof/>
                <w:sz w:val="24"/>
                <w:szCs w:val="24"/>
              </w:rPr>
            </w:pPr>
            <w:r>
              <w:rPr>
                <w:rFonts w:ascii="Times New Roman" w:hAnsi="Times New Roman"/>
                <w:noProof/>
                <w:sz w:val="24"/>
              </w:rPr>
              <w:t>care să permită un acces mai ușor</w:t>
            </w:r>
            <w:r>
              <w:rPr>
                <w:noProof/>
              </w:rPr>
              <w:t xml:space="preserve"> </w:t>
            </w:r>
            <w:r>
              <w:rPr>
                <w:noProof/>
              </w:rPr>
              <w:br/>
            </w:r>
            <w:r>
              <w:rPr>
                <w:rFonts w:ascii="Times New Roman" w:hAnsi="Times New Roman"/>
                <w:noProof/>
                <w:sz w:val="24"/>
              </w:rPr>
              <w:t xml:space="preserve">asistență, învățare online și formare </w:t>
            </w:r>
          </w:p>
          <w:p w14:paraId="01CAD063" w14:textId="224442C9" w:rsidR="00500CF9" w:rsidRPr="000A27B3" w:rsidRDefault="00500CF9" w:rsidP="00500CF9">
            <w:pPr>
              <w:pStyle w:val="ListParagraph"/>
              <w:numPr>
                <w:ilvl w:val="0"/>
                <w:numId w:val="57"/>
              </w:numPr>
              <w:spacing w:after="0" w:line="240" w:lineRule="auto"/>
              <w:ind w:left="260" w:hanging="218"/>
              <w:jc w:val="both"/>
              <w:rPr>
                <w:rFonts w:ascii="Times New Roman" w:eastAsia="Times New Roman" w:hAnsi="Times New Roman" w:cs="Times New Roman"/>
                <w:noProof/>
                <w:sz w:val="24"/>
              </w:rPr>
            </w:pPr>
            <w:r>
              <w:rPr>
                <w:rFonts w:ascii="Times New Roman" w:hAnsi="Times New Roman"/>
                <w:noProof/>
                <w:sz w:val="24"/>
              </w:rPr>
              <w:t>comunități de practică</w:t>
            </w:r>
            <w:r w:rsidR="004C4C72">
              <w:rPr>
                <w:rFonts w:ascii="Times New Roman" w:hAnsi="Times New Roman"/>
                <w:noProof/>
                <w:sz w:val="24"/>
              </w:rPr>
              <w:t xml:space="preserve"> </w:t>
            </w:r>
            <w:r>
              <w:rPr>
                <w:noProof/>
              </w:rPr>
              <w:br/>
            </w:r>
            <w:r>
              <w:rPr>
                <w:rFonts w:ascii="Times New Roman" w:hAnsi="Times New Roman"/>
                <w:noProof/>
                <w:sz w:val="24"/>
              </w:rPr>
              <w:t xml:space="preserve">sprijin personalizat în procesele de transformare digitală. </w:t>
            </w:r>
          </w:p>
        </w:tc>
      </w:tr>
      <w:tr w:rsidR="000A27B3" w:rsidRPr="000A27B3" w14:paraId="0110845E"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BA133F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177</w:t>
            </w:r>
          </w:p>
        </w:tc>
        <w:tc>
          <w:tcPr>
            <w:tcW w:w="1740" w:type="dxa"/>
            <w:tcBorders>
              <w:top w:val="single" w:sz="4" w:space="0" w:color="auto"/>
              <w:left w:val="nil"/>
              <w:bottom w:val="single" w:sz="4" w:space="0" w:color="auto"/>
              <w:right w:val="single" w:sz="4" w:space="0" w:color="auto"/>
            </w:tcBorders>
            <w:shd w:val="clear" w:color="auto" w:fill="C6EFCE"/>
            <w:noWrap/>
          </w:tcPr>
          <w:p w14:paraId="5254402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10.</w:t>
            </w:r>
          </w:p>
          <w:p w14:paraId="052F2BA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Transformarea digitală în managementul funcției publice</w:t>
            </w:r>
          </w:p>
        </w:tc>
        <w:tc>
          <w:tcPr>
            <w:tcW w:w="1073" w:type="dxa"/>
            <w:tcBorders>
              <w:top w:val="single" w:sz="4" w:space="0" w:color="auto"/>
              <w:left w:val="nil"/>
              <w:bottom w:val="single" w:sz="4" w:space="0" w:color="auto"/>
              <w:right w:val="single" w:sz="4" w:space="0" w:color="auto"/>
            </w:tcBorders>
            <w:shd w:val="clear" w:color="auto" w:fill="C6EFCE"/>
            <w:noWrap/>
          </w:tcPr>
          <w:p w14:paraId="7DAAAB0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177084C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S-au instituit și sunt operaționale platforme interactive și colaborative pentru managementul standardizat al resurselor umane în administrația publică centrală</w:t>
            </w:r>
          </w:p>
        </w:tc>
        <w:tc>
          <w:tcPr>
            <w:tcW w:w="1389" w:type="dxa"/>
            <w:tcBorders>
              <w:top w:val="single" w:sz="4" w:space="0" w:color="auto"/>
              <w:left w:val="nil"/>
              <w:bottom w:val="single" w:sz="4" w:space="0" w:color="auto"/>
              <w:right w:val="single" w:sz="4" w:space="0" w:color="auto"/>
            </w:tcBorders>
            <w:shd w:val="clear" w:color="auto" w:fill="C6EFCE"/>
            <w:noWrap/>
          </w:tcPr>
          <w:p w14:paraId="52A1F67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Platformele sunt operaționalizate.</w:t>
            </w:r>
          </w:p>
        </w:tc>
        <w:tc>
          <w:tcPr>
            <w:tcW w:w="960" w:type="dxa"/>
            <w:tcBorders>
              <w:top w:val="single" w:sz="4" w:space="0" w:color="auto"/>
              <w:left w:val="nil"/>
              <w:bottom w:val="single" w:sz="4" w:space="0" w:color="auto"/>
              <w:right w:val="single" w:sz="4" w:space="0" w:color="auto"/>
            </w:tcBorders>
            <w:shd w:val="clear" w:color="auto" w:fill="C6EFCE"/>
            <w:noWrap/>
          </w:tcPr>
          <w:p w14:paraId="2A7A2ED2"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nil"/>
              <w:bottom w:val="single" w:sz="4" w:space="0" w:color="auto"/>
              <w:right w:val="single" w:sz="4" w:space="0" w:color="auto"/>
            </w:tcBorders>
            <w:shd w:val="clear" w:color="auto" w:fill="C6EFCE"/>
            <w:noWrap/>
          </w:tcPr>
          <w:p w14:paraId="2C62E91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51" w:type="dxa"/>
            <w:tcBorders>
              <w:top w:val="single" w:sz="4" w:space="0" w:color="auto"/>
              <w:left w:val="nil"/>
              <w:bottom w:val="single" w:sz="4" w:space="0" w:color="auto"/>
              <w:right w:val="single" w:sz="4" w:space="0" w:color="auto"/>
            </w:tcBorders>
            <w:shd w:val="clear" w:color="auto" w:fill="C6EFCE"/>
            <w:noWrap/>
          </w:tcPr>
          <w:p w14:paraId="6995A13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69" w:type="dxa"/>
            <w:tcBorders>
              <w:top w:val="single" w:sz="4" w:space="0" w:color="auto"/>
              <w:left w:val="nil"/>
              <w:bottom w:val="single" w:sz="4" w:space="0" w:color="auto"/>
              <w:right w:val="single" w:sz="4" w:space="0" w:color="auto"/>
            </w:tcBorders>
            <w:shd w:val="clear" w:color="auto" w:fill="C6EFCE"/>
            <w:noWrap/>
          </w:tcPr>
          <w:p w14:paraId="2C560D0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7C3F784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29F6EDE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Platformele colaborative vor cuprinde toate procesele, de la recrutare-integrare până la evaluare, promovare, ieșirea din sistemul public, având la bază modelul cadrelor de competență și fișe de post standardizate. </w:t>
            </w:r>
          </w:p>
        </w:tc>
      </w:tr>
      <w:tr w:rsidR="000A27B3" w:rsidRPr="000A27B3" w14:paraId="2CB837A1"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1B2C364"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178</w:t>
            </w:r>
          </w:p>
        </w:tc>
        <w:tc>
          <w:tcPr>
            <w:tcW w:w="1740" w:type="dxa"/>
            <w:tcBorders>
              <w:top w:val="single" w:sz="4" w:space="0" w:color="auto"/>
              <w:left w:val="nil"/>
              <w:bottom w:val="single" w:sz="4" w:space="0" w:color="auto"/>
              <w:right w:val="single" w:sz="4" w:space="0" w:color="auto"/>
            </w:tcBorders>
            <w:shd w:val="clear" w:color="auto" w:fill="C6EFCE"/>
            <w:noWrap/>
          </w:tcPr>
          <w:p w14:paraId="71FECAD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11.</w:t>
            </w:r>
          </w:p>
          <w:p w14:paraId="56B874B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unei scheme de sprijinire a utilizării serviciilor de comunicații prin diferite tipuri de instrumente pentru beneficiari, cu accent pe zonele albe </w:t>
            </w:r>
          </w:p>
        </w:tc>
        <w:tc>
          <w:tcPr>
            <w:tcW w:w="1073" w:type="dxa"/>
            <w:tcBorders>
              <w:top w:val="single" w:sz="4" w:space="0" w:color="auto"/>
              <w:left w:val="nil"/>
              <w:bottom w:val="single" w:sz="4" w:space="0" w:color="auto"/>
              <w:right w:val="single" w:sz="4" w:space="0" w:color="auto"/>
            </w:tcBorders>
            <w:shd w:val="clear" w:color="auto" w:fill="C6EFCE"/>
            <w:noWrap/>
          </w:tcPr>
          <w:p w14:paraId="7D619B5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1A141B3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Conectarea satelor din zonele albe la internet de foarte mare viteză </w:t>
            </w:r>
          </w:p>
        </w:tc>
        <w:tc>
          <w:tcPr>
            <w:tcW w:w="1389" w:type="dxa"/>
            <w:tcBorders>
              <w:top w:val="single" w:sz="4" w:space="0" w:color="auto"/>
              <w:left w:val="nil"/>
              <w:bottom w:val="single" w:sz="4" w:space="0" w:color="auto"/>
              <w:right w:val="single" w:sz="4" w:space="0" w:color="auto"/>
            </w:tcBorders>
            <w:shd w:val="clear" w:color="auto" w:fill="C6EFCE"/>
            <w:noWrap/>
          </w:tcPr>
          <w:p w14:paraId="10660F2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3660787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2DFABF5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078ADFA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945</w:t>
            </w:r>
          </w:p>
        </w:tc>
        <w:tc>
          <w:tcPr>
            <w:tcW w:w="869" w:type="dxa"/>
            <w:tcBorders>
              <w:top w:val="single" w:sz="4" w:space="0" w:color="auto"/>
              <w:left w:val="nil"/>
              <w:bottom w:val="single" w:sz="4" w:space="0" w:color="auto"/>
              <w:right w:val="single" w:sz="4" w:space="0" w:color="auto"/>
            </w:tcBorders>
            <w:shd w:val="clear" w:color="auto" w:fill="C6EFCE"/>
            <w:noWrap/>
          </w:tcPr>
          <w:p w14:paraId="75B2868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5CDF846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05E6D5B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945 de sate din zonele albe vor fi conectate la servicii de acces la internet de foarte mare viteză la o locație fixă în care piața nu poate furniza servicii. Satele vor fi prioritizate după cum urmează:</w:t>
            </w:r>
          </w:p>
          <w:p w14:paraId="03A1516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se va acorda prioritate absolută localităților rurale sau îndepărtate care nu sunt deservite de rețele fixe.</w:t>
            </w:r>
          </w:p>
          <w:p w14:paraId="5EBBBAC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se va acorda o prioritate mai mică localităților rurale și îndepărtate care sunt insuficient deservite de rețele fixe.</w:t>
            </w:r>
          </w:p>
          <w:p w14:paraId="62FA05A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Viteza minimă va fi de cel puțin 100 Mbps, cu posibilitatea creșterii acesteia în viitor, iar rețelele vor fi FTTB/H și/sau 5G.</w:t>
            </w:r>
          </w:p>
        </w:tc>
      </w:tr>
      <w:tr w:rsidR="000A27B3" w:rsidRPr="000A27B3" w14:paraId="56FF773C"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23AF268"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179</w:t>
            </w:r>
          </w:p>
        </w:tc>
        <w:tc>
          <w:tcPr>
            <w:tcW w:w="1740" w:type="dxa"/>
            <w:tcBorders>
              <w:top w:val="single" w:sz="4" w:space="0" w:color="auto"/>
              <w:left w:val="nil"/>
              <w:bottom w:val="single" w:sz="4" w:space="0" w:color="auto"/>
              <w:right w:val="single" w:sz="4" w:space="0" w:color="auto"/>
            </w:tcBorders>
            <w:shd w:val="clear" w:color="auto" w:fill="C6EFCE"/>
            <w:noWrap/>
          </w:tcPr>
          <w:p w14:paraId="1A724E3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12. </w:t>
            </w:r>
          </w:p>
          <w:p w14:paraId="2E300E18"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Asigurarea protecției cibernetice atât pentru infrastructurile TIC publice, cât și pentru cele private cu valențe critice pentru securitatea națională, prin utilizarea tehnologiilor inteligente </w:t>
            </w:r>
          </w:p>
        </w:tc>
        <w:tc>
          <w:tcPr>
            <w:tcW w:w="1073" w:type="dxa"/>
            <w:tcBorders>
              <w:top w:val="single" w:sz="4" w:space="0" w:color="auto"/>
              <w:left w:val="nil"/>
              <w:bottom w:val="single" w:sz="4" w:space="0" w:color="auto"/>
              <w:right w:val="single" w:sz="4" w:space="0" w:color="auto"/>
            </w:tcBorders>
            <w:shd w:val="clear" w:color="auto" w:fill="C6EFCE"/>
            <w:noWrap/>
          </w:tcPr>
          <w:p w14:paraId="04996E5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0D2A94E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Entități cu infrastructuri TIC securizate</w:t>
            </w:r>
          </w:p>
          <w:p w14:paraId="359E926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389" w:type="dxa"/>
            <w:tcBorders>
              <w:top w:val="single" w:sz="4" w:space="0" w:color="auto"/>
              <w:left w:val="nil"/>
              <w:bottom w:val="single" w:sz="4" w:space="0" w:color="auto"/>
              <w:right w:val="single" w:sz="4" w:space="0" w:color="auto"/>
            </w:tcBorders>
            <w:shd w:val="clear" w:color="auto" w:fill="C6EFCE"/>
            <w:noWrap/>
          </w:tcPr>
          <w:p w14:paraId="1F63F76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5917E14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042AEC2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7DB1D82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101</w:t>
            </w:r>
          </w:p>
        </w:tc>
        <w:tc>
          <w:tcPr>
            <w:tcW w:w="869" w:type="dxa"/>
            <w:tcBorders>
              <w:top w:val="single" w:sz="4" w:space="0" w:color="auto"/>
              <w:left w:val="nil"/>
              <w:bottom w:val="single" w:sz="4" w:space="0" w:color="auto"/>
              <w:right w:val="single" w:sz="4" w:space="0" w:color="auto"/>
            </w:tcBorders>
            <w:shd w:val="clear" w:color="auto" w:fill="C6EFCE"/>
            <w:noWrap/>
          </w:tcPr>
          <w:p w14:paraId="2ABE170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T3</w:t>
            </w:r>
          </w:p>
        </w:tc>
        <w:tc>
          <w:tcPr>
            <w:tcW w:w="747" w:type="dxa"/>
            <w:tcBorders>
              <w:top w:val="single" w:sz="4" w:space="0" w:color="auto"/>
              <w:left w:val="nil"/>
              <w:bottom w:val="single" w:sz="4" w:space="0" w:color="auto"/>
              <w:right w:val="single" w:sz="4" w:space="0" w:color="auto"/>
            </w:tcBorders>
            <w:shd w:val="clear" w:color="auto" w:fill="C6EFCE"/>
            <w:noWrap/>
          </w:tcPr>
          <w:p w14:paraId="5987214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30141BD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Securizarea infrastructurii a 101 entități publice și private care au infrastructuri TIC cu valențe critice pentru securitatea națională: entități din domeniul guvernamental, din domeniul energiei (cum ar fi furnizorii/distribuitorii de gaze sau energie electrică), din domeniul alimentării cu apă și canalizării, serviciilor esențiale, sănătății și transporturilor (cum ar fi aeroporturile și porturile). Dintre acestea, 59 de entități sunt incluse în sistemul național de securitate cibernetică, cu scopul de a crește nivelul de securitate prin adăugarea de noi tehnologii și soluții, iar 42 sunt beneficiari care urmează să fie identificați în conformitate cu criteriile de mai jos. În plus, 9 entități din cele 101 care dispun de infrastructuri OT vor beneficia de soluții de securitate cibernetică pentru controlul industrial (ICS).</w:t>
            </w:r>
          </w:p>
          <w:p w14:paraId="0E7D2E2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Infrastructurile vor fi selectate în funcție de următoarele criterii:</w:t>
            </w:r>
          </w:p>
          <w:p w14:paraId="735F3061"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probabilitatea de a fi vizate de atacuri cibernetice APT (</w:t>
            </w:r>
            <w:r>
              <w:rPr>
                <w:rFonts w:ascii="Times New Roman" w:hAnsi="Times New Roman"/>
                <w:i/>
                <w:noProof/>
                <w:sz w:val="24"/>
              </w:rPr>
              <w:t>Advanced Persistent Threat</w:t>
            </w:r>
            <w:r>
              <w:rPr>
                <w:rFonts w:ascii="Times New Roman" w:hAnsi="Times New Roman"/>
                <w:noProof/>
                <w:sz w:val="24"/>
              </w:rPr>
              <w:t xml:space="preserve"> – amenințare persistentă avansată); </w:t>
            </w:r>
          </w:p>
          <w:p w14:paraId="25CFE044"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numărul de utilizatori și impactul pe care l-ar avea un astfel de atac asupra infrastructurii și, implicit, asupra mediului economic și social. Pentru fiecare entitate nouă, se va efectua un sondaj la fața locului, care va oferi o imagine exhaustivă a nevoilor de securitate cibernetică ale rețelelor IT și/sau OT;</w:t>
            </w:r>
          </w:p>
          <w:p w14:paraId="32DB6141"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complexitatea rețelelor OT deținute; </w:t>
            </w:r>
          </w:p>
          <w:p w14:paraId="252EB835"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gradul de vulnerabilitate la atacurile cibernetice (de exemplu, controlul de la distanță al sistemelor/subsistemelor industriale); </w:t>
            </w:r>
          </w:p>
          <w:p w14:paraId="0C5D8892"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numărul de beneficiari ai serviciilor prestate de entitățile respective.</w:t>
            </w:r>
          </w:p>
          <w:p w14:paraId="7B4D0F2B" w14:textId="77777777" w:rsidR="00500CF9" w:rsidRPr="000A27B3" w:rsidRDefault="00500CF9">
            <w:pPr>
              <w:tabs>
                <w:tab w:val="left" w:pos="149"/>
                <w:tab w:val="left" w:pos="366"/>
              </w:tabs>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următoarele elemente vor fi operaționalizate pentru cele 101 entități:</w:t>
            </w:r>
          </w:p>
          <w:p w14:paraId="564BE56C"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un sistem avansat de detectare a vulnerabilităților sistemelor de informații și echipamentelor de comunicații (soluții software și hardware);</w:t>
            </w:r>
          </w:p>
          <w:p w14:paraId="38AD435E"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un sistem integrat de identificare a TTP-urilor asociate atacurilor cibernetice asupra rețelelor și sistemelor informatice (soluții software și hardware);</w:t>
            </w:r>
          </w:p>
          <w:p w14:paraId="69FE2C89"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o platformă de securitate complexă pentru analiza și prelucrarea automată a incidentelor cibernetice (soluții software și hardware).</w:t>
            </w:r>
          </w:p>
        </w:tc>
      </w:tr>
      <w:tr w:rsidR="000A27B3" w:rsidRPr="000A27B3" w14:paraId="2A6AEF3B"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18E0F1E"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180</w:t>
            </w:r>
          </w:p>
        </w:tc>
        <w:tc>
          <w:tcPr>
            <w:tcW w:w="1740" w:type="dxa"/>
            <w:tcBorders>
              <w:top w:val="single" w:sz="4" w:space="0" w:color="auto"/>
              <w:left w:val="nil"/>
              <w:bottom w:val="single" w:sz="4" w:space="0" w:color="auto"/>
              <w:right w:val="single" w:sz="4" w:space="0" w:color="auto"/>
            </w:tcBorders>
            <w:shd w:val="clear" w:color="auto" w:fill="C6EFCE"/>
            <w:noWrap/>
          </w:tcPr>
          <w:p w14:paraId="61E6AEF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12. Asigurarea protecției cibernetice atât pentru infrastructurile TIC publice, cât și pentru cele private cu valențe critice pentru securitatea națională, prin utilizarea tehnologiilor inteligente</w:t>
            </w:r>
          </w:p>
          <w:p w14:paraId="69D314FE" w14:textId="77777777" w:rsidR="00500CF9" w:rsidRPr="009F1DC7" w:rsidRDefault="00500CF9">
            <w:pPr>
              <w:spacing w:after="0" w:line="240" w:lineRule="auto"/>
              <w:jc w:val="both"/>
              <w:rPr>
                <w:rFonts w:ascii="Times New Roman" w:eastAsia="Times New Roman" w:hAnsi="Times New Roman" w:cs="Times New Roman"/>
                <w:noProof/>
                <w:sz w:val="24"/>
                <w:szCs w:val="24"/>
              </w:rPr>
            </w:pPr>
          </w:p>
        </w:tc>
        <w:tc>
          <w:tcPr>
            <w:tcW w:w="1073" w:type="dxa"/>
            <w:tcBorders>
              <w:top w:val="single" w:sz="4" w:space="0" w:color="auto"/>
              <w:left w:val="nil"/>
              <w:bottom w:val="single" w:sz="4" w:space="0" w:color="auto"/>
              <w:right w:val="single" w:sz="4" w:space="0" w:color="auto"/>
            </w:tcBorders>
            <w:shd w:val="clear" w:color="auto" w:fill="C6EFCE"/>
            <w:noWrap/>
          </w:tcPr>
          <w:p w14:paraId="61D9374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741" w:type="dxa"/>
            <w:tcBorders>
              <w:top w:val="single" w:sz="4" w:space="0" w:color="auto"/>
              <w:left w:val="nil"/>
              <w:bottom w:val="single" w:sz="4" w:space="0" w:color="auto"/>
              <w:right w:val="single" w:sz="4" w:space="0" w:color="auto"/>
            </w:tcBorders>
            <w:shd w:val="clear" w:color="auto" w:fill="C6EFCE"/>
            <w:noWrap/>
          </w:tcPr>
          <w:p w14:paraId="6529906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Consolidarea centrelor naționale de securitate cibernetică</w:t>
            </w:r>
          </w:p>
        </w:tc>
        <w:tc>
          <w:tcPr>
            <w:tcW w:w="1389" w:type="dxa"/>
            <w:tcBorders>
              <w:top w:val="single" w:sz="4" w:space="0" w:color="auto"/>
              <w:left w:val="nil"/>
              <w:bottom w:val="single" w:sz="4" w:space="0" w:color="auto"/>
              <w:right w:val="single" w:sz="4" w:space="0" w:color="auto"/>
            </w:tcBorders>
            <w:shd w:val="clear" w:color="auto" w:fill="C6EFCE"/>
            <w:noWrap/>
          </w:tcPr>
          <w:p w14:paraId="0696A14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Capacități suplimentare</w:t>
            </w:r>
          </w:p>
        </w:tc>
        <w:tc>
          <w:tcPr>
            <w:tcW w:w="960" w:type="dxa"/>
            <w:tcBorders>
              <w:top w:val="single" w:sz="4" w:space="0" w:color="auto"/>
              <w:left w:val="nil"/>
              <w:bottom w:val="single" w:sz="4" w:space="0" w:color="auto"/>
              <w:right w:val="single" w:sz="4" w:space="0" w:color="auto"/>
            </w:tcBorders>
            <w:shd w:val="clear" w:color="auto" w:fill="C6EFCE"/>
            <w:noWrap/>
          </w:tcPr>
          <w:p w14:paraId="5BB702E7"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16F7426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rPr>
            </w:pPr>
          </w:p>
        </w:tc>
        <w:tc>
          <w:tcPr>
            <w:tcW w:w="1051" w:type="dxa"/>
            <w:tcBorders>
              <w:top w:val="single" w:sz="4" w:space="0" w:color="auto"/>
              <w:left w:val="nil"/>
              <w:bottom w:val="single" w:sz="4" w:space="0" w:color="auto"/>
              <w:right w:val="single" w:sz="4" w:space="0" w:color="auto"/>
            </w:tcBorders>
            <w:shd w:val="clear" w:color="auto" w:fill="C6EFCE"/>
            <w:noWrap/>
          </w:tcPr>
          <w:p w14:paraId="26BAD47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rPr>
            </w:pPr>
          </w:p>
        </w:tc>
        <w:tc>
          <w:tcPr>
            <w:tcW w:w="869" w:type="dxa"/>
            <w:tcBorders>
              <w:top w:val="single" w:sz="4" w:space="0" w:color="auto"/>
              <w:left w:val="nil"/>
              <w:bottom w:val="single" w:sz="4" w:space="0" w:color="auto"/>
              <w:right w:val="single" w:sz="4" w:space="0" w:color="auto"/>
            </w:tcBorders>
            <w:shd w:val="clear" w:color="auto" w:fill="C6EFCE"/>
            <w:noWrap/>
          </w:tcPr>
          <w:p w14:paraId="6874ABE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5EF4516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DE3BFF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Structura Centrului Național Cyberint va dezvolta capacitatea de protecție integrată a securității cibernetice a infrastructurilor informatice TIC și OT. În plus, centrul va beneficia de:</w:t>
            </w:r>
          </w:p>
          <w:p w14:paraId="054982D7"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dezvoltarea unei infrastructuri tehnice de identificare, monitorizare, gestionare și răspuns la incidentele de securitate cibernetică, ce vizează protejarea infrastructurilor TIC cu valențe critice pentru securitatea națională care nu (nu mai) beneficiază de protecția oferită de Sistemul național de protecție a infrastructurilor TIC de interes național împotriva amenințărilor provenite din spațiul cibernetic, cu rol complementar;</w:t>
            </w:r>
          </w:p>
          <w:p w14:paraId="702D267A"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stabilirea unei platforme naționale de evaluare și gestionare a riscurilor de securitate cibernetică ale noilor tehnologii;</w:t>
            </w:r>
          </w:p>
          <w:p w14:paraId="0F2A1541"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implementarea unei infrastructuri destinate securității comunicațiilor radio, care va duce la creșterea nivelului de protecție și a gradului de disponibilitate a serviciilor de comunicații furnizate autorităților publice care le oferă servicii digitale cetățenilor;</w:t>
            </w:r>
          </w:p>
          <w:p w14:paraId="5C7E06B3"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o platformă pentru securitatea și canalizarea datelor care urmează să fie transferate între rețele cu niveluri de încredere diferite;</w:t>
            </w:r>
          </w:p>
          <w:p w14:paraId="69D3E1AF"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sporirea capacității de investigare a CNC (soluții software și hardware).</w:t>
            </w:r>
          </w:p>
          <w:p w14:paraId="0085DC8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În plus, va fi operațional un program național de pregătire a operatorilor economici și a autorităților competente pentru situațiile de criză cibernetice și hibride, prin organizarea de exerciții și elaborarea de planuri de gestionare a crizei.</w:t>
            </w:r>
          </w:p>
        </w:tc>
      </w:tr>
      <w:tr w:rsidR="000A27B3" w:rsidRPr="000A27B3" w14:paraId="1A956616"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3687463"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181</w:t>
            </w:r>
          </w:p>
        </w:tc>
        <w:tc>
          <w:tcPr>
            <w:tcW w:w="1740" w:type="dxa"/>
            <w:tcBorders>
              <w:top w:val="single" w:sz="4" w:space="0" w:color="auto"/>
              <w:left w:val="nil"/>
              <w:bottom w:val="single" w:sz="4" w:space="0" w:color="auto"/>
              <w:right w:val="single" w:sz="4" w:space="0" w:color="auto"/>
            </w:tcBorders>
            <w:shd w:val="clear" w:color="auto" w:fill="C6EFCE"/>
            <w:noWrap/>
          </w:tcPr>
          <w:p w14:paraId="3945EA0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13.</w:t>
            </w:r>
          </w:p>
          <w:p w14:paraId="4A2FA120" w14:textId="5AA35CB5"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Dezvoltarea de sisteme de securitate pentru protecția spectrului guvernamental </w:t>
            </w:r>
          </w:p>
        </w:tc>
        <w:tc>
          <w:tcPr>
            <w:tcW w:w="1073" w:type="dxa"/>
            <w:tcBorders>
              <w:top w:val="single" w:sz="4" w:space="0" w:color="auto"/>
              <w:left w:val="nil"/>
              <w:bottom w:val="single" w:sz="4" w:space="0" w:color="auto"/>
              <w:right w:val="single" w:sz="4" w:space="0" w:color="auto"/>
            </w:tcBorders>
            <w:shd w:val="clear" w:color="auto" w:fill="C6EFCE"/>
            <w:noWrap/>
          </w:tcPr>
          <w:p w14:paraId="2045244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178CFDC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Sunt operaționale amplasamente de recepție la nivel național </w:t>
            </w:r>
          </w:p>
        </w:tc>
        <w:tc>
          <w:tcPr>
            <w:tcW w:w="1389" w:type="dxa"/>
            <w:tcBorders>
              <w:top w:val="single" w:sz="4" w:space="0" w:color="auto"/>
              <w:left w:val="nil"/>
              <w:bottom w:val="single" w:sz="4" w:space="0" w:color="auto"/>
              <w:right w:val="single" w:sz="4" w:space="0" w:color="auto"/>
            </w:tcBorders>
            <w:shd w:val="clear" w:color="auto" w:fill="C6EFCE"/>
            <w:noWrap/>
          </w:tcPr>
          <w:p w14:paraId="16F164B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45B064C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B1783B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702486E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65</w:t>
            </w:r>
          </w:p>
        </w:tc>
        <w:tc>
          <w:tcPr>
            <w:tcW w:w="869" w:type="dxa"/>
            <w:tcBorders>
              <w:top w:val="single" w:sz="4" w:space="0" w:color="auto"/>
              <w:left w:val="nil"/>
              <w:bottom w:val="single" w:sz="4" w:space="0" w:color="auto"/>
              <w:right w:val="single" w:sz="4" w:space="0" w:color="auto"/>
            </w:tcBorders>
            <w:shd w:val="clear" w:color="auto" w:fill="C6EFCE"/>
            <w:noWrap/>
          </w:tcPr>
          <w:p w14:paraId="4459199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747" w:type="dxa"/>
            <w:tcBorders>
              <w:top w:val="single" w:sz="4" w:space="0" w:color="auto"/>
              <w:left w:val="nil"/>
              <w:bottom w:val="single" w:sz="4" w:space="0" w:color="auto"/>
              <w:right w:val="single" w:sz="4" w:space="0" w:color="auto"/>
            </w:tcBorders>
            <w:shd w:val="clear" w:color="auto" w:fill="C6EFCE"/>
            <w:noWrap/>
          </w:tcPr>
          <w:p w14:paraId="2936F06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3BB1444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Sunt operaționale amplasamente de recepție la nivel național: STS (Serviciul de Telecomunicații Speciale) va crea o nouă rețea de senzori, care vor fi distribuiți la nivel național și vor fi amplasați în locuri de recepție dedicate pentru a detecta și a crea alerte în mod automat în cazul unor perturbări ale spectrului de frecvențe radio guvernamental. Se va asigura disponibilitatea spectrului guvernamental și continuitatea serviciilor guvernamentale pentru cetățeni și entitățile publice, pe baza modelului G2G/G2B/G2C.</w:t>
            </w:r>
          </w:p>
        </w:tc>
      </w:tr>
      <w:tr w:rsidR="000A27B3" w:rsidRPr="000A27B3" w14:paraId="195F9106"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07A0AFE"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182</w:t>
            </w:r>
          </w:p>
        </w:tc>
        <w:tc>
          <w:tcPr>
            <w:tcW w:w="1740" w:type="dxa"/>
            <w:tcBorders>
              <w:top w:val="single" w:sz="4" w:space="0" w:color="auto"/>
              <w:left w:val="nil"/>
              <w:bottom w:val="single" w:sz="4" w:space="0" w:color="auto"/>
              <w:right w:val="single" w:sz="4" w:space="0" w:color="auto"/>
            </w:tcBorders>
            <w:shd w:val="clear" w:color="auto" w:fill="C6EFCE"/>
            <w:noWrap/>
          </w:tcPr>
          <w:p w14:paraId="1504AA8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14. </w:t>
            </w:r>
          </w:p>
          <w:p w14:paraId="6F0F11C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Sporirea rezilienței și a securității cibernetice a serviciilor de infrastructură ale furnizorilor de servicii de internet pentru autoritățile publice din România</w:t>
            </w:r>
          </w:p>
        </w:tc>
        <w:tc>
          <w:tcPr>
            <w:tcW w:w="1073" w:type="dxa"/>
            <w:tcBorders>
              <w:top w:val="single" w:sz="4" w:space="0" w:color="auto"/>
              <w:left w:val="nil"/>
              <w:bottom w:val="single" w:sz="4" w:space="0" w:color="auto"/>
              <w:right w:val="single" w:sz="4" w:space="0" w:color="auto"/>
            </w:tcBorders>
            <w:shd w:val="clear" w:color="auto" w:fill="C6EFCE"/>
            <w:noWrap/>
          </w:tcPr>
          <w:p w14:paraId="3029C82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4DEF3C61" w14:textId="5010926D"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Hub-uri care vor permite accesul la serviciile de tip ISP pentru instituțiile și entitățile de interes public de la nivel central și local</w:t>
            </w:r>
          </w:p>
        </w:tc>
        <w:tc>
          <w:tcPr>
            <w:tcW w:w="1389" w:type="dxa"/>
            <w:tcBorders>
              <w:top w:val="single" w:sz="4" w:space="0" w:color="auto"/>
              <w:left w:val="nil"/>
              <w:bottom w:val="single" w:sz="4" w:space="0" w:color="auto"/>
              <w:right w:val="single" w:sz="4" w:space="0" w:color="auto"/>
            </w:tcBorders>
            <w:shd w:val="clear" w:color="auto" w:fill="C6EFCE"/>
            <w:noWrap/>
          </w:tcPr>
          <w:p w14:paraId="6DEC3D6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1AFBEB3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4D7C48C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34007D9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41</w:t>
            </w:r>
          </w:p>
        </w:tc>
        <w:tc>
          <w:tcPr>
            <w:tcW w:w="869" w:type="dxa"/>
            <w:tcBorders>
              <w:top w:val="single" w:sz="4" w:space="0" w:color="auto"/>
              <w:left w:val="nil"/>
              <w:bottom w:val="single" w:sz="4" w:space="0" w:color="auto"/>
              <w:right w:val="single" w:sz="4" w:space="0" w:color="auto"/>
            </w:tcBorders>
            <w:shd w:val="clear" w:color="auto" w:fill="C6EFCE"/>
            <w:noWrap/>
          </w:tcPr>
          <w:p w14:paraId="11DEE36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2EC675D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3021" w:type="dxa"/>
            <w:tcBorders>
              <w:top w:val="single" w:sz="4" w:space="0" w:color="auto"/>
              <w:left w:val="nil"/>
              <w:bottom w:val="single" w:sz="4" w:space="0" w:color="auto"/>
              <w:right w:val="single" w:sz="4" w:space="0" w:color="auto"/>
            </w:tcBorders>
            <w:shd w:val="clear" w:color="auto" w:fill="C6EFCE"/>
            <w:noWrap/>
          </w:tcPr>
          <w:p w14:paraId="0EA41613" w14:textId="77777777" w:rsidR="00500CF9" w:rsidRPr="000A27B3" w:rsidRDefault="00500CF9">
            <w:pPr>
              <w:spacing w:after="0" w:line="240" w:lineRule="auto"/>
              <w:jc w:val="both"/>
              <w:rPr>
                <w:rFonts w:ascii="Times New Roman" w:eastAsia="Times New Roman" w:hAnsi="Times New Roman" w:cs="Times New Roman"/>
                <w:noProof/>
                <w:sz w:val="24"/>
                <w:szCs w:val="20"/>
              </w:rPr>
            </w:pPr>
            <w:r>
              <w:rPr>
                <w:rFonts w:ascii="Times New Roman" w:hAnsi="Times New Roman"/>
                <w:noProof/>
                <w:sz w:val="24"/>
              </w:rPr>
              <w:t>Fiecăruia dintre cele 41 de județe ale României i se va aloca un hub.</w:t>
            </w:r>
          </w:p>
          <w:p w14:paraId="47EF7D44" w14:textId="77777777" w:rsidR="00500CF9" w:rsidRPr="000A27B3" w:rsidRDefault="00500CF9">
            <w:pPr>
              <w:spacing w:after="0" w:line="240" w:lineRule="auto"/>
              <w:jc w:val="both"/>
              <w:rPr>
                <w:rFonts w:ascii="Times New Roman" w:eastAsia="Times New Roman" w:hAnsi="Times New Roman" w:cs="Times New Roman"/>
                <w:noProof/>
                <w:sz w:val="24"/>
                <w:szCs w:val="20"/>
              </w:rPr>
            </w:pPr>
            <w:r>
              <w:rPr>
                <w:rFonts w:ascii="Times New Roman" w:hAnsi="Times New Roman"/>
                <w:noProof/>
                <w:sz w:val="24"/>
              </w:rPr>
              <w:t>Numărul de hub-uri securizate de mare capacitate conectate la o rețea națională de distribuție a internetului, cu mai mulți furnizori Tier I și mecanisme de securitate asociate, care asigură accesul autorităților publice centrale și locale la internet și la serviciile asociate internetului.</w:t>
            </w:r>
          </w:p>
          <w:p w14:paraId="49A5738B" w14:textId="77777777" w:rsidR="00500CF9" w:rsidRPr="000A27B3" w:rsidRDefault="00500CF9">
            <w:pPr>
              <w:spacing w:after="0" w:line="240" w:lineRule="auto"/>
              <w:jc w:val="both"/>
              <w:rPr>
                <w:rFonts w:ascii="Times New Roman" w:eastAsia="Times New Roman" w:hAnsi="Times New Roman" w:cs="Times New Roman"/>
                <w:noProof/>
                <w:sz w:val="24"/>
                <w:szCs w:val="20"/>
              </w:rPr>
            </w:pPr>
            <w:r>
              <w:rPr>
                <w:rFonts w:ascii="Times New Roman" w:hAnsi="Times New Roman"/>
                <w:noProof/>
                <w:sz w:val="24"/>
              </w:rPr>
              <w:t>Serviciile de securitate furnizate:</w:t>
            </w:r>
          </w:p>
          <w:p w14:paraId="6B4E6D2A"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Protecție anti-DoS (</w:t>
            </w:r>
            <w:r>
              <w:rPr>
                <w:rFonts w:ascii="Times New Roman" w:hAnsi="Times New Roman"/>
                <w:i/>
                <w:noProof/>
                <w:sz w:val="24"/>
              </w:rPr>
              <w:t>denial-of-service</w:t>
            </w:r>
            <w:r>
              <w:rPr>
                <w:rFonts w:ascii="Times New Roman" w:hAnsi="Times New Roman"/>
                <w:noProof/>
                <w:sz w:val="24"/>
              </w:rPr>
              <w:t>) la multipli de 10 Gbps</w:t>
            </w:r>
          </w:p>
          <w:p w14:paraId="3ABEE403"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Servicii aferente Centrului Operațional de Răspuns la Incidente de Securitate Cibernetică (CERT) (securitate adaptată la publicul-țintă, monitorizarea evenimentelor de securitate în întreaga rețea, răspunsul la incidentele de securitate)</w:t>
            </w:r>
          </w:p>
          <w:p w14:paraId="483E1564"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Servicii aferente centrelor de operațiuni de securitate (mecanisme de notificare și de escaladare pentru beneficiari)</w:t>
            </w:r>
          </w:p>
          <w:p w14:paraId="10C7700D"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Mecanisme de filtrare a traficului rău-intenționat bazate pe reputație și pe combaterea programelor malware rezidente din serviciile DNS furnizate beneficiarilor.</w:t>
            </w:r>
          </w:p>
          <w:p w14:paraId="4E226A94"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Analiza mediului de testare pentru serviciile furnizate.</w:t>
            </w:r>
          </w:p>
        </w:tc>
      </w:tr>
      <w:tr w:rsidR="000A27B3" w:rsidRPr="000A27B3" w14:paraId="68306B04"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24B642E"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183</w:t>
            </w:r>
          </w:p>
        </w:tc>
        <w:tc>
          <w:tcPr>
            <w:tcW w:w="1740" w:type="dxa"/>
            <w:tcBorders>
              <w:top w:val="single" w:sz="4" w:space="0" w:color="auto"/>
              <w:left w:val="nil"/>
              <w:bottom w:val="single" w:sz="4" w:space="0" w:color="auto"/>
              <w:right w:val="single" w:sz="4" w:space="0" w:color="auto"/>
            </w:tcBorders>
            <w:shd w:val="clear" w:color="auto" w:fill="C6EFCE"/>
            <w:noWrap/>
          </w:tcPr>
          <w:p w14:paraId="214EF9C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15. Crearea de noi competențe de securitate cibernetică pentru societate și economie</w:t>
            </w:r>
          </w:p>
        </w:tc>
        <w:tc>
          <w:tcPr>
            <w:tcW w:w="1073" w:type="dxa"/>
            <w:tcBorders>
              <w:top w:val="single" w:sz="4" w:space="0" w:color="auto"/>
              <w:left w:val="nil"/>
              <w:bottom w:val="single" w:sz="4" w:space="0" w:color="auto"/>
              <w:right w:val="single" w:sz="4" w:space="0" w:color="auto"/>
            </w:tcBorders>
            <w:shd w:val="clear" w:color="auto" w:fill="C6EFCE"/>
            <w:noWrap/>
          </w:tcPr>
          <w:p w14:paraId="6DD007B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60C463C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Formatori care participă la cursuri de formare în domeniul securității cibernetice</w:t>
            </w:r>
          </w:p>
          <w:p w14:paraId="6934859C"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rPr>
            </w:pPr>
          </w:p>
        </w:tc>
        <w:tc>
          <w:tcPr>
            <w:tcW w:w="1389" w:type="dxa"/>
            <w:tcBorders>
              <w:top w:val="single" w:sz="4" w:space="0" w:color="auto"/>
              <w:left w:val="nil"/>
              <w:bottom w:val="single" w:sz="4" w:space="0" w:color="auto"/>
              <w:right w:val="single" w:sz="4" w:space="0" w:color="auto"/>
            </w:tcBorders>
            <w:shd w:val="clear" w:color="auto" w:fill="C6EFCE"/>
            <w:noWrap/>
          </w:tcPr>
          <w:p w14:paraId="1EF693F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7497C3A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7D398B5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23A4B43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5 000</w:t>
            </w:r>
          </w:p>
        </w:tc>
        <w:tc>
          <w:tcPr>
            <w:tcW w:w="869" w:type="dxa"/>
            <w:tcBorders>
              <w:top w:val="single" w:sz="4" w:space="0" w:color="auto"/>
              <w:left w:val="nil"/>
              <w:bottom w:val="single" w:sz="4" w:space="0" w:color="auto"/>
              <w:right w:val="single" w:sz="4" w:space="0" w:color="auto"/>
            </w:tcBorders>
            <w:shd w:val="clear" w:color="auto" w:fill="C6EFCE"/>
            <w:noWrap/>
          </w:tcPr>
          <w:p w14:paraId="00A2BA2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7DCC8D5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2B57F3C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cursurilor de formare urmate de formatorii în materie de securitate cibernetică, cu aplicabilitate în domeniile prioritare ale economiei și societății și specifice pentru absolvenți și studenți (instrumente puse la dispoziție gratuit firmelor si administrației publice, de exemplu cursuri de cibernetică, control mai riguros al protecției datelor și al securității utilizării noilor tehnologii).</w:t>
            </w:r>
          </w:p>
        </w:tc>
      </w:tr>
      <w:tr w:rsidR="000A27B3" w:rsidRPr="000A27B3" w14:paraId="64286C73"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486621B"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184</w:t>
            </w:r>
          </w:p>
        </w:tc>
        <w:tc>
          <w:tcPr>
            <w:tcW w:w="1740" w:type="dxa"/>
            <w:tcBorders>
              <w:top w:val="single" w:sz="4" w:space="0" w:color="auto"/>
              <w:left w:val="nil"/>
              <w:bottom w:val="single" w:sz="4" w:space="0" w:color="auto"/>
              <w:right w:val="single" w:sz="4" w:space="0" w:color="auto"/>
            </w:tcBorders>
            <w:shd w:val="clear" w:color="auto" w:fill="C6EFCE"/>
            <w:noWrap/>
          </w:tcPr>
          <w:p w14:paraId="526E5DA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15.</w:t>
            </w:r>
          </w:p>
          <w:p w14:paraId="6F0ACFB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Crearea de noi competențe de securitate cibernetică pentru societate și economie</w:t>
            </w:r>
          </w:p>
        </w:tc>
        <w:tc>
          <w:tcPr>
            <w:tcW w:w="1073" w:type="dxa"/>
            <w:tcBorders>
              <w:top w:val="single" w:sz="4" w:space="0" w:color="auto"/>
              <w:left w:val="nil"/>
              <w:bottom w:val="single" w:sz="4" w:space="0" w:color="auto"/>
              <w:right w:val="single" w:sz="4" w:space="0" w:color="auto"/>
            </w:tcBorders>
            <w:shd w:val="clear" w:color="auto" w:fill="C6EFCE"/>
            <w:noWrap/>
          </w:tcPr>
          <w:p w14:paraId="0CCE89D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6A8B2DD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Entități cărora li se furnizează setul de instrumente și servicii guvernamentale pentru a spori nivelul de maturitate a securității cibernetice</w:t>
            </w:r>
          </w:p>
        </w:tc>
        <w:tc>
          <w:tcPr>
            <w:tcW w:w="1389" w:type="dxa"/>
            <w:tcBorders>
              <w:top w:val="single" w:sz="4" w:space="0" w:color="auto"/>
              <w:left w:val="nil"/>
              <w:bottom w:val="single" w:sz="4" w:space="0" w:color="auto"/>
              <w:right w:val="single" w:sz="4" w:space="0" w:color="auto"/>
            </w:tcBorders>
            <w:shd w:val="clear" w:color="auto" w:fill="C6EFCE"/>
            <w:noWrap/>
          </w:tcPr>
          <w:p w14:paraId="786B3D91"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rPr>
            </w:pPr>
          </w:p>
        </w:tc>
        <w:tc>
          <w:tcPr>
            <w:tcW w:w="960" w:type="dxa"/>
            <w:tcBorders>
              <w:top w:val="single" w:sz="4" w:space="0" w:color="auto"/>
              <w:left w:val="nil"/>
              <w:bottom w:val="single" w:sz="4" w:space="0" w:color="auto"/>
              <w:right w:val="single" w:sz="4" w:space="0" w:color="auto"/>
            </w:tcBorders>
            <w:shd w:val="clear" w:color="auto" w:fill="C6EFCE"/>
            <w:noWrap/>
          </w:tcPr>
          <w:p w14:paraId="4525CC0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5611E99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083BEC2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1 000</w:t>
            </w:r>
          </w:p>
        </w:tc>
        <w:tc>
          <w:tcPr>
            <w:tcW w:w="869" w:type="dxa"/>
            <w:tcBorders>
              <w:top w:val="single" w:sz="4" w:space="0" w:color="auto"/>
              <w:left w:val="nil"/>
              <w:bottom w:val="single" w:sz="4" w:space="0" w:color="auto"/>
              <w:right w:val="single" w:sz="4" w:space="0" w:color="auto"/>
            </w:tcBorders>
            <w:shd w:val="clear" w:color="auto" w:fill="C6EFCE"/>
            <w:noWrap/>
          </w:tcPr>
          <w:p w14:paraId="7DE0406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1F13A94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050E39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Această investiție are următoarele obiective:</w:t>
            </w:r>
          </w:p>
          <w:p w14:paraId="4A376AC0"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dezvoltarea unui program național pentru analiza, revizuirea și documentarea nevoilor de competențe cibernetice și a consecințelor acestora asupra domeniilor prioritare ale economiei și societății;</w:t>
            </w:r>
          </w:p>
          <w:p w14:paraId="4B071440" w14:textId="77777777" w:rsidR="00500CF9" w:rsidRPr="000A27B3" w:rsidRDefault="00500CF9" w:rsidP="00500CF9">
            <w:pPr>
              <w:numPr>
                <w:ilvl w:val="0"/>
                <w:numId w:val="49"/>
              </w:numPr>
              <w:spacing w:after="0" w:line="240" w:lineRule="auto"/>
              <w:ind w:left="259" w:hanging="218"/>
              <w:contextualSpacing/>
              <w:jc w:val="both"/>
              <w:rPr>
                <w:rFonts w:ascii="Times New Roman" w:eastAsia="Times New Roman" w:hAnsi="Times New Roman" w:cs="Times New Roman"/>
                <w:noProof/>
                <w:sz w:val="24"/>
                <w:szCs w:val="24"/>
              </w:rPr>
            </w:pPr>
            <w:r>
              <w:rPr>
                <w:rFonts w:ascii="Times New Roman" w:hAnsi="Times New Roman"/>
                <w:noProof/>
                <w:sz w:val="24"/>
              </w:rPr>
              <w:t>evaluarea, documentarea și monitorizarea nivelului de maturitate în materie de securitate cibernetică (operațional, tehnologie, competențe) pentru 1 000 de actori economici și din administrația publică cheie (inclusiv companii, IMM-uri, școli, spitale, organisme ale administrației publice centrale și locale);</w:t>
            </w:r>
          </w:p>
          <w:p w14:paraId="69A0C68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crearea și furnizarea unui „set de instrumente și servicii guvernamentale” pentru sporirea nivelului de maturitate în materie de securitate cibernetică al celor 1 000 de actori-cheie identificați.</w:t>
            </w:r>
          </w:p>
          <w:p w14:paraId="57EDC6E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Actorii-cheie vor fi selectați pe baza următoarelor două criterii:</w:t>
            </w:r>
          </w:p>
          <w:p w14:paraId="57F41775" w14:textId="77777777" w:rsidR="00500CF9" w:rsidRPr="000A27B3" w:rsidRDefault="00500CF9" w:rsidP="00500CF9">
            <w:pPr>
              <w:numPr>
                <w:ilvl w:val="0"/>
                <w:numId w:val="58"/>
              </w:numPr>
              <w:spacing w:after="0" w:line="240" w:lineRule="auto"/>
              <w:ind w:left="260" w:hanging="260"/>
              <w:jc w:val="both"/>
              <w:rPr>
                <w:rFonts w:ascii="Times New Roman" w:hAnsi="Times New Roman" w:cs="Times New Roman"/>
                <w:noProof/>
                <w:sz w:val="24"/>
                <w:szCs w:val="24"/>
              </w:rPr>
            </w:pPr>
            <w:r>
              <w:rPr>
                <w:rFonts w:ascii="Times New Roman" w:hAnsi="Times New Roman"/>
                <w:noProof/>
                <w:sz w:val="24"/>
              </w:rPr>
              <w:t>actorii selectați sunt reprezentativi pentru domeniile specificate de Directiva NIS și pentru transpunerea Directivei NIS în legislația românească (și anume Legea 362/2018);</w:t>
            </w:r>
          </w:p>
          <w:p w14:paraId="4A34BC4B" w14:textId="77777777" w:rsidR="00500CF9" w:rsidRPr="000A27B3" w:rsidRDefault="00500CF9" w:rsidP="00500CF9">
            <w:pPr>
              <w:numPr>
                <w:ilvl w:val="0"/>
                <w:numId w:val="58"/>
              </w:numPr>
              <w:spacing w:after="0" w:line="240" w:lineRule="auto"/>
              <w:ind w:left="260" w:hanging="260"/>
              <w:jc w:val="both"/>
              <w:rPr>
                <w:rFonts w:ascii="Times New Roman" w:eastAsia="Times New Roman" w:hAnsi="Times New Roman" w:cs="Times New Roman"/>
                <w:noProof/>
                <w:sz w:val="24"/>
                <w:szCs w:val="24"/>
              </w:rPr>
            </w:pPr>
            <w:r>
              <w:rPr>
                <w:rFonts w:ascii="Times New Roman" w:hAnsi="Times New Roman"/>
                <w:noProof/>
                <w:sz w:val="24"/>
              </w:rPr>
              <w:t>actorii sunt selectați pe baza unei evaluări a maturității în materie de securitate cibernetică deja efectuată de autoritatea națională competentă din România în materie de securitate cibernetică (și anume CERT-RO), pe baza unui sondaj care include o autoevaluare a maturității.</w:t>
            </w:r>
          </w:p>
        </w:tc>
      </w:tr>
      <w:tr w:rsidR="000A27B3" w:rsidRPr="000A27B3" w14:paraId="71B1F719"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DD5647F"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185</w:t>
            </w:r>
          </w:p>
        </w:tc>
        <w:tc>
          <w:tcPr>
            <w:tcW w:w="1740" w:type="dxa"/>
            <w:tcBorders>
              <w:top w:val="single" w:sz="4" w:space="0" w:color="auto"/>
              <w:left w:val="nil"/>
              <w:bottom w:val="single" w:sz="4" w:space="0" w:color="auto"/>
              <w:right w:val="single" w:sz="4" w:space="0" w:color="auto"/>
            </w:tcBorders>
            <w:shd w:val="clear" w:color="auto" w:fill="C6EFCE"/>
            <w:noWrap/>
          </w:tcPr>
          <w:p w14:paraId="7E7D4B7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16.</w:t>
            </w:r>
          </w:p>
          <w:p w14:paraId="27C5848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Program de formare de competențe digitale avansate pentru funcționarii publici </w:t>
            </w:r>
          </w:p>
        </w:tc>
        <w:tc>
          <w:tcPr>
            <w:tcW w:w="1073" w:type="dxa"/>
            <w:tcBorders>
              <w:top w:val="single" w:sz="4" w:space="0" w:color="auto"/>
              <w:left w:val="nil"/>
              <w:bottom w:val="single" w:sz="4" w:space="0" w:color="auto"/>
              <w:right w:val="single" w:sz="4" w:space="0" w:color="auto"/>
            </w:tcBorders>
            <w:shd w:val="clear" w:color="auto" w:fill="C6EFCE"/>
            <w:noWrap/>
          </w:tcPr>
          <w:p w14:paraId="5F79F69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64F6375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Funcționari publici care au urmat un curs de formare digitală </w:t>
            </w:r>
          </w:p>
        </w:tc>
        <w:tc>
          <w:tcPr>
            <w:tcW w:w="1389" w:type="dxa"/>
            <w:tcBorders>
              <w:top w:val="single" w:sz="4" w:space="0" w:color="auto"/>
              <w:left w:val="nil"/>
              <w:bottom w:val="single" w:sz="4" w:space="0" w:color="auto"/>
              <w:right w:val="single" w:sz="4" w:space="0" w:color="auto"/>
            </w:tcBorders>
            <w:shd w:val="clear" w:color="auto" w:fill="C6EFCE"/>
            <w:noWrap/>
          </w:tcPr>
          <w:p w14:paraId="54B572F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5009868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187B372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4A00610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32 500</w:t>
            </w:r>
          </w:p>
        </w:tc>
        <w:tc>
          <w:tcPr>
            <w:tcW w:w="869" w:type="dxa"/>
            <w:tcBorders>
              <w:top w:val="single" w:sz="4" w:space="0" w:color="auto"/>
              <w:left w:val="nil"/>
              <w:bottom w:val="single" w:sz="4" w:space="0" w:color="auto"/>
              <w:right w:val="single" w:sz="4" w:space="0" w:color="auto"/>
            </w:tcBorders>
            <w:shd w:val="clear" w:color="auto" w:fill="C6EFCE"/>
            <w:noWrap/>
          </w:tcPr>
          <w:p w14:paraId="0B9860A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6FBFD4B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2D5003E3" w14:textId="6B5C4329"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30 000 de funcționari publici participă la cursuri de formare pentru dobândirea de competențe digitale avansate [de exemplu administratorii de baze de date (SQL, MySQ); administratorii de sistem; analiștii operaționali; analiștii de date; programatorii pe diverse platforme) și 2 500 de funcționari publici cu funcții de conducere participă la cursuri de formare în materie de management și de management al talentelor </w:t>
            </w:r>
          </w:p>
        </w:tc>
      </w:tr>
      <w:tr w:rsidR="000A27B3" w:rsidRPr="000A27B3" w14:paraId="5AC387DE"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3617FE7"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186</w:t>
            </w:r>
          </w:p>
        </w:tc>
        <w:tc>
          <w:tcPr>
            <w:tcW w:w="1740" w:type="dxa"/>
            <w:tcBorders>
              <w:top w:val="single" w:sz="4" w:space="0" w:color="auto"/>
              <w:left w:val="nil"/>
              <w:bottom w:val="single" w:sz="4" w:space="0" w:color="auto"/>
              <w:right w:val="single" w:sz="4" w:space="0" w:color="auto"/>
            </w:tcBorders>
            <w:shd w:val="clear" w:color="auto" w:fill="C6EFCE"/>
            <w:noWrap/>
          </w:tcPr>
          <w:p w14:paraId="5E74AAA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17.</w:t>
            </w:r>
          </w:p>
          <w:p w14:paraId="3CC33AB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Scheme de finanțare pentru biblioteci pentru a deveni hub-uri de dezvoltare a competențelor digitale </w:t>
            </w:r>
          </w:p>
        </w:tc>
        <w:tc>
          <w:tcPr>
            <w:tcW w:w="1073" w:type="dxa"/>
            <w:tcBorders>
              <w:top w:val="single" w:sz="4" w:space="0" w:color="auto"/>
              <w:left w:val="nil"/>
              <w:bottom w:val="single" w:sz="4" w:space="0" w:color="auto"/>
              <w:right w:val="single" w:sz="4" w:space="0" w:color="auto"/>
            </w:tcBorders>
            <w:shd w:val="clear" w:color="auto" w:fill="C6EFCE"/>
            <w:noWrap/>
          </w:tcPr>
          <w:p w14:paraId="28B0FA0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28743C6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Biblioteci transformate în centre digitale</w:t>
            </w:r>
          </w:p>
        </w:tc>
        <w:tc>
          <w:tcPr>
            <w:tcW w:w="1389" w:type="dxa"/>
            <w:tcBorders>
              <w:top w:val="single" w:sz="4" w:space="0" w:color="auto"/>
              <w:left w:val="nil"/>
              <w:bottom w:val="single" w:sz="4" w:space="0" w:color="auto"/>
              <w:right w:val="single" w:sz="4" w:space="0" w:color="auto"/>
            </w:tcBorders>
            <w:shd w:val="clear" w:color="auto" w:fill="C6EFCE"/>
            <w:noWrap/>
          </w:tcPr>
          <w:p w14:paraId="0E3D0F50"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rPr>
            </w:pPr>
          </w:p>
        </w:tc>
        <w:tc>
          <w:tcPr>
            <w:tcW w:w="960" w:type="dxa"/>
            <w:tcBorders>
              <w:top w:val="single" w:sz="4" w:space="0" w:color="auto"/>
              <w:left w:val="nil"/>
              <w:bottom w:val="single" w:sz="4" w:space="0" w:color="auto"/>
              <w:right w:val="single" w:sz="4" w:space="0" w:color="auto"/>
            </w:tcBorders>
            <w:shd w:val="clear" w:color="auto" w:fill="C6EFCE"/>
            <w:noWrap/>
          </w:tcPr>
          <w:p w14:paraId="57811AC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0EECE5F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313DF10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1 135</w:t>
            </w:r>
          </w:p>
        </w:tc>
        <w:tc>
          <w:tcPr>
            <w:tcW w:w="869" w:type="dxa"/>
            <w:tcBorders>
              <w:top w:val="single" w:sz="4" w:space="0" w:color="auto"/>
              <w:left w:val="nil"/>
              <w:bottom w:val="single" w:sz="4" w:space="0" w:color="auto"/>
              <w:right w:val="single" w:sz="4" w:space="0" w:color="auto"/>
            </w:tcBorders>
            <w:shd w:val="clear" w:color="auto" w:fill="C6EFCE"/>
            <w:noWrap/>
          </w:tcPr>
          <w:p w14:paraId="3054159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47" w:type="dxa"/>
            <w:tcBorders>
              <w:top w:val="single" w:sz="4" w:space="0" w:color="auto"/>
              <w:left w:val="nil"/>
              <w:bottom w:val="single" w:sz="4" w:space="0" w:color="auto"/>
              <w:right w:val="single" w:sz="4" w:space="0" w:color="auto"/>
            </w:tcBorders>
            <w:shd w:val="clear" w:color="auto" w:fill="C6EFCE"/>
            <w:noWrap/>
          </w:tcPr>
          <w:p w14:paraId="24CC6A3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021" w:type="dxa"/>
            <w:tcBorders>
              <w:top w:val="single" w:sz="4" w:space="0" w:color="auto"/>
              <w:left w:val="nil"/>
              <w:bottom w:val="single" w:sz="4" w:space="0" w:color="auto"/>
              <w:right w:val="single" w:sz="4" w:space="0" w:color="auto"/>
            </w:tcBorders>
            <w:shd w:val="clear" w:color="auto" w:fill="C6EFCE"/>
            <w:noWrap/>
          </w:tcPr>
          <w:p w14:paraId="51129FB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Cel puțin 1 135 de biblioteci vor fi digitalizate, după cum urmează:</w:t>
            </w:r>
          </w:p>
          <w:p w14:paraId="5285CEA6" w14:textId="4CBC61C4" w:rsidR="00500CF9" w:rsidRPr="000A27B3" w:rsidRDefault="00500CF9" w:rsidP="00500CF9">
            <w:pPr>
              <w:numPr>
                <w:ilvl w:val="0"/>
                <w:numId w:val="51"/>
              </w:numPr>
              <w:spacing w:after="0"/>
              <w:ind w:left="259" w:hanging="214"/>
              <w:contextualSpacing/>
              <w:jc w:val="both"/>
              <w:rPr>
                <w:rFonts w:ascii="Times New Roman" w:eastAsia="Times New Roman" w:hAnsi="Times New Roman" w:cs="Times New Roman"/>
                <w:noProof/>
                <w:sz w:val="24"/>
                <w:szCs w:val="24"/>
              </w:rPr>
            </w:pPr>
            <w:r>
              <w:rPr>
                <w:rFonts w:ascii="Times New Roman" w:hAnsi="Times New Roman"/>
                <w:noProof/>
                <w:sz w:val="24"/>
              </w:rPr>
              <w:t>105 biblioteci, inclusiv 5</w:t>
            </w:r>
            <w:r w:rsidR="00ED2A55">
              <w:rPr>
                <w:rFonts w:ascii="Times New Roman" w:hAnsi="Times New Roman"/>
                <w:noProof/>
                <w:sz w:val="24"/>
              </w:rPr>
              <w:t> </w:t>
            </w:r>
            <w:r>
              <w:rPr>
                <w:rFonts w:ascii="Times New Roman" w:hAnsi="Times New Roman"/>
                <w:noProof/>
                <w:sz w:val="24"/>
              </w:rPr>
              <w:t>sedii centrale de biblioteci județene și 100 de biblioteci rurale sau municipale, vor fi renovate și echipate cu calculatoare și echipamente tehnice. Renovarea se va efectua în conformitate cu Orientările tehnice privind aplicarea principiului de „a nu aduce prejudicii semnificative” (2021/C58/01).</w:t>
            </w:r>
          </w:p>
          <w:p w14:paraId="7255A5B8" w14:textId="77777777" w:rsidR="00500CF9" w:rsidRPr="000A27B3" w:rsidRDefault="00500CF9" w:rsidP="00500CF9">
            <w:pPr>
              <w:numPr>
                <w:ilvl w:val="0"/>
                <w:numId w:val="51"/>
              </w:numPr>
              <w:spacing w:after="0"/>
              <w:ind w:left="259" w:hanging="214"/>
              <w:contextualSpacing/>
              <w:jc w:val="both"/>
              <w:rPr>
                <w:rFonts w:eastAsia="Times New Roman"/>
                <w:noProof/>
              </w:rPr>
            </w:pPr>
            <w:r>
              <w:rPr>
                <w:rFonts w:ascii="Times New Roman" w:hAnsi="Times New Roman"/>
                <w:noProof/>
                <w:sz w:val="24"/>
              </w:rPr>
              <w:t>1 030 de biblioteci vor beneficia de echipamente informatice noi sau modernizate.</w:t>
            </w:r>
          </w:p>
        </w:tc>
      </w:tr>
      <w:tr w:rsidR="000A27B3" w:rsidRPr="000A27B3" w14:paraId="29F41804" w14:textId="77777777" w:rsidTr="00ED2A55">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A402B97"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187</w:t>
            </w:r>
          </w:p>
        </w:tc>
        <w:tc>
          <w:tcPr>
            <w:tcW w:w="1740" w:type="dxa"/>
            <w:tcBorders>
              <w:top w:val="single" w:sz="4" w:space="0" w:color="auto"/>
              <w:left w:val="nil"/>
              <w:bottom w:val="single" w:sz="4" w:space="0" w:color="auto"/>
              <w:right w:val="single" w:sz="4" w:space="0" w:color="auto"/>
            </w:tcBorders>
            <w:shd w:val="clear" w:color="auto" w:fill="C6EFCE"/>
            <w:noWrap/>
          </w:tcPr>
          <w:p w14:paraId="2AD4EE7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17.</w:t>
            </w:r>
          </w:p>
          <w:p w14:paraId="45CCFDF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Scheme de finanțare pentru biblioteci pentru a deveni hub-uri de dezvoltare a competențelor digitale </w:t>
            </w:r>
          </w:p>
        </w:tc>
        <w:tc>
          <w:tcPr>
            <w:tcW w:w="1073" w:type="dxa"/>
            <w:tcBorders>
              <w:top w:val="single" w:sz="4" w:space="0" w:color="auto"/>
              <w:left w:val="nil"/>
              <w:bottom w:val="single" w:sz="4" w:space="0" w:color="auto"/>
              <w:right w:val="single" w:sz="4" w:space="0" w:color="auto"/>
            </w:tcBorders>
            <w:shd w:val="clear" w:color="auto" w:fill="C6EFCE"/>
            <w:noWrap/>
          </w:tcPr>
          <w:p w14:paraId="643778B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741" w:type="dxa"/>
            <w:tcBorders>
              <w:top w:val="single" w:sz="4" w:space="0" w:color="auto"/>
              <w:left w:val="nil"/>
              <w:bottom w:val="single" w:sz="4" w:space="0" w:color="auto"/>
              <w:right w:val="single" w:sz="4" w:space="0" w:color="auto"/>
            </w:tcBorders>
            <w:shd w:val="clear" w:color="auto" w:fill="C6EFCE"/>
            <w:noWrap/>
          </w:tcPr>
          <w:p w14:paraId="3F1F071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Cetățeni care au beneficiat de cursuri de formare pentru dezvoltarea competențelor digitale</w:t>
            </w:r>
          </w:p>
        </w:tc>
        <w:tc>
          <w:tcPr>
            <w:tcW w:w="1389" w:type="dxa"/>
            <w:tcBorders>
              <w:top w:val="single" w:sz="4" w:space="0" w:color="auto"/>
              <w:left w:val="nil"/>
              <w:bottom w:val="single" w:sz="4" w:space="0" w:color="auto"/>
              <w:right w:val="single" w:sz="4" w:space="0" w:color="auto"/>
            </w:tcBorders>
            <w:shd w:val="clear" w:color="auto" w:fill="C6EFCE"/>
            <w:noWrap/>
          </w:tcPr>
          <w:p w14:paraId="245F7B1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7E02A9C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080" w:type="dxa"/>
            <w:tcBorders>
              <w:top w:val="single" w:sz="4" w:space="0" w:color="auto"/>
              <w:left w:val="nil"/>
              <w:bottom w:val="single" w:sz="4" w:space="0" w:color="auto"/>
              <w:right w:val="single" w:sz="4" w:space="0" w:color="auto"/>
            </w:tcBorders>
            <w:shd w:val="clear" w:color="auto" w:fill="C6EFCE"/>
            <w:noWrap/>
          </w:tcPr>
          <w:p w14:paraId="4738118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051" w:type="dxa"/>
            <w:tcBorders>
              <w:top w:val="single" w:sz="4" w:space="0" w:color="auto"/>
              <w:left w:val="nil"/>
              <w:bottom w:val="single" w:sz="4" w:space="0" w:color="auto"/>
              <w:right w:val="single" w:sz="4" w:space="0" w:color="auto"/>
            </w:tcBorders>
            <w:shd w:val="clear" w:color="auto" w:fill="C6EFCE"/>
            <w:noWrap/>
          </w:tcPr>
          <w:p w14:paraId="4D04766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100 000</w:t>
            </w:r>
          </w:p>
        </w:tc>
        <w:tc>
          <w:tcPr>
            <w:tcW w:w="869" w:type="dxa"/>
            <w:tcBorders>
              <w:top w:val="single" w:sz="4" w:space="0" w:color="auto"/>
              <w:left w:val="nil"/>
              <w:bottom w:val="single" w:sz="4" w:space="0" w:color="auto"/>
              <w:right w:val="single" w:sz="4" w:space="0" w:color="auto"/>
            </w:tcBorders>
            <w:shd w:val="clear" w:color="auto" w:fill="C6EFCE"/>
            <w:noWrap/>
          </w:tcPr>
          <w:p w14:paraId="3F3E2C0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47" w:type="dxa"/>
            <w:tcBorders>
              <w:top w:val="single" w:sz="4" w:space="0" w:color="auto"/>
              <w:left w:val="nil"/>
              <w:bottom w:val="single" w:sz="4" w:space="0" w:color="auto"/>
              <w:right w:val="single" w:sz="4" w:space="0" w:color="auto"/>
            </w:tcBorders>
            <w:shd w:val="clear" w:color="auto" w:fill="C6EFCE"/>
            <w:noWrap/>
          </w:tcPr>
          <w:p w14:paraId="4F2BB24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021" w:type="dxa"/>
            <w:tcBorders>
              <w:top w:val="single" w:sz="4" w:space="0" w:color="auto"/>
              <w:left w:val="nil"/>
              <w:bottom w:val="single" w:sz="4" w:space="0" w:color="auto"/>
              <w:right w:val="single" w:sz="4" w:space="0" w:color="auto"/>
            </w:tcBorders>
            <w:shd w:val="clear" w:color="auto" w:fill="C6EFCE"/>
            <w:noWrap/>
          </w:tcPr>
          <w:p w14:paraId="5A632E4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Cetățenii din comunitățile defavorizate care au beneficiat de formare pentru dezvoltarea competențelor digitale de bază în bibliotecile transformate în hub-uri digitale. Competențele digitale de bază vor include alfabetizarea digitală, comunicarea, educația în domeniul mass-mediei, crearea de conținut digital, securitatea digitală și educația antreprenorială digitală.</w:t>
            </w:r>
          </w:p>
        </w:tc>
      </w:tr>
    </w:tbl>
    <w:p w14:paraId="144A1557" w14:textId="77777777" w:rsidR="00500CF9" w:rsidRPr="009F1DC7" w:rsidRDefault="00500CF9">
      <w:pPr>
        <w:spacing w:before="120" w:after="120" w:line="240" w:lineRule="auto"/>
        <w:jc w:val="both"/>
        <w:rPr>
          <w:rFonts w:ascii="Times New Roman" w:hAnsi="Times New Roman" w:cs="Times New Roman"/>
          <w:noProof/>
          <w:sz w:val="24"/>
          <w:szCs w:val="24"/>
        </w:rPr>
      </w:pPr>
    </w:p>
    <w:p w14:paraId="792173CF" w14:textId="77777777" w:rsidR="00500CF9" w:rsidRPr="009F1DC7" w:rsidRDefault="00500CF9">
      <w:pPr>
        <w:spacing w:before="120" w:after="0" w:line="240" w:lineRule="auto"/>
        <w:ind w:left="840"/>
        <w:jc w:val="both"/>
        <w:textAlignment w:val="baseline"/>
        <w:rPr>
          <w:rFonts w:ascii="Times New Roman" w:eastAsia="Times New Roman" w:hAnsi="Times New Roman" w:cs="Times New Roman"/>
          <w:noProof/>
          <w:sz w:val="24"/>
          <w:szCs w:val="24"/>
        </w:rPr>
        <w:sectPr w:rsidR="00500CF9" w:rsidRPr="009F1DC7">
          <w:headerReference w:type="even" r:id="rId168"/>
          <w:headerReference w:type="default" r:id="rId169"/>
          <w:footerReference w:type="even" r:id="rId170"/>
          <w:footerReference w:type="default" r:id="rId171"/>
          <w:headerReference w:type="first" r:id="rId172"/>
          <w:footerReference w:type="first" r:id="rId173"/>
          <w:pgSz w:w="15840" w:h="12240" w:orient="landscape"/>
          <w:pgMar w:top="1440" w:right="1440" w:bottom="1440" w:left="1440" w:header="709" w:footer="709" w:gutter="0"/>
          <w:cols w:space="708"/>
          <w:docGrid w:linePitch="360"/>
        </w:sectPr>
      </w:pPr>
    </w:p>
    <w:p w14:paraId="1364B7CD"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G.3. </w:t>
      </w:r>
      <w:r>
        <w:rPr>
          <w:noProof/>
        </w:rPr>
        <w:tab/>
      </w:r>
      <w:r>
        <w:rPr>
          <w:rFonts w:ascii="Times New Roman" w:hAnsi="Times New Roman"/>
          <w:b/>
          <w:noProof/>
          <w:sz w:val="24"/>
        </w:rPr>
        <w:t xml:space="preserve">Descrierea reformelor și a investițiilor pentru împrumut </w:t>
      </w:r>
    </w:p>
    <w:p w14:paraId="19EBE0A8"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18. Transformarea digitală și adoptarea tehnologiei de automatizare a proceselor de lucru în administrația publică</w:t>
      </w:r>
    </w:p>
    <w:p w14:paraId="091654D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sprijini transformarea digitală, de a crește productivitatea și reziliența și de a reduce erorile și timpul de prelucrare a cererilor (cetățenilor) adresate autorităților publice, prin adoptarea de soluții de automatizare a proceselor de lucru robotice (RPA) (automatizarea sarcinilor laborioase, repetitive și bazate pe norme).</w:t>
      </w:r>
    </w:p>
    <w:p w14:paraId="38C089DA"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constă în implementarea de tehnologii avansate, remodelarea proceselor de afaceri și îmbunătățirea proceselor decizionale pentru sectorul public. Pentru început, un consultant va analiza fluxurile de lucru existente în instituțiile publice și va propune soluții tehnologice RPA adecvate. Următorul pas va consta în lansarea cererii pentru instituțiile interesate să beneficieze de soluții RPA.</w:t>
      </w:r>
    </w:p>
    <w:p w14:paraId="4D75455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26F0F517"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19. Scheme dedicate perfecționării/recalificării angajaților din firme</w:t>
      </w:r>
      <w:r>
        <w:rPr>
          <w:rFonts w:ascii="Times New Roman" w:hAnsi="Times New Roman"/>
          <w:noProof/>
          <w:u w:val="single"/>
        </w:rPr>
        <w:t xml:space="preserve"> </w:t>
      </w:r>
    </w:p>
    <w:p w14:paraId="04F743D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sprijini transformarea digitală a întreprinderilor mici și mijlocii prin sporirea competențelor digitale ale angajaților lor.</w:t>
      </w:r>
    </w:p>
    <w:p w14:paraId="1CF1F90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fi implementată în mai multe etape. La început, se va elabora o programă pentru perfecționarea forței de muncă. Se va pune accentul pe tehnologiile emergente (cum ar fi internetul obiectelor, volumele mari de date, învățarea automată, inteligența artificială, automatizarea proceselor robotice, tehnologia blockchain). În a doua etapă, un consultant va sprijini administrația în stabilirea structurii formării, cursurile urmând apoi să aibă loc pentru angajații IMM-urilor care și-au depus candidatura pentru a face parte din program.</w:t>
      </w:r>
    </w:p>
    <w:p w14:paraId="09EA5ECD"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7F43A43A" w14:textId="77777777" w:rsidR="00500CF9" w:rsidRPr="009F1DC7" w:rsidRDefault="00500CF9">
      <w:pPr>
        <w:spacing w:before="120" w:after="120" w:line="240" w:lineRule="auto"/>
        <w:ind w:left="850"/>
        <w:jc w:val="both"/>
        <w:rPr>
          <w:rFonts w:ascii="Times New Roman" w:hAnsi="Times New Roman" w:cs="Times New Roman"/>
          <w:noProof/>
          <w:sz w:val="24"/>
          <w:szCs w:val="24"/>
          <w:lang w:val="fr-FR"/>
        </w:rPr>
        <w:sectPr w:rsidR="00500CF9" w:rsidRPr="009F1DC7">
          <w:headerReference w:type="even" r:id="rId174"/>
          <w:headerReference w:type="default" r:id="rId175"/>
          <w:footerReference w:type="even" r:id="rId176"/>
          <w:footerReference w:type="default" r:id="rId177"/>
          <w:headerReference w:type="first" r:id="rId178"/>
          <w:footerReference w:type="first" r:id="rId179"/>
          <w:pgSz w:w="12240" w:h="15840"/>
          <w:pgMar w:top="1134" w:right="1418" w:bottom="1134" w:left="1418" w:header="709" w:footer="709" w:gutter="0"/>
          <w:cols w:space="708"/>
          <w:docGrid w:linePitch="360"/>
        </w:sectPr>
      </w:pPr>
    </w:p>
    <w:p w14:paraId="61004964"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G.4. </w:t>
      </w:r>
      <w:r>
        <w:rPr>
          <w:noProof/>
        </w:rPr>
        <w:tab/>
      </w:r>
      <w:r>
        <w:rPr>
          <w:rFonts w:ascii="Times New Roman" w:hAnsi="Times New Roman"/>
          <w:b/>
          <w:noProof/>
          <w:sz w:val="24"/>
        </w:rPr>
        <w:t xml:space="preserve">Jaloane, ținte, indicatori și calendarul de monitorizare și implementare aplicabile împrumutului </w:t>
      </w:r>
    </w:p>
    <w:tbl>
      <w:tblPr>
        <w:tblW w:w="15026" w:type="dxa"/>
        <w:jc w:val="center"/>
        <w:tblLayout w:type="fixed"/>
        <w:tblLook w:val="04A0" w:firstRow="1" w:lastRow="0" w:firstColumn="1" w:lastColumn="0" w:noHBand="0" w:noVBand="1"/>
      </w:tblPr>
      <w:tblGrid>
        <w:gridCol w:w="955"/>
        <w:gridCol w:w="2143"/>
        <w:gridCol w:w="977"/>
        <w:gridCol w:w="1312"/>
        <w:gridCol w:w="1448"/>
        <w:gridCol w:w="1080"/>
        <w:gridCol w:w="1200"/>
        <w:gridCol w:w="840"/>
        <w:gridCol w:w="961"/>
        <w:gridCol w:w="850"/>
        <w:gridCol w:w="3260"/>
      </w:tblGrid>
      <w:tr w:rsidR="000A27B3" w:rsidRPr="000A27B3" w14:paraId="663CB481" w14:textId="77777777" w:rsidTr="00ED2A55">
        <w:trPr>
          <w:trHeight w:val="939"/>
          <w:tblHeader/>
          <w:jc w:val="center"/>
        </w:trPr>
        <w:tc>
          <w:tcPr>
            <w:tcW w:w="955" w:type="dxa"/>
            <w:vMerge w:val="restart"/>
            <w:tcBorders>
              <w:top w:val="single" w:sz="4" w:space="0" w:color="auto"/>
              <w:left w:val="single" w:sz="4" w:space="0" w:color="auto"/>
              <w:right w:val="single" w:sz="4" w:space="0" w:color="auto"/>
            </w:tcBorders>
            <w:shd w:val="clear" w:color="auto" w:fill="BDD7EE"/>
            <w:vAlign w:val="center"/>
            <w:hideMark/>
          </w:tcPr>
          <w:p w14:paraId="630C7923"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2143" w:type="dxa"/>
            <w:vMerge w:val="restart"/>
            <w:tcBorders>
              <w:top w:val="single" w:sz="4" w:space="0" w:color="auto"/>
              <w:left w:val="single" w:sz="4" w:space="0" w:color="auto"/>
              <w:right w:val="single" w:sz="4" w:space="0" w:color="auto"/>
            </w:tcBorders>
            <w:shd w:val="clear" w:color="auto" w:fill="BDD7EE"/>
            <w:vAlign w:val="center"/>
            <w:hideMark/>
          </w:tcPr>
          <w:p w14:paraId="70901E8F"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977" w:type="dxa"/>
            <w:vMerge w:val="restart"/>
            <w:tcBorders>
              <w:top w:val="single" w:sz="4" w:space="0" w:color="auto"/>
              <w:left w:val="single" w:sz="4" w:space="0" w:color="auto"/>
              <w:right w:val="single" w:sz="4" w:space="0" w:color="auto"/>
            </w:tcBorders>
            <w:shd w:val="clear" w:color="auto" w:fill="BDD7EE"/>
            <w:vAlign w:val="center"/>
            <w:hideMark/>
          </w:tcPr>
          <w:p w14:paraId="63F154E6" w14:textId="71FF6EB2"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ED2A55">
              <w:rPr>
                <w:rFonts w:ascii="Times New Roman" w:hAnsi="Times New Roman"/>
                <w:b/>
                <w:noProof/>
                <w:sz w:val="24"/>
              </w:rPr>
              <w:br/>
            </w:r>
            <w:r>
              <w:rPr>
                <w:rFonts w:ascii="Times New Roman" w:hAnsi="Times New Roman"/>
                <w:b/>
                <w:noProof/>
                <w:sz w:val="24"/>
              </w:rPr>
              <w:t>țintă</w:t>
            </w:r>
          </w:p>
        </w:tc>
        <w:tc>
          <w:tcPr>
            <w:tcW w:w="1312" w:type="dxa"/>
            <w:vMerge w:val="restart"/>
            <w:tcBorders>
              <w:top w:val="single" w:sz="4" w:space="0" w:color="auto"/>
              <w:left w:val="nil"/>
              <w:right w:val="single" w:sz="4" w:space="0" w:color="auto"/>
            </w:tcBorders>
            <w:shd w:val="clear" w:color="auto" w:fill="BDD7EE"/>
            <w:vAlign w:val="center"/>
            <w:hideMark/>
          </w:tcPr>
          <w:p w14:paraId="3C52EC9F"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448" w:type="dxa"/>
            <w:vMerge w:val="restart"/>
            <w:tcBorders>
              <w:top w:val="single" w:sz="4" w:space="0" w:color="auto"/>
              <w:left w:val="single" w:sz="4" w:space="0" w:color="auto"/>
              <w:right w:val="single" w:sz="4" w:space="0" w:color="auto"/>
            </w:tcBorders>
            <w:shd w:val="clear" w:color="auto" w:fill="BDD7EE"/>
            <w:vAlign w:val="center"/>
            <w:hideMark/>
          </w:tcPr>
          <w:p w14:paraId="544C6D45" w14:textId="50F14A30"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120" w:type="dxa"/>
            <w:gridSpan w:val="3"/>
            <w:tcBorders>
              <w:top w:val="single" w:sz="4" w:space="0" w:color="auto"/>
              <w:left w:val="nil"/>
              <w:bottom w:val="single" w:sz="4" w:space="0" w:color="auto"/>
              <w:right w:val="single" w:sz="4" w:space="0" w:color="auto"/>
            </w:tcBorders>
            <w:shd w:val="clear" w:color="auto" w:fill="BDD7EE"/>
            <w:vAlign w:val="center"/>
            <w:hideMark/>
          </w:tcPr>
          <w:p w14:paraId="1308E449" w14:textId="5F4014E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811" w:type="dxa"/>
            <w:gridSpan w:val="2"/>
            <w:tcBorders>
              <w:top w:val="single" w:sz="4" w:space="0" w:color="auto"/>
              <w:left w:val="nil"/>
              <w:bottom w:val="single" w:sz="4" w:space="0" w:color="auto"/>
              <w:right w:val="single" w:sz="4" w:space="0" w:color="auto"/>
            </w:tcBorders>
            <w:shd w:val="clear" w:color="auto" w:fill="BDD7EE"/>
            <w:vAlign w:val="center"/>
            <w:hideMark/>
          </w:tcPr>
          <w:p w14:paraId="572A6D6E" w14:textId="1F6B8F4B"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ED2A55">
              <w:rPr>
                <w:rFonts w:ascii="Times New Roman" w:hAnsi="Times New Roman"/>
                <w:b/>
                <w:noProof/>
                <w:sz w:val="24"/>
              </w:rPr>
              <w:br/>
            </w:r>
            <w:r>
              <w:rPr>
                <w:rFonts w:ascii="Times New Roman" w:hAnsi="Times New Roman"/>
                <w:b/>
                <w:noProof/>
                <w:sz w:val="24"/>
              </w:rPr>
              <w:t>țintelor</w:t>
            </w:r>
          </w:p>
        </w:tc>
        <w:tc>
          <w:tcPr>
            <w:tcW w:w="3260" w:type="dxa"/>
            <w:vMerge w:val="restart"/>
            <w:tcBorders>
              <w:top w:val="single" w:sz="4" w:space="0" w:color="auto"/>
              <w:left w:val="single" w:sz="4" w:space="0" w:color="auto"/>
              <w:right w:val="single" w:sz="4" w:space="0" w:color="auto"/>
            </w:tcBorders>
            <w:shd w:val="clear" w:color="auto" w:fill="BDD7EE"/>
            <w:vAlign w:val="center"/>
            <w:hideMark/>
          </w:tcPr>
          <w:p w14:paraId="11B4F58C"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891DB6C" w14:textId="77777777" w:rsidTr="00ED2A55">
        <w:trPr>
          <w:trHeight w:val="203"/>
          <w:tblHeader/>
          <w:jc w:val="center"/>
        </w:trPr>
        <w:tc>
          <w:tcPr>
            <w:tcW w:w="955" w:type="dxa"/>
            <w:vMerge/>
            <w:tcBorders>
              <w:left w:val="single" w:sz="4" w:space="0" w:color="auto"/>
              <w:bottom w:val="single" w:sz="4" w:space="0" w:color="000000"/>
              <w:right w:val="single" w:sz="4" w:space="0" w:color="auto"/>
            </w:tcBorders>
            <w:hideMark/>
          </w:tcPr>
          <w:p w14:paraId="41E59EFE" w14:textId="77777777" w:rsidR="00500CF9" w:rsidRPr="009F1DC7" w:rsidRDefault="00500CF9">
            <w:pPr>
              <w:spacing w:before="120" w:after="0" w:line="240" w:lineRule="auto"/>
              <w:jc w:val="center"/>
              <w:rPr>
                <w:rFonts w:ascii="Times New Roman" w:eastAsia="Times New Roman" w:hAnsi="Times New Roman" w:cs="Times New Roman"/>
                <w:b/>
                <w:bCs/>
                <w:noProof/>
                <w:sz w:val="24"/>
                <w:szCs w:val="24"/>
                <w:lang w:eastAsia="en-GB"/>
              </w:rPr>
            </w:pPr>
          </w:p>
        </w:tc>
        <w:tc>
          <w:tcPr>
            <w:tcW w:w="2143" w:type="dxa"/>
            <w:vMerge/>
            <w:tcBorders>
              <w:left w:val="single" w:sz="4" w:space="0" w:color="auto"/>
              <w:bottom w:val="single" w:sz="4" w:space="0" w:color="000000"/>
              <w:right w:val="single" w:sz="4" w:space="0" w:color="auto"/>
            </w:tcBorders>
            <w:hideMark/>
          </w:tcPr>
          <w:p w14:paraId="21113FDB" w14:textId="77777777" w:rsidR="00500CF9" w:rsidRPr="009F1DC7" w:rsidRDefault="00500CF9">
            <w:pPr>
              <w:spacing w:before="120" w:after="0" w:line="240" w:lineRule="auto"/>
              <w:jc w:val="both"/>
              <w:rPr>
                <w:rFonts w:ascii="Times New Roman" w:eastAsia="Times New Roman" w:hAnsi="Times New Roman" w:cs="Times New Roman"/>
                <w:b/>
                <w:bCs/>
                <w:noProof/>
                <w:sz w:val="24"/>
                <w:szCs w:val="24"/>
                <w:lang w:eastAsia="en-GB"/>
              </w:rPr>
            </w:pPr>
          </w:p>
        </w:tc>
        <w:tc>
          <w:tcPr>
            <w:tcW w:w="977" w:type="dxa"/>
            <w:vMerge/>
            <w:tcBorders>
              <w:left w:val="single" w:sz="4" w:space="0" w:color="auto"/>
              <w:bottom w:val="single" w:sz="4" w:space="0" w:color="000000"/>
              <w:right w:val="single" w:sz="4" w:space="0" w:color="auto"/>
            </w:tcBorders>
            <w:hideMark/>
          </w:tcPr>
          <w:p w14:paraId="2DCB7646" w14:textId="77777777" w:rsidR="00500CF9" w:rsidRPr="009F1DC7" w:rsidRDefault="00500CF9">
            <w:pPr>
              <w:spacing w:before="120" w:after="0" w:line="240" w:lineRule="auto"/>
              <w:jc w:val="both"/>
              <w:rPr>
                <w:rFonts w:ascii="Times New Roman" w:eastAsia="Times New Roman" w:hAnsi="Times New Roman" w:cs="Times New Roman"/>
                <w:b/>
                <w:bCs/>
                <w:noProof/>
                <w:sz w:val="24"/>
                <w:szCs w:val="24"/>
                <w:lang w:eastAsia="en-GB"/>
              </w:rPr>
            </w:pPr>
          </w:p>
        </w:tc>
        <w:tc>
          <w:tcPr>
            <w:tcW w:w="1312" w:type="dxa"/>
            <w:vMerge/>
            <w:tcBorders>
              <w:left w:val="nil"/>
              <w:bottom w:val="single" w:sz="4" w:space="0" w:color="000000"/>
              <w:right w:val="single" w:sz="4" w:space="0" w:color="auto"/>
            </w:tcBorders>
            <w:hideMark/>
          </w:tcPr>
          <w:p w14:paraId="71851A5E" w14:textId="77777777" w:rsidR="00500CF9" w:rsidRPr="009F1DC7" w:rsidRDefault="00500CF9">
            <w:pPr>
              <w:spacing w:before="120" w:after="0" w:line="240" w:lineRule="auto"/>
              <w:jc w:val="both"/>
              <w:rPr>
                <w:rFonts w:ascii="Times New Roman" w:eastAsia="Times New Roman" w:hAnsi="Times New Roman" w:cs="Times New Roman"/>
                <w:b/>
                <w:bCs/>
                <w:noProof/>
                <w:sz w:val="24"/>
                <w:szCs w:val="24"/>
                <w:lang w:eastAsia="en-GB"/>
              </w:rPr>
            </w:pPr>
          </w:p>
        </w:tc>
        <w:tc>
          <w:tcPr>
            <w:tcW w:w="1448" w:type="dxa"/>
            <w:vMerge/>
            <w:tcBorders>
              <w:left w:val="single" w:sz="4" w:space="0" w:color="auto"/>
              <w:bottom w:val="single" w:sz="4" w:space="0" w:color="000000"/>
              <w:right w:val="single" w:sz="4" w:space="0" w:color="auto"/>
            </w:tcBorders>
            <w:hideMark/>
          </w:tcPr>
          <w:p w14:paraId="1A51782B" w14:textId="77777777" w:rsidR="00500CF9" w:rsidRPr="009F1DC7" w:rsidRDefault="00500CF9">
            <w:pPr>
              <w:spacing w:before="120" w:after="0" w:line="240" w:lineRule="auto"/>
              <w:jc w:val="both"/>
              <w:rPr>
                <w:rFonts w:ascii="Times New Roman" w:eastAsia="Times New Roman" w:hAnsi="Times New Roman" w:cs="Times New Roman"/>
                <w:b/>
                <w:bCs/>
                <w:noProof/>
                <w:sz w:val="24"/>
                <w:szCs w:val="24"/>
                <w:lang w:eastAsia="en-GB"/>
              </w:rPr>
            </w:pPr>
          </w:p>
        </w:tc>
        <w:tc>
          <w:tcPr>
            <w:tcW w:w="1080" w:type="dxa"/>
            <w:tcBorders>
              <w:top w:val="nil"/>
              <w:left w:val="nil"/>
              <w:bottom w:val="single" w:sz="4" w:space="0" w:color="auto"/>
              <w:right w:val="single" w:sz="4" w:space="0" w:color="auto"/>
            </w:tcBorders>
            <w:shd w:val="clear" w:color="auto" w:fill="BDD7EE"/>
            <w:vAlign w:val="center"/>
            <w:hideMark/>
          </w:tcPr>
          <w:p w14:paraId="427BD260"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00" w:type="dxa"/>
            <w:tcBorders>
              <w:top w:val="nil"/>
              <w:left w:val="nil"/>
              <w:bottom w:val="single" w:sz="4" w:space="0" w:color="auto"/>
              <w:right w:val="single" w:sz="4" w:space="0" w:color="auto"/>
            </w:tcBorders>
            <w:shd w:val="clear" w:color="auto" w:fill="BDD7EE"/>
            <w:vAlign w:val="center"/>
            <w:hideMark/>
          </w:tcPr>
          <w:p w14:paraId="23429507"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840" w:type="dxa"/>
            <w:tcBorders>
              <w:top w:val="nil"/>
              <w:left w:val="nil"/>
              <w:bottom w:val="single" w:sz="4" w:space="0" w:color="auto"/>
              <w:right w:val="single" w:sz="4" w:space="0" w:color="auto"/>
            </w:tcBorders>
            <w:shd w:val="clear" w:color="auto" w:fill="BDD7EE"/>
            <w:vAlign w:val="center"/>
            <w:hideMark/>
          </w:tcPr>
          <w:p w14:paraId="4C5BF373"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961" w:type="dxa"/>
            <w:tcBorders>
              <w:top w:val="nil"/>
              <w:left w:val="nil"/>
              <w:bottom w:val="single" w:sz="4" w:space="0" w:color="auto"/>
              <w:right w:val="single" w:sz="4" w:space="0" w:color="auto"/>
            </w:tcBorders>
            <w:shd w:val="clear" w:color="auto" w:fill="BDD7EE"/>
            <w:vAlign w:val="center"/>
            <w:hideMark/>
          </w:tcPr>
          <w:p w14:paraId="7E976EAC"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850" w:type="dxa"/>
            <w:tcBorders>
              <w:top w:val="nil"/>
              <w:left w:val="nil"/>
              <w:bottom w:val="single" w:sz="4" w:space="0" w:color="auto"/>
              <w:right w:val="single" w:sz="4" w:space="0" w:color="auto"/>
            </w:tcBorders>
            <w:shd w:val="clear" w:color="auto" w:fill="BDD7EE"/>
            <w:vAlign w:val="center"/>
            <w:hideMark/>
          </w:tcPr>
          <w:p w14:paraId="127DABE8" w14:textId="77777777" w:rsidR="00500CF9" w:rsidRPr="000A27B3" w:rsidRDefault="00500CF9">
            <w:pPr>
              <w:spacing w:before="120"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260" w:type="dxa"/>
            <w:vMerge/>
            <w:tcBorders>
              <w:left w:val="single" w:sz="4" w:space="0" w:color="auto"/>
              <w:bottom w:val="single" w:sz="4" w:space="0" w:color="auto"/>
              <w:right w:val="single" w:sz="4" w:space="0" w:color="auto"/>
            </w:tcBorders>
            <w:hideMark/>
          </w:tcPr>
          <w:p w14:paraId="7A389AA6" w14:textId="77777777" w:rsidR="00500CF9" w:rsidRPr="000A27B3" w:rsidRDefault="00500CF9">
            <w:pPr>
              <w:spacing w:before="120"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03372163" w14:textId="77777777" w:rsidTr="00ED2A55">
        <w:trPr>
          <w:trHeight w:val="313"/>
          <w:jc w:val="center"/>
        </w:trPr>
        <w:tc>
          <w:tcPr>
            <w:tcW w:w="955" w:type="dxa"/>
            <w:tcBorders>
              <w:top w:val="nil"/>
              <w:left w:val="single" w:sz="4" w:space="0" w:color="auto"/>
              <w:bottom w:val="single" w:sz="4" w:space="0" w:color="auto"/>
              <w:right w:val="single" w:sz="4" w:space="0" w:color="auto"/>
            </w:tcBorders>
            <w:shd w:val="clear" w:color="auto" w:fill="C6EFCE"/>
            <w:noWrap/>
            <w:hideMark/>
          </w:tcPr>
          <w:p w14:paraId="3E9BA7A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188</w:t>
            </w:r>
          </w:p>
        </w:tc>
        <w:tc>
          <w:tcPr>
            <w:tcW w:w="2143" w:type="dxa"/>
            <w:tcBorders>
              <w:top w:val="nil"/>
              <w:left w:val="nil"/>
              <w:bottom w:val="single" w:sz="4" w:space="0" w:color="auto"/>
              <w:right w:val="single" w:sz="4" w:space="0" w:color="auto"/>
            </w:tcBorders>
            <w:shd w:val="clear" w:color="auto" w:fill="C6EFCE"/>
            <w:noWrap/>
            <w:hideMark/>
          </w:tcPr>
          <w:p w14:paraId="747BC7AC" w14:textId="77777777" w:rsidR="00500CF9" w:rsidRPr="000A27B3" w:rsidRDefault="00500CF9">
            <w:pPr>
              <w:spacing w:after="120" w:line="240" w:lineRule="auto"/>
              <w:jc w:val="both"/>
              <w:rPr>
                <w:rFonts w:ascii="Times New Roman" w:hAnsi="Times New Roman" w:cs="Times New Roman"/>
                <w:noProof/>
                <w:sz w:val="24"/>
              </w:rPr>
            </w:pPr>
            <w:r>
              <w:rPr>
                <w:rFonts w:ascii="Times New Roman" w:hAnsi="Times New Roman"/>
                <w:noProof/>
                <w:sz w:val="24"/>
              </w:rPr>
              <w:t>Investiția 18. Transformarea digitală și adoptarea tehnologiei de automatizare a proceselor de lucru robotice în administrația publică</w:t>
            </w:r>
          </w:p>
          <w:p w14:paraId="4BA8040D" w14:textId="77777777" w:rsidR="00500CF9" w:rsidRPr="009F1DC7" w:rsidRDefault="00500CF9">
            <w:pPr>
              <w:spacing w:after="0" w:line="240" w:lineRule="auto"/>
              <w:jc w:val="both"/>
              <w:rPr>
                <w:rFonts w:ascii="Times New Roman" w:eastAsia="Times New Roman" w:hAnsi="Times New Roman" w:cs="Times New Roman"/>
                <w:noProof/>
                <w:sz w:val="24"/>
                <w:lang w:val="fr-FR" w:eastAsia="en-GB"/>
              </w:rPr>
            </w:pPr>
          </w:p>
        </w:tc>
        <w:tc>
          <w:tcPr>
            <w:tcW w:w="977" w:type="dxa"/>
            <w:tcBorders>
              <w:top w:val="nil"/>
              <w:left w:val="nil"/>
              <w:bottom w:val="single" w:sz="4" w:space="0" w:color="auto"/>
              <w:right w:val="single" w:sz="4" w:space="0" w:color="auto"/>
            </w:tcBorders>
            <w:shd w:val="clear" w:color="auto" w:fill="C6EFCE"/>
            <w:noWrap/>
            <w:hideMark/>
          </w:tcPr>
          <w:p w14:paraId="07B0363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312" w:type="dxa"/>
            <w:tcBorders>
              <w:top w:val="nil"/>
              <w:left w:val="nil"/>
              <w:bottom w:val="single" w:sz="4" w:space="0" w:color="auto"/>
              <w:right w:val="single" w:sz="4" w:space="0" w:color="auto"/>
            </w:tcBorders>
            <w:shd w:val="clear" w:color="auto" w:fill="C6EFCE"/>
            <w:noWrap/>
            <w:hideMark/>
          </w:tcPr>
          <w:p w14:paraId="0E1CF7D6"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Implementarea tehnologiei de automatizare a proceselor de lucru (RPA) și promovarea inteligenței artificiale (IA) în administrația publică </w:t>
            </w:r>
          </w:p>
        </w:tc>
        <w:tc>
          <w:tcPr>
            <w:tcW w:w="1448" w:type="dxa"/>
            <w:tcBorders>
              <w:top w:val="nil"/>
              <w:left w:val="nil"/>
              <w:bottom w:val="single" w:sz="4" w:space="0" w:color="auto"/>
              <w:right w:val="single" w:sz="4" w:space="0" w:color="auto"/>
            </w:tcBorders>
            <w:shd w:val="clear" w:color="auto" w:fill="C6EFCE"/>
            <w:noWrap/>
            <w:hideMark/>
          </w:tcPr>
          <w:p w14:paraId="085C790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nil"/>
              <w:left w:val="nil"/>
              <w:bottom w:val="single" w:sz="4" w:space="0" w:color="auto"/>
              <w:right w:val="single" w:sz="4" w:space="0" w:color="auto"/>
            </w:tcBorders>
            <w:shd w:val="clear" w:color="auto" w:fill="C6EFCE"/>
            <w:noWrap/>
            <w:hideMark/>
          </w:tcPr>
          <w:p w14:paraId="5E9BC26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200" w:type="dxa"/>
            <w:tcBorders>
              <w:top w:val="nil"/>
              <w:left w:val="nil"/>
              <w:bottom w:val="single" w:sz="4" w:space="0" w:color="auto"/>
              <w:right w:val="single" w:sz="4" w:space="0" w:color="auto"/>
            </w:tcBorders>
            <w:shd w:val="clear" w:color="auto" w:fill="C6EFCE"/>
            <w:noWrap/>
            <w:hideMark/>
          </w:tcPr>
          <w:p w14:paraId="187EDB5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nil"/>
              <w:bottom w:val="single" w:sz="4" w:space="0" w:color="auto"/>
              <w:right w:val="single" w:sz="4" w:space="0" w:color="auto"/>
            </w:tcBorders>
            <w:shd w:val="clear" w:color="auto" w:fill="C6EFCE"/>
            <w:noWrap/>
            <w:hideMark/>
          </w:tcPr>
          <w:p w14:paraId="55B1693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18</w:t>
            </w:r>
          </w:p>
        </w:tc>
        <w:tc>
          <w:tcPr>
            <w:tcW w:w="961" w:type="dxa"/>
            <w:tcBorders>
              <w:top w:val="nil"/>
              <w:left w:val="nil"/>
              <w:bottom w:val="single" w:sz="4" w:space="0" w:color="auto"/>
              <w:right w:val="single" w:sz="4" w:space="0" w:color="auto"/>
            </w:tcBorders>
            <w:shd w:val="clear" w:color="auto" w:fill="C6EFCE"/>
            <w:noWrap/>
            <w:hideMark/>
          </w:tcPr>
          <w:p w14:paraId="121EC0F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850" w:type="dxa"/>
            <w:tcBorders>
              <w:top w:val="nil"/>
              <w:left w:val="nil"/>
              <w:bottom w:val="single" w:sz="4" w:space="0" w:color="auto"/>
              <w:right w:val="single" w:sz="4" w:space="0" w:color="auto"/>
            </w:tcBorders>
            <w:shd w:val="clear" w:color="auto" w:fill="C6EFCE"/>
            <w:noWrap/>
            <w:hideMark/>
          </w:tcPr>
          <w:p w14:paraId="40DEB1D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260" w:type="dxa"/>
            <w:tcBorders>
              <w:top w:val="nil"/>
              <w:left w:val="nil"/>
              <w:bottom w:val="single" w:sz="4" w:space="0" w:color="auto"/>
              <w:right w:val="single" w:sz="4" w:space="0" w:color="auto"/>
            </w:tcBorders>
            <w:shd w:val="clear" w:color="auto" w:fill="C6EFCE"/>
            <w:noWrap/>
            <w:hideMark/>
          </w:tcPr>
          <w:p w14:paraId="3A58FEE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Această investiție va implementa soluții de sprijinire a automatizării proceselor de lucru robotice și a inteligenței artificiale pentru 18 instituții publice din administrația centrală.</w:t>
            </w:r>
          </w:p>
        </w:tc>
      </w:tr>
      <w:tr w:rsidR="000A27B3" w:rsidRPr="000A27B3" w14:paraId="00668A02" w14:textId="77777777" w:rsidTr="00ED2A55">
        <w:trPr>
          <w:trHeight w:val="313"/>
          <w:jc w:val="center"/>
        </w:trPr>
        <w:tc>
          <w:tcPr>
            <w:tcW w:w="955" w:type="dxa"/>
            <w:tcBorders>
              <w:top w:val="nil"/>
              <w:left w:val="single" w:sz="4" w:space="0" w:color="auto"/>
              <w:bottom w:val="single" w:sz="4" w:space="0" w:color="auto"/>
              <w:right w:val="single" w:sz="4" w:space="0" w:color="auto"/>
            </w:tcBorders>
            <w:shd w:val="clear" w:color="auto" w:fill="C6EFCE"/>
            <w:noWrap/>
            <w:hideMark/>
          </w:tcPr>
          <w:p w14:paraId="75087B0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189</w:t>
            </w:r>
          </w:p>
        </w:tc>
        <w:tc>
          <w:tcPr>
            <w:tcW w:w="2143" w:type="dxa"/>
            <w:tcBorders>
              <w:top w:val="nil"/>
              <w:left w:val="nil"/>
              <w:bottom w:val="single" w:sz="4" w:space="0" w:color="auto"/>
              <w:right w:val="single" w:sz="4" w:space="0" w:color="auto"/>
            </w:tcBorders>
            <w:shd w:val="clear" w:color="auto" w:fill="C6EFCE"/>
            <w:noWrap/>
            <w:hideMark/>
          </w:tcPr>
          <w:p w14:paraId="6165826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19. Scheme dedicate perfecționării/recalificării angajaților din firme</w:t>
            </w:r>
          </w:p>
          <w:p w14:paraId="0E47C04C" w14:textId="77777777" w:rsidR="00500CF9" w:rsidRPr="000A27B3" w:rsidRDefault="00500CF9">
            <w:pPr>
              <w:spacing w:after="0" w:line="240" w:lineRule="auto"/>
              <w:jc w:val="both"/>
              <w:rPr>
                <w:rFonts w:ascii="Times New Roman" w:eastAsia="Times New Roman" w:hAnsi="Times New Roman" w:cs="Times New Roman"/>
                <w:noProof/>
                <w:sz w:val="24"/>
                <w:lang w:val="en-GB" w:eastAsia="en-GB"/>
              </w:rPr>
            </w:pPr>
          </w:p>
        </w:tc>
        <w:tc>
          <w:tcPr>
            <w:tcW w:w="977" w:type="dxa"/>
            <w:tcBorders>
              <w:top w:val="nil"/>
              <w:left w:val="nil"/>
              <w:bottom w:val="single" w:sz="4" w:space="0" w:color="auto"/>
              <w:right w:val="single" w:sz="4" w:space="0" w:color="auto"/>
            </w:tcBorders>
            <w:shd w:val="clear" w:color="auto" w:fill="C6EFCE"/>
            <w:noWrap/>
            <w:hideMark/>
          </w:tcPr>
          <w:p w14:paraId="71A8DD27"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312" w:type="dxa"/>
            <w:tcBorders>
              <w:top w:val="nil"/>
              <w:left w:val="nil"/>
              <w:bottom w:val="single" w:sz="4" w:space="0" w:color="auto"/>
              <w:right w:val="single" w:sz="4" w:space="0" w:color="auto"/>
            </w:tcBorders>
            <w:shd w:val="clear" w:color="auto" w:fill="C6EFCE"/>
            <w:noWrap/>
            <w:hideMark/>
          </w:tcPr>
          <w:p w14:paraId="76390E3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Lansarea cererii de propuneri pentru „Sprijin sub formă de granturi pentru competențe digitale”</w:t>
            </w:r>
          </w:p>
        </w:tc>
        <w:tc>
          <w:tcPr>
            <w:tcW w:w="1448" w:type="dxa"/>
            <w:tcBorders>
              <w:top w:val="nil"/>
              <w:left w:val="nil"/>
              <w:bottom w:val="single" w:sz="4" w:space="0" w:color="auto"/>
              <w:right w:val="single" w:sz="4" w:space="0" w:color="auto"/>
            </w:tcBorders>
            <w:shd w:val="clear" w:color="auto" w:fill="C6EFCE"/>
            <w:noWrap/>
            <w:hideMark/>
          </w:tcPr>
          <w:p w14:paraId="05E22C5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Publicarea cererii de propuneri</w:t>
            </w:r>
          </w:p>
        </w:tc>
        <w:tc>
          <w:tcPr>
            <w:tcW w:w="1080" w:type="dxa"/>
            <w:tcBorders>
              <w:top w:val="nil"/>
              <w:left w:val="nil"/>
              <w:bottom w:val="single" w:sz="4" w:space="0" w:color="auto"/>
              <w:right w:val="single" w:sz="4" w:space="0" w:color="auto"/>
            </w:tcBorders>
            <w:shd w:val="clear" w:color="auto" w:fill="C6EFCE"/>
            <w:noWrap/>
            <w:hideMark/>
          </w:tcPr>
          <w:p w14:paraId="50CCDF66"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5EA3304F"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840" w:type="dxa"/>
            <w:tcBorders>
              <w:top w:val="nil"/>
              <w:left w:val="nil"/>
              <w:bottom w:val="single" w:sz="4" w:space="0" w:color="auto"/>
              <w:right w:val="single" w:sz="4" w:space="0" w:color="auto"/>
            </w:tcBorders>
            <w:shd w:val="clear" w:color="auto" w:fill="C6EFCE"/>
            <w:noWrap/>
            <w:hideMark/>
          </w:tcPr>
          <w:p w14:paraId="358121E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1" w:type="dxa"/>
            <w:tcBorders>
              <w:top w:val="nil"/>
              <w:left w:val="nil"/>
              <w:bottom w:val="single" w:sz="4" w:space="0" w:color="auto"/>
              <w:right w:val="single" w:sz="4" w:space="0" w:color="auto"/>
            </w:tcBorders>
            <w:shd w:val="clear" w:color="auto" w:fill="C6EFCE"/>
            <w:noWrap/>
            <w:hideMark/>
          </w:tcPr>
          <w:p w14:paraId="35FDDD7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T1</w:t>
            </w:r>
          </w:p>
        </w:tc>
        <w:tc>
          <w:tcPr>
            <w:tcW w:w="850" w:type="dxa"/>
            <w:tcBorders>
              <w:top w:val="nil"/>
              <w:left w:val="nil"/>
              <w:bottom w:val="single" w:sz="4" w:space="0" w:color="auto"/>
              <w:right w:val="single" w:sz="4" w:space="0" w:color="auto"/>
            </w:tcBorders>
            <w:shd w:val="clear" w:color="auto" w:fill="C6EFCE"/>
            <w:noWrap/>
            <w:hideMark/>
          </w:tcPr>
          <w:p w14:paraId="67266D4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260" w:type="dxa"/>
            <w:tcBorders>
              <w:top w:val="nil"/>
              <w:left w:val="nil"/>
              <w:bottom w:val="single" w:sz="4" w:space="0" w:color="auto"/>
              <w:right w:val="single" w:sz="4" w:space="0" w:color="auto"/>
            </w:tcBorders>
            <w:shd w:val="clear" w:color="auto" w:fill="C6EFCE"/>
            <w:noWrap/>
            <w:hideMark/>
          </w:tcPr>
          <w:p w14:paraId="483A51F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Cerere de granturi pentru sprijinirea IMM-urilor în formarea în domeniul competențelor digitale, cum ar fi instrumentele și echipamentele digitale, consolidarea competențelor digitale, inclusiv a competențelor legate de tehnologiile de tip cloud, și a tehnologiilor specifice industriei 4.0.</w:t>
            </w:r>
          </w:p>
        </w:tc>
      </w:tr>
      <w:tr w:rsidR="000A27B3" w:rsidRPr="000A27B3" w14:paraId="7574AACA" w14:textId="77777777" w:rsidTr="00ED2A55">
        <w:trPr>
          <w:trHeight w:val="313"/>
          <w:jc w:val="center"/>
        </w:trPr>
        <w:tc>
          <w:tcPr>
            <w:tcW w:w="955" w:type="dxa"/>
            <w:tcBorders>
              <w:top w:val="nil"/>
              <w:left w:val="single" w:sz="4" w:space="0" w:color="auto"/>
              <w:bottom w:val="single" w:sz="4" w:space="0" w:color="auto"/>
              <w:right w:val="single" w:sz="4" w:space="0" w:color="auto"/>
            </w:tcBorders>
            <w:shd w:val="clear" w:color="auto" w:fill="C6EFCE"/>
            <w:noWrap/>
            <w:hideMark/>
          </w:tcPr>
          <w:p w14:paraId="78C92113"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190</w:t>
            </w:r>
          </w:p>
        </w:tc>
        <w:tc>
          <w:tcPr>
            <w:tcW w:w="2143" w:type="dxa"/>
            <w:tcBorders>
              <w:top w:val="nil"/>
              <w:left w:val="nil"/>
              <w:bottom w:val="single" w:sz="4" w:space="0" w:color="auto"/>
              <w:right w:val="single" w:sz="4" w:space="0" w:color="auto"/>
            </w:tcBorders>
            <w:shd w:val="clear" w:color="auto" w:fill="C6EFCE"/>
            <w:noWrap/>
            <w:hideMark/>
          </w:tcPr>
          <w:p w14:paraId="5706D88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Investiția 19. Scheme dedicate perfecționării/recalificării angajaților din firme</w:t>
            </w:r>
          </w:p>
        </w:tc>
        <w:tc>
          <w:tcPr>
            <w:tcW w:w="977" w:type="dxa"/>
            <w:tcBorders>
              <w:top w:val="nil"/>
              <w:left w:val="nil"/>
              <w:bottom w:val="single" w:sz="4" w:space="0" w:color="auto"/>
              <w:right w:val="single" w:sz="4" w:space="0" w:color="auto"/>
            </w:tcBorders>
            <w:shd w:val="clear" w:color="auto" w:fill="C6EFCE"/>
            <w:noWrap/>
            <w:hideMark/>
          </w:tcPr>
          <w:p w14:paraId="3CACA5C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312" w:type="dxa"/>
            <w:tcBorders>
              <w:top w:val="nil"/>
              <w:left w:val="nil"/>
              <w:bottom w:val="single" w:sz="4" w:space="0" w:color="auto"/>
              <w:right w:val="single" w:sz="4" w:space="0" w:color="auto"/>
            </w:tcBorders>
            <w:shd w:val="clear" w:color="auto" w:fill="C6EFCE"/>
            <w:noWrap/>
            <w:hideMark/>
          </w:tcPr>
          <w:p w14:paraId="46619A9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IMM-urile finanțate pentru a oferi cursuri de formare personalului lor în domeniul competențelor digitale </w:t>
            </w:r>
          </w:p>
        </w:tc>
        <w:tc>
          <w:tcPr>
            <w:tcW w:w="1448" w:type="dxa"/>
            <w:tcBorders>
              <w:top w:val="nil"/>
              <w:left w:val="nil"/>
              <w:bottom w:val="single" w:sz="4" w:space="0" w:color="auto"/>
              <w:right w:val="single" w:sz="4" w:space="0" w:color="auto"/>
            </w:tcBorders>
            <w:shd w:val="clear" w:color="auto" w:fill="C6EFCE"/>
            <w:noWrap/>
            <w:hideMark/>
          </w:tcPr>
          <w:p w14:paraId="29755D8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80" w:type="dxa"/>
            <w:tcBorders>
              <w:top w:val="nil"/>
              <w:left w:val="nil"/>
              <w:bottom w:val="single" w:sz="4" w:space="0" w:color="auto"/>
              <w:right w:val="single" w:sz="4" w:space="0" w:color="auto"/>
            </w:tcBorders>
            <w:shd w:val="clear" w:color="auto" w:fill="C6EFCE"/>
            <w:noWrap/>
            <w:hideMark/>
          </w:tcPr>
          <w:p w14:paraId="16915AA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w:t>
            </w:r>
          </w:p>
        </w:tc>
        <w:tc>
          <w:tcPr>
            <w:tcW w:w="1200" w:type="dxa"/>
            <w:tcBorders>
              <w:top w:val="nil"/>
              <w:left w:val="nil"/>
              <w:bottom w:val="single" w:sz="4" w:space="0" w:color="auto"/>
              <w:right w:val="single" w:sz="4" w:space="0" w:color="auto"/>
            </w:tcBorders>
            <w:shd w:val="clear" w:color="auto" w:fill="C6EFCE"/>
            <w:noWrap/>
            <w:hideMark/>
          </w:tcPr>
          <w:p w14:paraId="6150BB39"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840" w:type="dxa"/>
            <w:tcBorders>
              <w:top w:val="nil"/>
              <w:left w:val="nil"/>
              <w:bottom w:val="single" w:sz="4" w:space="0" w:color="auto"/>
              <w:right w:val="single" w:sz="4" w:space="0" w:color="auto"/>
            </w:tcBorders>
            <w:shd w:val="clear" w:color="auto" w:fill="C6EFCE"/>
            <w:noWrap/>
            <w:hideMark/>
          </w:tcPr>
          <w:p w14:paraId="712B56C4"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2 000</w:t>
            </w:r>
          </w:p>
          <w:p w14:paraId="26AC8DF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961" w:type="dxa"/>
            <w:tcBorders>
              <w:top w:val="nil"/>
              <w:left w:val="nil"/>
              <w:bottom w:val="single" w:sz="4" w:space="0" w:color="auto"/>
              <w:right w:val="single" w:sz="4" w:space="0" w:color="auto"/>
            </w:tcBorders>
            <w:shd w:val="clear" w:color="auto" w:fill="C6EFCE"/>
            <w:noWrap/>
            <w:hideMark/>
          </w:tcPr>
          <w:p w14:paraId="44CF4B2B"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850" w:type="dxa"/>
            <w:tcBorders>
              <w:top w:val="nil"/>
              <w:left w:val="nil"/>
              <w:bottom w:val="single" w:sz="4" w:space="0" w:color="auto"/>
              <w:right w:val="single" w:sz="4" w:space="0" w:color="auto"/>
            </w:tcBorders>
            <w:shd w:val="clear" w:color="auto" w:fill="C6EFCE"/>
            <w:noWrap/>
            <w:hideMark/>
          </w:tcPr>
          <w:p w14:paraId="5F8395E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2025</w:t>
            </w:r>
          </w:p>
        </w:tc>
        <w:tc>
          <w:tcPr>
            <w:tcW w:w="3260" w:type="dxa"/>
            <w:tcBorders>
              <w:top w:val="nil"/>
              <w:left w:val="nil"/>
              <w:bottom w:val="single" w:sz="4" w:space="0" w:color="auto"/>
              <w:right w:val="single" w:sz="4" w:space="0" w:color="auto"/>
            </w:tcBorders>
            <w:shd w:val="clear" w:color="auto" w:fill="C6EFCE"/>
            <w:noWrap/>
            <w:hideMark/>
          </w:tcPr>
          <w:p w14:paraId="561B6EC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Numărul de IMM-uri finanțate pentru a sprijini participarea personalului lor la cursuri în domeniul competențelor digitale, în conformitate cu jalonul 189.</w:t>
            </w:r>
          </w:p>
        </w:tc>
      </w:tr>
    </w:tbl>
    <w:p w14:paraId="17C90EEE" w14:textId="77777777" w:rsidR="00500CF9" w:rsidRPr="009F1DC7" w:rsidRDefault="00500CF9">
      <w:pPr>
        <w:spacing w:before="120" w:after="0" w:line="240" w:lineRule="auto"/>
        <w:ind w:left="840"/>
        <w:jc w:val="both"/>
        <w:textAlignment w:val="baseline"/>
        <w:rPr>
          <w:rFonts w:ascii="Times New Roman" w:eastAsia="Times New Roman" w:hAnsi="Times New Roman" w:cs="Times New Roman"/>
          <w:noProof/>
          <w:sz w:val="24"/>
          <w:szCs w:val="24"/>
          <w:lang w:val="fr-FR"/>
        </w:rPr>
        <w:sectPr w:rsidR="00500CF9" w:rsidRPr="009F1DC7">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417" w:right="1134" w:bottom="1417" w:left="1134" w:header="709" w:footer="709" w:gutter="0"/>
          <w:cols w:space="720"/>
          <w:docGrid w:linePitch="360"/>
        </w:sectPr>
      </w:pPr>
    </w:p>
    <w:p w14:paraId="4757562E" w14:textId="77777777" w:rsidR="00500CF9" w:rsidRPr="000A27B3" w:rsidRDefault="00500CF9" w:rsidP="00500CF9">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8: Reforma fiscală și reforma sistemului de pensii</w:t>
      </w:r>
    </w:p>
    <w:p w14:paraId="7C91F85A"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componentă include o serie de reforme și investiții menite să abordeze principalele provocări cu care se confruntă administrația fiscală, sistemul fiscal, cadrul bugetar al guvernului, sistemul de pensii și sprijinul guvernamental pentru întreprinderi:</w:t>
      </w:r>
    </w:p>
    <w:p w14:paraId="06F18624" w14:textId="244EC039" w:rsidR="00500CF9" w:rsidRPr="000A27B3" w:rsidRDefault="00500CF9" w:rsidP="00500CF9">
      <w:pPr>
        <w:numPr>
          <w:ilvl w:val="0"/>
          <w:numId w:val="61"/>
        </w:numPr>
        <w:spacing w:before="120" w:after="120" w:line="240" w:lineRule="auto"/>
        <w:jc w:val="both"/>
        <w:rPr>
          <w:rFonts w:ascii="Times New Roman" w:hAnsi="Times New Roman" w:cs="Times New Roman"/>
          <w:noProof/>
          <w:sz w:val="24"/>
        </w:rPr>
      </w:pPr>
      <w:r>
        <w:rPr>
          <w:rFonts w:ascii="Times New Roman" w:hAnsi="Times New Roman"/>
          <w:noProof/>
          <w:sz w:val="24"/>
        </w:rPr>
        <w:t>Reforma administrației fiscale și revizuirea cadrului fiscal pentru a consolida sistemul fiscal și a spori veniturile colectate de administrația fiscală cu cel puțin 3 puncte procentuale din PIB (2,5 puncte procentuale din reforma administrației fiscale și 0,5</w:t>
      </w:r>
      <w:r w:rsidR="00ED2A55">
        <w:rPr>
          <w:rFonts w:ascii="Times New Roman" w:hAnsi="Times New Roman"/>
          <w:noProof/>
          <w:sz w:val="24"/>
        </w:rPr>
        <w:t> </w:t>
      </w:r>
      <w:r>
        <w:rPr>
          <w:rFonts w:ascii="Times New Roman" w:hAnsi="Times New Roman"/>
          <w:noProof/>
          <w:sz w:val="24"/>
        </w:rPr>
        <w:t xml:space="preserve">puncte procentuale din revizuirea cadrului fiscal) și pentru a reduce deficitul de încasare a TVA cu cel puțin 5 puncte procentuale, ambele în comparație cu 2019. </w:t>
      </w:r>
    </w:p>
    <w:p w14:paraId="7AB3C6DA" w14:textId="77777777" w:rsidR="00500CF9" w:rsidRPr="000A27B3" w:rsidRDefault="00500CF9" w:rsidP="00500CF9">
      <w:pPr>
        <w:numPr>
          <w:ilvl w:val="0"/>
          <w:numId w:val="61"/>
        </w:numPr>
        <w:spacing w:before="120" w:after="120" w:line="240" w:lineRule="auto"/>
        <w:jc w:val="both"/>
        <w:rPr>
          <w:rFonts w:ascii="Times New Roman" w:hAnsi="Times New Roman" w:cs="Times New Roman"/>
          <w:noProof/>
          <w:sz w:val="24"/>
        </w:rPr>
      </w:pPr>
      <w:r>
        <w:rPr>
          <w:rFonts w:ascii="Times New Roman" w:hAnsi="Times New Roman"/>
          <w:noProof/>
          <w:sz w:val="24"/>
        </w:rPr>
        <w:t>Reforma sistemului public de pensii printr-un nou cadru legislativ pentru a asigura sustenabilitatea fiscală în contextul îmbătrânirii populației, pentru a corecta inegalitățile, a asigura sustenabilitatea și previzibilitatea sistemului de pensii și a respecta principiul contributivității în ceea ce privește beneficiarii drepturilor de pensie. Această reformă vizează, de asemenea, modernizarea sistemului de pensii prin aplicații și servicii digitale. Reforma sistemului public de pensii își propune să dea curs recomandărilor relevante specifice adresate țării (recomandările specifice 2.2 și 2.3 din 2019) și, în special, să asigure sustenabilitatea fiscală, egalizarea vârstei de pensionare și stabilitatea financiară a pilonului II al sistemului de pensii.</w:t>
      </w:r>
    </w:p>
    <w:p w14:paraId="5DE086BD" w14:textId="77777777" w:rsidR="00500CF9" w:rsidRPr="000A27B3" w:rsidRDefault="00500CF9" w:rsidP="00500CF9">
      <w:pPr>
        <w:numPr>
          <w:ilvl w:val="0"/>
          <w:numId w:val="61"/>
        </w:numPr>
        <w:spacing w:before="120" w:after="120" w:line="240" w:lineRule="auto"/>
        <w:jc w:val="both"/>
        <w:rPr>
          <w:rFonts w:ascii="Times New Roman" w:hAnsi="Times New Roman" w:cs="Times New Roman"/>
          <w:noProof/>
          <w:sz w:val="24"/>
        </w:rPr>
      </w:pPr>
      <w:r>
        <w:rPr>
          <w:rFonts w:ascii="Times New Roman" w:hAnsi="Times New Roman"/>
          <w:noProof/>
          <w:sz w:val="24"/>
        </w:rPr>
        <w:t>Asigurarea unei mai mari eficiențe a cheltuielilor publice, prin sporirea transparenței procesului bugetar, îmbunătățirea sistemului de monitorizare și raportare a programelor bugetare, acordarea de prioritate proiectelor mari de investiții, efectuarea de analize ale cheltuielilor în toate sectoarele publice, consolidarea rolului Consiliului fiscal. Se preconizează că digitalizarea procedurilor bugetare va sprijini atingerea acestor obiective.</w:t>
      </w:r>
    </w:p>
    <w:p w14:paraId="099DF015" w14:textId="77777777" w:rsidR="00500CF9" w:rsidRPr="000A27B3" w:rsidRDefault="00500CF9" w:rsidP="00500CF9">
      <w:pPr>
        <w:numPr>
          <w:ilvl w:val="0"/>
          <w:numId w:val="61"/>
        </w:numPr>
        <w:spacing w:before="120" w:after="120" w:line="240" w:lineRule="auto"/>
        <w:jc w:val="both"/>
        <w:rPr>
          <w:rFonts w:ascii="Times New Roman" w:hAnsi="Times New Roman" w:cs="Times New Roman"/>
          <w:noProof/>
          <w:sz w:val="24"/>
        </w:rPr>
      </w:pPr>
      <w:r>
        <w:rPr>
          <w:rFonts w:ascii="Times New Roman" w:hAnsi="Times New Roman"/>
          <w:noProof/>
          <w:sz w:val="24"/>
        </w:rPr>
        <w:t>Consolidarea capacității instituționale de prognoză a cheltuielilor cu pensiile prin utilizarea de instrumente complexe de modelare economică Principalul scop al reformei este de a dezvolta capacitatea de a estima impactul reformelor structurale ale sistemului de pensii pe termen mediu și lung, prin îmbunătățirea semnificativă a acurateței proiecțiilor efectuate, analizând, astfel, implicațiile asupra sustenabilității sistemului de pensii.</w:t>
      </w:r>
    </w:p>
    <w:p w14:paraId="0B100CEE" w14:textId="77777777" w:rsidR="00500CF9" w:rsidRPr="000A27B3" w:rsidRDefault="00500CF9" w:rsidP="00500CF9">
      <w:pPr>
        <w:numPr>
          <w:ilvl w:val="0"/>
          <w:numId w:val="61"/>
        </w:numPr>
        <w:spacing w:before="120" w:after="120" w:line="240" w:lineRule="auto"/>
        <w:jc w:val="both"/>
        <w:rPr>
          <w:rFonts w:ascii="Times New Roman" w:hAnsi="Times New Roman" w:cs="Times New Roman"/>
          <w:noProof/>
          <w:sz w:val="24"/>
        </w:rPr>
      </w:pPr>
      <w:r>
        <w:rPr>
          <w:rFonts w:ascii="Times New Roman" w:hAnsi="Times New Roman"/>
          <w:noProof/>
          <w:sz w:val="24"/>
        </w:rPr>
        <w:t xml:space="preserve">Consolidarea competitivității, a capacității de inovare, a productivității și a internaționalizării întreprinderilor (în special a IMM-urilor) prin furnizarea de surse alternative de finanțare prin înființarea și operaționalizarea unei bănci naționale de dezvoltare. </w:t>
      </w:r>
    </w:p>
    <w:p w14:paraId="01CCBBE4" w14:textId="068FD5F4"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 </w:t>
      </w:r>
    </w:p>
    <w:p w14:paraId="2650BA80"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H.1. </w:t>
      </w:r>
      <w:r>
        <w:rPr>
          <w:noProof/>
        </w:rPr>
        <w:tab/>
      </w:r>
      <w:r>
        <w:rPr>
          <w:rFonts w:ascii="Times New Roman" w:hAnsi="Times New Roman"/>
          <w:b/>
          <w:noProof/>
          <w:sz w:val="24"/>
        </w:rPr>
        <w:t>Descrierea reformelor și a investițiilor pentru care se prevede acordarea sprijinului financiar nerambursabil</w:t>
      </w:r>
    </w:p>
    <w:p w14:paraId="020F7B7A" w14:textId="77777777" w:rsidR="00500CF9" w:rsidRPr="000A27B3" w:rsidRDefault="00500CF9">
      <w:pPr>
        <w:pStyle w:val="Standard"/>
        <w:spacing w:before="240"/>
        <w:jc w:val="both"/>
        <w:rPr>
          <w:rFonts w:ascii="Times New Roman" w:hAnsi="Times New Roman" w:cs="Times New Roman"/>
          <w:noProof/>
          <w:u w:val="single"/>
        </w:rPr>
      </w:pPr>
      <w:r>
        <w:rPr>
          <w:noProof/>
          <w:u w:val="single"/>
        </w:rPr>
        <w:t>Reforma 1. Reforma Agenției Naționale de Administrare Fiscală (ANAF) prin digitalizare</w:t>
      </w:r>
    </w:p>
    <w:p w14:paraId="27009990"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Această reformă răspunde nevoii urgente de modernizare și digitalizare a ANAF, astfel încât colectarea impozitelor să devină mai eficientă, cu obiectivul de a mări ponderea veniturilor în PIB (cu 2,5 puncte procentuale până în T4 2025 comparativ cu 2019) și de a reduce deficitul de încasare a TVA (cu 5 puncte procentuale până în T2 2026 comparativ cu 2019). Reforma urmărește crearea cadrului procedural propice pentru implementarea și utilizarea managementului integrat de risc la nivelul administrației fiscale, de către toate funcțiile administrației pentru crearea unui sistem de identificare, planificare, evaluare și adaptare a activităților în procesul de administrare fiscală, în funcție de riscurile fiscale identificate (permanent actualizate).</w:t>
      </w:r>
    </w:p>
    <w:p w14:paraId="5D100387"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Mai precis, reforma cuprinde următoarele elemente: </w:t>
      </w:r>
    </w:p>
    <w:p w14:paraId="4A643732"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intrarea în vigoare a cadrului legal pentru înrolarea contribuabililor persoane juridice în SPV (Spațiu Privat Virtual). Acest act modifică Codul de procedură fiscală și introduce obligația persoanelor juridice de a se înregistra în SPV. </w:t>
      </w:r>
    </w:p>
    <w:p w14:paraId="01A65B4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intrarea în vigoare a cadrului juridic care definește criteriile de risc pentru clasificarea contribuabililor printr-un ordin al președintelui ANAF. Acesta este primul pas către operaționalizarea deplină și dezvoltarea unui sistem integrat de management al riscurilor fiscale, inclusiv prin operaționalizarea analizei centralizate a riscurilor și a unui registru electronic centralizat al riscurilor. Definirea criteriilor de risc se face în funcție de principalele categorii de riscuri de nerespectare a obligațiilor fiscale, și anume: riscurile legate de înregistrarea fiscală, de depunerea declarațiilor fiscale, de nivelul declarațiilor și plățile efectuate și luarea în considerare a standardelor internaționale. Noile criterii de risc sunt integrate într-un sistem de administrare fiscală bazată pe riscuri, în care măsurile de administrare fiscală și controalele sunt adaptate în funcție de riscul fiscal al fiecărei categorii de contribuabili. </w:t>
      </w:r>
    </w:p>
    <w:p w14:paraId="660750C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intrarea în vigoare a cadrului juridic modificat în domeniul de activitate al organismelor de inspecție fiscală, care are drept scop consolidarea capacității și a eficacității structurilor de control fiscal în ceea ce privește prevenirea fraudei și a evaziunii fiscale la nivel național și transfrontalier prin identificarea timpurie și punctuală a principalelor riscuri fiscale. O parte din modificările aduse cadrului juridic au fost puse în aplicare în 2020. Acesta stabilește competențele autorităților fiscale (organe de inspecție fiscală, organe de control anti-fraudă și organe responsabile cu verificarea situației fiscale a persoanelor) de a efectua verificări documentare. ANAF va realiza o analiză a cadrului instituțional și juridic al activităților structurilor de control. În lumina concluziilor și a rezultatelor acestei analize, se finalizează revizuirea cadrului juridic al organelor de inspecție fiscală. Această reformă consolidează, de asemenea, cooperarea cu inspectoratele de muncă, precum și cu alte instituții din domeniul protecției sociale și a muncii, în vederea prevenirii și a limitării fenomenului evaziunii fiscale în cazul muncii la gri/la negru.</w:t>
      </w:r>
    </w:p>
    <w:p w14:paraId="41B3F5A2"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reformă va conduce, de asemenea, la conectarea a cel puțin 600 000 de case de marcat la sistemul ANAF, la o creștere a ponderii desk-auditurilor (verificărilor documentare la distanță) în comparație cu cele de la fața locului, precum și la creșterea numărului inspecțiilor fiscale efectuate.</w:t>
      </w:r>
    </w:p>
    <w:p w14:paraId="2FE3246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acestei reforme va fi finalizată până la 30 iunie 2026 și se bazează pe trei investiții.</w:t>
      </w:r>
    </w:p>
    <w:p w14:paraId="37F7D051" w14:textId="77777777" w:rsidR="00500CF9" w:rsidRPr="000A27B3" w:rsidRDefault="00500CF9">
      <w:pPr>
        <w:pStyle w:val="Standard"/>
        <w:spacing w:before="240"/>
        <w:jc w:val="both"/>
        <w:rPr>
          <w:rFonts w:ascii="Times New Roman" w:hAnsi="Times New Roman" w:cs="Times New Roman"/>
          <w:noProof/>
          <w:u w:val="single"/>
        </w:rPr>
      </w:pPr>
      <w:r>
        <w:rPr>
          <w:noProof/>
          <w:u w:val="single"/>
        </w:rPr>
        <w:t>Reforma 2. Modernizarea sistemului vamal și implementarea vămii electronice</w:t>
      </w:r>
    </w:p>
    <w:p w14:paraId="38FF91E9"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îmbunătățește funcționarea Autorității Vamale prin promovarea modificărilor aduse cadrului juridic existent, prin modificarea competențelor și a procedurilor interne și prin investiții în echipamentele necesare pentru activitatea de control pe teritoriul național și la frontiera externă a UE. </w:t>
      </w:r>
    </w:p>
    <w:p w14:paraId="3F8D735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îmbunătăți capacitatea administrativă și operațională a Autorității Vamale și de a promova tranziția activității de vămuire către un mediu complet electronic. Schimbul de informații între operatorii economici și autoritățile vamale, precum și între autoritățile vamale din statele membre se va desfășura exclusiv prin modalități electronice de prelucrare și diseminare a datelor. </w:t>
      </w:r>
    </w:p>
    <w:p w14:paraId="308F507D"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special, se vor întreprinde următoarele acțiuni: </w:t>
      </w:r>
    </w:p>
    <w:p w14:paraId="050F8A81" w14:textId="0F077885"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operaționalizarea Autorității Vamale, </w:t>
      </w:r>
    </w:p>
    <w:p w14:paraId="40412817"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dezvoltarea sistemelor informatice ale autorității vamale în conformitate cu cerințele Codului vamal al Uniunii; </w:t>
      </w:r>
    </w:p>
    <w:p w14:paraId="1EABE12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reorientarea activității de vămuire către mediul electronic și reducerea barierelor birocratice;</w:t>
      </w:r>
    </w:p>
    <w:p w14:paraId="42E99D76"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simplificarea formalităților vamale.</w:t>
      </w:r>
    </w:p>
    <w:p w14:paraId="174AA13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acestei reforme va fi finalizată până la 31 decembrie 2025 și se bazează pe o singură investiție.</w:t>
      </w:r>
    </w:p>
    <w:p w14:paraId="2517A3A8"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Reforma 3. Îmbunătățirea mecanismului de programare bugetară</w:t>
      </w:r>
    </w:p>
    <w:p w14:paraId="16EE345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reformă este pusă în aplicare prin intrarea în vigoare a cadrului de reglementare modificat, care: </w:t>
      </w:r>
    </w:p>
    <w:p w14:paraId="4B5B561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asigură planificarea bugetară multianuală; </w:t>
      </w:r>
    </w:p>
    <w:p w14:paraId="0A033BDA"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eficientizează procesul de stabilire a priorităților de investiții publice;</w:t>
      </w:r>
    </w:p>
    <w:p w14:paraId="391BDF3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introduce analize sistematice ale cheltuielilor, aliniate la ciclul bugetar și cu un plan clar de punere în aplicare a constatărilor în bugetele ulterioare și care sunt supuse unor evaluări </w:t>
      </w:r>
      <w:r>
        <w:rPr>
          <w:rFonts w:ascii="Times New Roman" w:hAnsi="Times New Roman"/>
          <w:i/>
          <w:iCs/>
          <w:noProof/>
          <w:sz w:val="24"/>
          <w:bdr w:val="none" w:sz="0" w:space="0" w:color="auto" w:frame="1"/>
        </w:rPr>
        <w:t>ex post</w:t>
      </w:r>
      <w:r>
        <w:rPr>
          <w:rFonts w:ascii="Times New Roman" w:hAnsi="Times New Roman"/>
          <w:noProof/>
          <w:sz w:val="24"/>
          <w:bdr w:val="none" w:sz="0" w:space="0" w:color="auto" w:frame="1"/>
        </w:rPr>
        <w:t xml:space="preserve"> independente. </w:t>
      </w:r>
    </w:p>
    <w:p w14:paraId="7D4EB2E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Unul dintre obiectivele aceste reforme este de a îmbunătăți mecanismul de programare bugetară și de a moderniza sistemului informatic pentru dezvoltarea și gestionarea bugetului național, prin valorificarea masivă a datelor și informațiilor care reflecte cel mai bine cheltuielile bugetare, la nivel de politici și programe (analiza procedurilor bugetare, eficientizarea timpului de generare a rapoartelor și simplificarea formatului în care sunt generate rapoartele), cu efect asupra:</w:t>
      </w:r>
    </w:p>
    <w:p w14:paraId="4F31CF56"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sporirii transparenței în cadrul procesului bugetar prin publicarea de analize și rapoarte care simplifică procesul de cheltuieli pentru programe specifice.</w:t>
      </w:r>
    </w:p>
    <w:p w14:paraId="44EBEF7B"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îmbunătățirii sistemului de monitorizare și raportare a programelor bugetare.</w:t>
      </w:r>
    </w:p>
    <w:p w14:paraId="2A4F2856"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acestei reforme va fi finalizată până la 30 iunie 2024 și se bazează pe o singură investiție.</w:t>
      </w:r>
    </w:p>
    <w:p w14:paraId="4545D263"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Reforma 4. Revizuirea cadrului fiscal</w:t>
      </w:r>
    </w:p>
    <w:p w14:paraId="22A507E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 revizuire a sistemului fiscal ar trebui să permită României să își consolideze competitivitatea, sprijinind în același timp sustenabilitatea fiscală și obiectivele de mediu. De asemenea, ar trebui să asigure un sistem fiscal mai echitabil, mai eficient, mai simplu și mai transparent, capabil să sprijine mai bine economia și să faciliteze respectarea de către contribuabili a obligațiilor lor fiscale.</w:t>
      </w:r>
    </w:p>
    <w:p w14:paraId="302C8D32"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Revizuirea cuprinzătoare a sistemului fiscal din cadrul planului identifică denaturările și domeniile în care legislația fiscală relevantă ar trebui ajustată, în special în ceea ce privește impozitul pe profit, impozitul pe venit și contribuțiile la asigurările sociale, precum și impozitarea proprietăților, creându-se astfel premisele pentru luarea deciziei de a renunța treptat la stimulentele fiscale excesive. Prin revizuirea cadrului fiscal se urmărește, de asemenea, extinderea impozitării ecologice, inclusiv ca măsură de însoțire pentru componentele de transport durabil și energie.</w:t>
      </w:r>
    </w:p>
    <w:p w14:paraId="3831891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Prin această reformă, legislația fiscală românească este supusă unei analize amănunțite, cu asistența tehnică furnizată de o instituție independentă în special în domeniul impozitelor și contribuțiilor sociale datorate pe veniturile obținute de persoane fizice, al impozitului pe profit (inclusiv în ceea ce privește regimurile speciale care pot face obiectul unor derogări), al impozitului pe proprietate (care sunt impozite locale) și al impozitelor verzi. Această analiză sistematică este urmată de punerea în aplicare a recomandărilor care se impun în urma sa, astfel încât sistemul fiscal să promoveze mai bine creșterea economică durabilă.</w:t>
      </w:r>
    </w:p>
    <w:p w14:paraId="5F63F2BE"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special în ceea ce privește impozitele pe proprietate, reforma abordează posibilitatea arbitrajului între cele două sisteme fiscale aplicabile persoanelor fizice și, respectiv, persoanelor juridice care obțin venituri din bunuri imobile și determină în mod automat valoarea impozabilă a proprietăților supuse impozitului local, renunțând la practica de a utiliza o bază impozabilă care nu este legată de valoarea de piață.</w:t>
      </w:r>
    </w:p>
    <w:p w14:paraId="18644B4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Obiectivele specifice ale acestei reforme sunt următoarele:</w:t>
      </w:r>
    </w:p>
    <w:p w14:paraId="5AA7A32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îmbunătățirea structurii veniturilor fiscale; </w:t>
      </w:r>
    </w:p>
    <w:p w14:paraId="6C29EA66"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creșterea ponderii veniturilor fiscale în PIB cu 0,5 puncte procentuale până în 2025, comparativ cu 2019;</w:t>
      </w:r>
    </w:p>
    <w:p w14:paraId="1F123ADA"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eliminarea distorsiunilor și a lacunelor din sistemul fiscal care le permit contribuabililor să își minimizeze impozitele (subminând astfel caracterul echitabil al sistemului), în special impozitul pe venit și contribuțiile sociale;</w:t>
      </w:r>
    </w:p>
    <w:p w14:paraId="196870F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simplificarea normelor fiscale pentru a facilita conformarea fiscală și administrarea impozitelor, precum și eliminarea scutirilor și a tratamentelor preferențiale;</w:t>
      </w:r>
    </w:p>
    <w:p w14:paraId="56C2C7A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eficientizarea sistemului fiscal și asigurarea unei distribuții mai echitabile a sarcinii fiscale;</w:t>
      </w:r>
    </w:p>
    <w:p w14:paraId="0971A77D"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modificarea impozitului pe proprietate, inclusiv, în special, prin încurajarea impunerii cu titlu gratuit a cotelor de către autoritățile locale în limitele definite la nivel central și prin estimarea bazei de impozitare cât mai aproape posibil de valoarea de piață a proprietății.</w:t>
      </w:r>
    </w:p>
    <w:p w14:paraId="68330FC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acestei reforme va fi finalizată până la 31 martie 2025 și se bazează pe o singură investiție.</w:t>
      </w:r>
    </w:p>
    <w:p w14:paraId="09F0DC99"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Reforma 5. Crearea și operaționalizarea Băncii Naționale de Dezvoltare</w:t>
      </w:r>
    </w:p>
    <w:p w14:paraId="784B9FDD"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va fi operaționalizarea Băncii Naționale de Dezvoltare astfel încât să se poată remedia direct disfuncționalitățile de pe piața financiară, în principal prin finanțarea proiectelor beneficiarilor eligibili care au un profil de risc ridicat, dar și un potențial ridicat de a crea valoare adăugată și locuri de muncă și pentru care sectorul privat manifestă un apetit scăzut de a oferi finanțare. Reforma urmează unui proiect finanțat în cadrul Programului de sprijin pentru reforme structurale. </w:t>
      </w:r>
    </w:p>
    <w:p w14:paraId="0840C9AA"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Banca Națională de Dezvoltare va fi înființată ca o instituție de credit deținută 100 % de stat, care funcționează sub supravegherea Băncii Naționale a României (BNR) și în conformitate cu legislația locală și a UE în vigoare. Banca Națională de Dezvoltare va avea un capital social de 3 miliarde RON (aproximativ 600 de milioane EUR).</w:t>
      </w:r>
    </w:p>
    <w:p w14:paraId="38853349"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Operaționalizarea BND va include, de asemenea, achiziționarea unui sistem informatic, achiziționarea de licențe pentru software și de hardware, precum și servicii IT.</w:t>
      </w:r>
    </w:p>
    <w:p w14:paraId="690D37A8"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Pentru a se asigura conformitatea măsurii cu Orientările tehnice privind aplicarea principiului de „a nu aduce prejudicii semnificative” (2021/C58/01), strategia de investiții și împrumut a Băncii Naționale de Dezvoltare: </w:t>
      </w:r>
    </w:p>
    <w:p w14:paraId="3B1D147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prevedea obligația aplicării Orientărilor tehnice ale Comisiei referitoare la evaluarea sustenabilității Fondului InvestEU și</w:t>
      </w:r>
    </w:p>
    <w:p w14:paraId="65A6799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exclude ca neeligibile următoarele activități și active printr-o listă de excludere: (i) activitățile și activele legate de combustibili fosili, inclusiv utilizarea în aval</w:t>
      </w:r>
      <w:r w:rsidRPr="000A27B3">
        <w:rPr>
          <w:rFonts w:ascii="Times New Roman" w:hAnsi="Times New Roman" w:cs="Times New Roman"/>
          <w:noProof/>
          <w:sz w:val="24"/>
          <w:szCs w:val="24"/>
          <w:bdr w:val="none" w:sz="0" w:space="0" w:color="auto" w:frame="1"/>
          <w:vertAlign w:val="superscript"/>
          <w:lang w:val="en-GB"/>
        </w:rPr>
        <w:footnoteReference w:id="15"/>
      </w:r>
      <w:r>
        <w:rPr>
          <w:rFonts w:ascii="Times New Roman" w:hAnsi="Times New Roman"/>
          <w:noProof/>
          <w:sz w:val="24"/>
          <w:bdr w:val="none" w:sz="0" w:space="0" w:color="auto" w:frame="1"/>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szCs w:val="24"/>
          <w:bdr w:val="none" w:sz="0" w:space="0" w:color="auto" w:frame="1"/>
          <w:vertAlign w:val="superscript"/>
          <w:lang w:val="en-GB"/>
        </w:rPr>
        <w:footnoteReference w:id="16"/>
      </w:r>
      <w:r>
        <w:rPr>
          <w:rFonts w:ascii="Times New Roman" w:hAnsi="Times New Roman"/>
          <w:noProof/>
          <w:sz w:val="24"/>
          <w:bdr w:val="none" w:sz="0" w:space="0" w:color="auto" w:frame="1"/>
        </w:rPr>
        <w:t>; (iii) activitățile și activele legate de depozite de deșeuri, incineratoare</w:t>
      </w:r>
      <w:r w:rsidRPr="000A27B3">
        <w:rPr>
          <w:rFonts w:ascii="Times New Roman" w:hAnsi="Times New Roman" w:cs="Times New Roman"/>
          <w:noProof/>
          <w:sz w:val="24"/>
          <w:szCs w:val="24"/>
          <w:bdr w:val="none" w:sz="0" w:space="0" w:color="auto" w:frame="1"/>
          <w:vertAlign w:val="superscript"/>
          <w:lang w:val="en-GB"/>
        </w:rPr>
        <w:footnoteReference w:id="17"/>
      </w:r>
      <w:r>
        <w:rPr>
          <w:rFonts w:ascii="Times New Roman" w:hAnsi="Times New Roman"/>
          <w:noProof/>
          <w:sz w:val="24"/>
          <w:bdr w:val="none" w:sz="0" w:space="0" w:color="auto" w:frame="1"/>
        </w:rPr>
        <w:t xml:space="preserve"> și instalații de tratare mecano­biologică a deșeurilor</w:t>
      </w:r>
      <w:r w:rsidRPr="000A27B3">
        <w:rPr>
          <w:rFonts w:ascii="Times New Roman" w:hAnsi="Times New Roman" w:cs="Times New Roman"/>
          <w:noProof/>
          <w:sz w:val="24"/>
          <w:szCs w:val="24"/>
          <w:bdr w:val="none" w:sz="0" w:space="0" w:color="auto" w:frame="1"/>
          <w:vertAlign w:val="superscript"/>
          <w:lang w:val="en-GB"/>
        </w:rPr>
        <w:footnoteReference w:id="18"/>
      </w:r>
      <w:r>
        <w:rPr>
          <w:rFonts w:ascii="Times New Roman" w:hAnsi="Times New Roman"/>
          <w:noProof/>
          <w:sz w:val="24"/>
          <w:bdr w:val="none" w:sz="0" w:space="0" w:color="auto" w:frame="1"/>
        </w:rPr>
        <w:t>; și (iv) activitățile și activele în cadrul cărora eliminarea pe termen lung a deșeurilor poate dăuna mediului; și</w:t>
      </w:r>
    </w:p>
    <w:p w14:paraId="3E943CD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impune obligația ca Banca Națională de Dezvoltare să verifice conformitatea cu legislația UE și națională relevantă în domeniul mediului a tuturor tranzacțiilor, inclusiv a celor care nu fac obiectul evaluării sustenabilității; și</w:t>
      </w:r>
    </w:p>
    <w:p w14:paraId="57EF2F3E"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impune obligația ca beneficiarii de sprijin prin capitaluri proprii și de finanțare corporativă generală care obțin peste 50 % din veniturile proprii în cursul exercițiului financiar precedent din activități și/sau active de pe lista de excludere să adopte și să publice planuri privind tranziția verde.</w:t>
      </w:r>
    </w:p>
    <w:p w14:paraId="0DF4324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reformă se bazează pe o investiție și implementarea sa va fi finalizată până la 30 iunie 2026.</w:t>
      </w:r>
    </w:p>
    <w:p w14:paraId="6C394540"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Reforma 6. Reforma sistemului public de pensii</w:t>
      </w:r>
    </w:p>
    <w:p w14:paraId="6C228D53" w14:textId="096E2601"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implică adoptarea unei noi legi privind sistemul public de pensii, în urma acordării de asistență tehnică, lege care va înlocui Legea nr. 127/2019. Noua lege va conține cheltuielile publice totale cu pensiile (inclusiv toate sistemele publice de pensii existente) pe termen mediu spre lung (2024-2070), la un nivel care să asigure sustenabilitatea fiscală a sistemului de pensii. Legea va include un mecanism automat de frânare pentru a asigura îndeplinirea acestui obiectiv.</w:t>
      </w:r>
    </w:p>
    <w:p w14:paraId="0494AAB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Noua legislație:</w:t>
      </w:r>
    </w:p>
    <w:p w14:paraId="5665977A" w14:textId="610A419B"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va introduce o nouă formulă de calcul pentru pensiile noi și pensiile în curs de plată. Parametrii formulei vor fi aleși de așa manieră încât să fie conformi cu obiectivul de a asigura sustenabilitatea finanțelor publice. În plus, aceștia nu trebuie să permită majorări ad-hoc ale nivelului pensiilor, cu excepția cazului în care sunt însoțite de măsuri care compensează impactul bugetar; </w:t>
      </w:r>
    </w:p>
    <w:p w14:paraId="78BE0523" w14:textId="74FC5EE1" w:rsidR="006D5F08" w:rsidRPr="000A27B3" w:rsidRDefault="006D5F08"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introduce o nouă regulă de indexare a pensiilor și un mecanism care să nu permită creșterilor ad-hoc ale pensiilor (adică orice creștere care depășește normele de indexare prevăzute de lege);</w:t>
      </w:r>
    </w:p>
    <w:p w14:paraId="1508AFE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reduce în mod semnificativ posibilitățile de pensionare anticipată, va introduce stimulente pentru prelungirea vieții profesionale și majorarea voluntară a vârstei standard de pensionare până la 70 de ani, în conformitate cu creșterea speranței de viață, și va egaliza vârsta legală de pensionare pentru bărbați și femei la 65 de ani până în 2035;</w:t>
      </w:r>
    </w:p>
    <w:p w14:paraId="0951A3D7"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introduce stimulente pentru amânarea pensionării;</w:t>
      </w:r>
    </w:p>
    <w:p w14:paraId="1C071DF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revizui pensiile speciale pentru a le alinia la principiul contributivității;</w:t>
      </w:r>
    </w:p>
    <w:p w14:paraId="581447D1"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consolida principiul contributivității pe care se bazează sistemul;</w:t>
      </w:r>
    </w:p>
    <w:p w14:paraId="1D140FA5"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spori gradul de adecvare a pensiilor minime și a pensiilor mai mici, în special pentru persoanele aflate sub pragul sărăciei;</w:t>
      </w:r>
    </w:p>
    <w:p w14:paraId="25A8E3F1"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asigura viabilitatea financiară a pilonului II al sistemului de pensii prin sporirea contribuțiilor la acest pilon de pensii.</w:t>
      </w:r>
    </w:p>
    <w:p w14:paraId="43B6EB3C" w14:textId="77777777" w:rsidR="008647A9" w:rsidRPr="000A27B3" w:rsidRDefault="00500CF9">
      <w:pPr>
        <w:spacing w:before="120" w:after="120" w:line="240" w:lineRule="auto"/>
        <w:jc w:val="both"/>
        <w:rPr>
          <w:rFonts w:ascii="Times New Roman" w:hAnsi="Times New Roman"/>
          <w:noProof/>
          <w:sz w:val="24"/>
        </w:rPr>
      </w:pPr>
      <w:r>
        <w:rPr>
          <w:rFonts w:ascii="Times New Roman" w:hAnsi="Times New Roman"/>
          <w:noProof/>
          <w:sz w:val="24"/>
        </w:rPr>
        <w:t xml:space="preserve">Guvernul va solicita asistență tehnică pentru elaborarea proiectului de lege, care face, de asemenea, obiectul consultării cu partenerii sociali. În contextul pregătirii legii, se va efectua o evaluare </w:t>
      </w:r>
      <w:r>
        <w:rPr>
          <w:rFonts w:ascii="Times New Roman" w:hAnsi="Times New Roman"/>
          <w:i/>
          <w:noProof/>
          <w:sz w:val="24"/>
        </w:rPr>
        <w:t>ex ante</w:t>
      </w:r>
      <w:r>
        <w:rPr>
          <w:rFonts w:ascii="Times New Roman" w:hAnsi="Times New Roman"/>
          <w:noProof/>
          <w:sz w:val="24"/>
        </w:rPr>
        <w:t xml:space="preserve"> a impactului noului sistem de pensii, în special asupra sustenabilității fiscale, care va contribui la procesul de reformă. </w:t>
      </w:r>
    </w:p>
    <w:p w14:paraId="7B718798" w14:textId="0520EEDE" w:rsidR="00591F73" w:rsidRPr="000A27B3" w:rsidRDefault="00591F73">
      <w:pPr>
        <w:spacing w:before="120" w:after="120" w:line="240" w:lineRule="auto"/>
        <w:jc w:val="both"/>
        <w:rPr>
          <w:rFonts w:ascii="Times New Roman" w:hAnsi="Times New Roman"/>
          <w:noProof/>
          <w:sz w:val="24"/>
        </w:rPr>
      </w:pPr>
      <w:r>
        <w:rPr>
          <w:rFonts w:ascii="Times New Roman" w:hAnsi="Times New Roman"/>
          <w:noProof/>
          <w:sz w:val="24"/>
        </w:rPr>
        <w:t xml:space="preserve">Se va efectua, de asemenea, o analiză </w:t>
      </w:r>
      <w:r>
        <w:rPr>
          <w:rFonts w:ascii="Times New Roman" w:hAnsi="Times New Roman"/>
          <w:i/>
          <w:iCs/>
          <w:noProof/>
          <w:sz w:val="24"/>
        </w:rPr>
        <w:t>ex post</w:t>
      </w:r>
      <w:r>
        <w:rPr>
          <w:rFonts w:ascii="Times New Roman" w:hAnsi="Times New Roman"/>
          <w:noProof/>
          <w:sz w:val="24"/>
        </w:rPr>
        <w:t xml:space="preserve"> a legislației adoptate de furnizorul de asistență tehnică, care va stabili, după adoptarea reformei de către guvern, proiecții de referință cu privire la cheltuielile totale cu pensiile (ca procent din PIB) și la sustenabilitatea fiscală a sistemului pe termen mediu spre lung (2024-2070). Aceste analize și proiecții vor fi făcute publice.</w:t>
      </w:r>
    </w:p>
    <w:p w14:paraId="5B3D5477" w14:textId="06CBC28D"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Orice modificare a legii care duce la creșterea costului reformei și are ca rezultat o abatere de la proiecțiile de referință menționate mai sus trebuie să fie însoțită de măsuri compensatorii care să mențină conformitatea cheltuielilor cu pensiile cu traiectoria de referință stabilită după adoptarea reformei de către guvern. Recalcularea pensiilor va trebui să fie conformă cu noul cadru juridic și să conțină cheltuielile publice totale cu pensiile la un nivel care să asigure sustenabilitatea fiscală a sistemului de pensii. </w:t>
      </w:r>
    </w:p>
    <w:p w14:paraId="5ADE30BF"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Va fi realizată, de asemenea, o analiză a pensiilor speciale în vederea identificării unor soluții concrete care să vizeze simplificarea pensiilor speciale și corectarea inechităților dintre beneficiarii acestor categorii de pensii și beneficiarii sistemului public de pensii din punct de vedere al aspectului contributivității, luând în considerare și jurisprudența Curții Constituționale. </w:t>
      </w:r>
    </w:p>
    <w:p w14:paraId="1900EF39"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Se are în vedere acordarea de asistență tehnică (prin intermediul unei licitații publice) pentru a realiza o analiză </w:t>
      </w:r>
      <w:r>
        <w:rPr>
          <w:rFonts w:ascii="Times New Roman" w:hAnsi="Times New Roman"/>
          <w:i/>
          <w:noProof/>
          <w:sz w:val="24"/>
        </w:rPr>
        <w:t>ex ante</w:t>
      </w:r>
      <w:r>
        <w:rPr>
          <w:rFonts w:ascii="Times New Roman" w:hAnsi="Times New Roman"/>
          <w:noProof/>
          <w:sz w:val="24"/>
        </w:rPr>
        <w:t xml:space="preserve"> a reformei sistemului de pensii, pentru a elabora legislația care va sta la baza reformei și pentru a realiza o analiză </w:t>
      </w:r>
      <w:r>
        <w:rPr>
          <w:rFonts w:ascii="Times New Roman" w:hAnsi="Times New Roman"/>
          <w:i/>
          <w:noProof/>
          <w:sz w:val="24"/>
        </w:rPr>
        <w:t>ex post</w:t>
      </w:r>
      <w:r>
        <w:rPr>
          <w:rFonts w:ascii="Times New Roman" w:hAnsi="Times New Roman"/>
          <w:noProof/>
          <w:sz w:val="24"/>
        </w:rPr>
        <w:t xml:space="preserve"> și o evaluare a impactului. </w:t>
      </w:r>
    </w:p>
    <w:p w14:paraId="53E61D6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martie 2023.</w:t>
      </w:r>
    </w:p>
    <w:p w14:paraId="3E0294AB"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Investiția 1. Creșterea conformării voluntare a contribuabililor prin dezvoltarea serviciilor digitale</w:t>
      </w:r>
    </w:p>
    <w:p w14:paraId="040E29F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Obiectivele acestei investiții sunt următoarele:</w:t>
      </w:r>
    </w:p>
    <w:p w14:paraId="2E6C5A92" w14:textId="12EFF5EA"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reducerea interacțiunii în persoană cu contribuabilii ca urmare a extinderii serviciilor digitale și a oferirii de servicii contribuabililor la sediile unităților fiscale cu prioritate în sistem self-service; asigurarea incluziunii digitale a contribuabililor; </w:t>
      </w:r>
    </w:p>
    <w:p w14:paraId="0DDB6038" w14:textId="425C2143"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dezvoltarea serviciilor la distanță (electronice sau telefonice) actuale, prin noi funcționalități și/sau crearea de servicii noi; </w:t>
      </w:r>
    </w:p>
    <w:p w14:paraId="3406FB44" w14:textId="67B3EB5C"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simplificarea formularelor, transpunerea în format electronic a acestora și introducerea formularelor pre-completate/eliminarea obligațiilor de raportare, acolo unde este posibil; </w:t>
      </w:r>
    </w:p>
    <w:p w14:paraId="0AE23F0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îmbunătățirea comunicării cu contribuabilii și introducerea unui mecanism de consiliere privind serviciile oferite contribuabililor, care să permită implicarea anumitor categorii de contribuabili din momentul creării noilor servicii, astfel încât nevoile, așteptările, posibilitățile și competențele contribuabililor să fie cunoscute încă din faza de concepere și proiectare. </w:t>
      </w:r>
    </w:p>
    <w:p w14:paraId="249831B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cuprinde următoarele acțiuni:</w:t>
      </w:r>
    </w:p>
    <w:p w14:paraId="2BE0D21E"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reproiectarea și optimizarea sistemului informatic - VIES_RO (Value Added Tax Information Exchange Sistem);</w:t>
      </w:r>
    </w:p>
    <w:p w14:paraId="6AE9A03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sistemului informatic One Stop Shop (OSS_RO) conform cerințelor intracomunitare, naționale și vamale specifice;</w:t>
      </w:r>
    </w:p>
    <w:p w14:paraId="1FB342BB"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dezvoltarea de centre de apel;</w:t>
      </w:r>
    </w:p>
    <w:p w14:paraId="3B13CBFD"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dezvoltarea serviciilor la distanță (electronice sau telefonice) actuale, prin noi funcționalități și/sau crearea de servicii noi;</w:t>
      </w:r>
    </w:p>
    <w:p w14:paraId="01856A67"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facilităților de interacțiune cu contribuabilii la sediul unităților fiscale;</w:t>
      </w:r>
    </w:p>
    <w:p w14:paraId="764F9B7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unei suite de soluții pentru cunoașterea contribuabililor/clienților;</w:t>
      </w:r>
    </w:p>
    <w:p w14:paraId="670B8728"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crearea unei platforme de licitații online pentru evaluarea bunurilor imobile și a celor mobile de valoare semnificativă.</w:t>
      </w:r>
    </w:p>
    <w:p w14:paraId="404D02FE" w14:textId="77777777" w:rsidR="00500CF9" w:rsidRPr="000A27B3" w:rsidRDefault="00500CF9">
      <w:pPr>
        <w:pBdr>
          <w:top w:val="nil"/>
          <w:left w:val="nil"/>
          <w:bottom w:val="nil"/>
          <w:right w:val="nil"/>
          <w:between w:val="nil"/>
        </w:pBdr>
        <w:ind w:left="360"/>
        <w:jc w:val="both"/>
        <w:rPr>
          <w:rFonts w:ascii="Times New Roman" w:eastAsia="Calibri" w:hAnsi="Times New Roman" w:cs="Times New Roman"/>
          <w:noProof/>
          <w:sz w:val="24"/>
          <w:szCs w:val="24"/>
        </w:rPr>
      </w:pPr>
      <w:r>
        <w:rPr>
          <w:rFonts w:ascii="Times New Roman" w:hAnsi="Times New Roman"/>
          <w:noProof/>
          <w:sz w:val="24"/>
        </w:rPr>
        <w:t>Se prevede contractarea de servicii de asistență tehnică în vederea pregătirii și a finalizării documentației de achiziție, care urmează să se realizeze în cadrul proiectelor și pentru implementarea lor.</w:t>
      </w:r>
    </w:p>
    <w:p w14:paraId="65788E9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2024.</w:t>
      </w:r>
    </w:p>
    <w:p w14:paraId="5D03C352"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Investiția 2. Îmbunătățirea proceselor de administrare a impozitelor și taxelor, inclusiv prin implementarea managementului integrat al riscurilor</w:t>
      </w:r>
    </w:p>
    <w:p w14:paraId="74691A0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Obiectivele acestei investiții sunt următoarele:</w:t>
      </w:r>
    </w:p>
    <w:p w14:paraId="7F182DF8"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deplina operaționalizare și dezvoltare a sistemului de management integrat al riscurilor fiscale, inclusiv prin operaționalizarea analizei de risc centralizate și a registrului de riscuri; </w:t>
      </w:r>
    </w:p>
    <w:p w14:paraId="5DA8828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identificarea și reducerea neconformării fiscale și a decalajelor fiscale prin utilizarea inteligentă a datelor și informațiilor pentru identificarea domeniilor care comportă un risc fiscal ridicat (inclusiv, în domeniul muncii nedeclarate/subdeclarate);</w:t>
      </w:r>
    </w:p>
    <w:p w14:paraId="24A50DA7"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introducerea de programe de conformare voluntară; </w:t>
      </w:r>
    </w:p>
    <w:p w14:paraId="6B097C82"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adoptarea unei abordări bazate pe risc în administrarea marilor contribuabili, inclusiv din perspectiva tratării schemelor de optimizare fiscală; </w:t>
      </w:r>
    </w:p>
    <w:p w14:paraId="65FA73F2"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consolidarea capacității instituționale a structurilor de control fiscal în vederea prevenirii fenomenelor de fraudă fiscală și evaziune fiscală națională și transfrontalieră prin identificarea timpurie și țintită a riscurilor fiscale majore; </w:t>
      </w:r>
    </w:p>
    <w:p w14:paraId="543EFA55"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reorganizarea resurselor umane în contextul digitalizării progresive a proceselor de activitate.</w:t>
      </w:r>
    </w:p>
    <w:p w14:paraId="0F166C8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investiția va avea un impact asupra creșterii nivelului de respectare a obligațiilor fiscale, asigurând un mediu de piață competitiv prin reducerea evitării obligațiilor fiscale și a evaziunii fiscale, precum și asupra obținerii veniturilor bugetare planificate printr-o mai mare eficiență a colectării.</w:t>
      </w:r>
    </w:p>
    <w:p w14:paraId="6A4EC5EB" w14:textId="2A62AB2F"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constă în următoarele acțiuni:</w:t>
      </w:r>
    </w:p>
    <w:p w14:paraId="6B0BB5C4" w14:textId="264DF2C2"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rPr>
        <w:t>centralizarea sistemului de gestionare a contribuabililor;</w:t>
      </w:r>
    </w:p>
    <w:p w14:paraId="3B49018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unei platforme pentru valorificarea de date și informații;</w:t>
      </w:r>
    </w:p>
    <w:p w14:paraId="7ACCBCC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sistemului de facturare electronică;</w:t>
      </w:r>
    </w:p>
    <w:p w14:paraId="1B743B7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sistemului electronic de marcare fiscală;</w:t>
      </w:r>
    </w:p>
    <w:p w14:paraId="55197422"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îmbunătățirea și extinderea platformei utilizate pentru schimbul internațional de informații;</w:t>
      </w:r>
    </w:p>
    <w:p w14:paraId="4C890F86"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centralizarea sistemului informatic al Trezoreriei statului (TREZOR).</w:t>
      </w:r>
    </w:p>
    <w:p w14:paraId="412552FC"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rPr>
        <w:t>Implementarea investiției va fi finalizată până la 31 decembrie 2025.</w:t>
      </w:r>
    </w:p>
    <w:p w14:paraId="4FED5614" w14:textId="77777777" w:rsidR="00500CF9" w:rsidRPr="000A27B3" w:rsidRDefault="00500CF9">
      <w:pPr>
        <w:spacing w:before="120" w:after="120" w:line="240" w:lineRule="auto"/>
        <w:jc w:val="both"/>
        <w:rPr>
          <w:rFonts w:ascii="Liberation Serif" w:eastAsia="NSimSun" w:hAnsi="Liberation Serif" w:cs="Arial"/>
          <w:noProof/>
          <w:kern w:val="3"/>
          <w:sz w:val="24"/>
          <w:szCs w:val="24"/>
          <w:u w:val="single"/>
        </w:rPr>
      </w:pPr>
      <w:r>
        <w:rPr>
          <w:rFonts w:ascii="Liberation Serif" w:hAnsi="Liberation Serif"/>
          <w:noProof/>
          <w:sz w:val="24"/>
          <w:u w:val="single"/>
        </w:rPr>
        <w:t>Investiția 3. Asigurarea capacității de răspuns la provocările informaționale actuale și viitoare, inclusiv în contextul pandemiei, prin transformarea digitală a Ministerului de Finanțe / Agenției Naționale de Administrare Fiscală</w:t>
      </w:r>
    </w:p>
    <w:p w14:paraId="5F0C1082"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Obiectivele acestei investiții sunt următoarele:</w:t>
      </w:r>
    </w:p>
    <w:p w14:paraId="6CE243D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implementarea unui hub financiar care să colecteze, să gestioneze și să pună la dispoziția tuturor părților interesate informații fiabile, validate și actuale de natură financiară sau în legătură cu banii publici; </w:t>
      </w:r>
    </w:p>
    <w:p w14:paraId="3F5239B2"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asigurarea interoperabilității sistemelor informatice atât la nivelul Ministerului de Finanțe (MF) și al Agenției Naționale de Administrare Fiscală (ANAF), cât și cu cele ale altor instituții;</w:t>
      </w:r>
    </w:p>
    <w:p w14:paraId="507C355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standardizarea aplicațiilor și gestionarea uniformă a datelor;</w:t>
      </w:r>
    </w:p>
    <w:p w14:paraId="4817E02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managementul securității cibernetice și reziliența datelor, inclusiv partajarea de date în timp real în condiții de securitate și cu date exacte/actualizate;</w:t>
      </w:r>
    </w:p>
    <w:p w14:paraId="56FE972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modernizarea și adaptarea Centrului Național pentru Informații Financiare (CNIF) la noile cerințe, transformarea digitală internă, inclusiv dematerializarea fluxurilor de lucru interne la nivelul MF/ANAF, asigurând flexibilitatea programului și a responsabilităților, creșterea nivelului de competențe, inclusiv a competențelor digitale ale angajaților;</w:t>
      </w:r>
    </w:p>
    <w:p w14:paraId="7FF87C7D"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modernizarea tehnologică a întregului sistem informatic al Ministerului de Finanțe/ANAF, care va fi implementată prin transferarea infrastructurii hardware și software către noile tehnologii, mărirea numărului de echipamente IT utilizate în administrație, legate de procese automatizate și dezvoltarea infrastructurii de sprijin necesare pentru susținerea dezvoltării tehnologice continue la nivelul centrelor de date ale Ministerului Finanțelor.</w:t>
      </w:r>
    </w:p>
    <w:p w14:paraId="7ACCCDC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constă în următoarele acțiuni:</w:t>
      </w:r>
    </w:p>
    <w:p w14:paraId="1DFE592E"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modernizarea infrastructurii hardware-software și de comunicații a sistemului IT;</w:t>
      </w:r>
    </w:p>
    <w:p w14:paraId="41AFFB2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consolidarea securității cibernetice a sistemului informatic al Ministerului de Finanțe;</w:t>
      </w:r>
    </w:p>
    <w:p w14:paraId="1741C40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implementarea/modernizarea infrastructurii fizice suport (alimentare electrică, climatizare, alarme și stingere incendiu, securitate fizică, administrare și monitorizare) din principalul centru de date existent</w:t>
      </w:r>
    </w:p>
    <w:p w14:paraId="510B273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transformarea digitală internă, inclusiv modernizarea Centrului național pentru informații financiare (CNIF), printre care digitalizarea monitorizării proiectelor de parteneriat public-privat/de concesiune și a gestionării riscurilor fiscale aferente și a sistemului de informații privind patrimoniul public și privat al statului – Patrim.</w:t>
      </w:r>
    </w:p>
    <w:p w14:paraId="33ECA341"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2023.</w:t>
      </w:r>
    </w:p>
    <w:p w14:paraId="183FBD85" w14:textId="77777777" w:rsidR="00500CF9" w:rsidRPr="000A27B3" w:rsidRDefault="00500CF9">
      <w:pPr>
        <w:spacing w:before="120" w:after="120" w:line="240" w:lineRule="auto"/>
        <w:ind w:left="5760" w:hanging="5760"/>
        <w:jc w:val="both"/>
        <w:rPr>
          <w:rFonts w:ascii="Times New Roman" w:hAnsi="Times New Roman" w:cs="Times New Roman"/>
          <w:noProof/>
          <w:sz w:val="24"/>
          <w:u w:val="single"/>
        </w:rPr>
      </w:pPr>
      <w:r>
        <w:rPr>
          <w:rFonts w:ascii="Times New Roman" w:hAnsi="Times New Roman"/>
          <w:noProof/>
          <w:sz w:val="24"/>
          <w:u w:val="single"/>
        </w:rPr>
        <w:t xml:space="preserve">Investiția 4. Implementarea vămii electronice </w:t>
      </w:r>
    </w:p>
    <w:p w14:paraId="6056670A"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Pentru a moderniza sistemul vamal și a implementa sistemul vamal electronic, guvernul investește în:</w:t>
      </w:r>
    </w:p>
    <w:p w14:paraId="6DBBCEA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operaționalizarea Autorității Vamale; </w:t>
      </w:r>
    </w:p>
    <w:p w14:paraId="58F4160A"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dotarea cu scannere a birourilor vamale de frontieră;</w:t>
      </w:r>
    </w:p>
    <w:p w14:paraId="26FE662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infrastructură hardware și software pentru creșterea capacității de procesare și stocare pentru aplicațiile DG TAXUD; </w:t>
      </w:r>
    </w:p>
    <w:p w14:paraId="08A1F54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modernizarea și acordarea de licențe pentru infrastructura virtualizată și implementarea unei platforme de virtualizare care să includă partea de administrare și automatizare; </w:t>
      </w:r>
    </w:p>
    <w:p w14:paraId="484BA27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soluția de securitate pentru infrastructura IT a Sistemului Informatic Integrat Vamal, inclusiv servicii de suport, licențe și subscripții;</w:t>
      </w:r>
    </w:p>
    <w:p w14:paraId="18A3E0B5"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licențe pentru bazele de date necesare funcționării componentelor Sistemului Informatic Integrat Vamal;</w:t>
      </w:r>
    </w:p>
    <w:p w14:paraId="61F04BCE"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soluții pentru administrarea centralizată a utilizatorilor, stații de lucru și servicii de actualizare pentru sistemele de operare ale Sistemului Informatic Integrat Vamal;</w:t>
      </w:r>
    </w:p>
    <w:p w14:paraId="5A9905AF" w14:textId="2912D362"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implementarea sistemului IT privind Declarația vamală cu un set redus de date pentru trimiterile cu valoare scăzută, ca urmare a intrării în vigoare de la 1 iulie 2021 a noilor prevederi legislative de implementare a „pachetului TVA privind comerțul electronic”, cu scopul facilitării comerțului transfrontalier și combaterii fraudei TVA; </w:t>
      </w:r>
    </w:p>
    <w:p w14:paraId="3B7C0156"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sistemul ICS2 – fazele 1, 2 și 3;</w:t>
      </w:r>
    </w:p>
    <w:p w14:paraId="1F4C164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implementarea NCTS_RO faza 5 și AES_RO;</w:t>
      </w:r>
    </w:p>
    <w:p w14:paraId="44FECFE5"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alinierea sistemului EMCS_RO la EMCS faza 4;</w:t>
      </w:r>
    </w:p>
    <w:p w14:paraId="7E7A6FE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modernizarea Sistemului național de import în cadrul Codului vamal al Uniunii;</w:t>
      </w:r>
    </w:p>
    <w:p w14:paraId="3F092519"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gestionarea uniformă a utilizatorilor și semnătura digitală UUM&amp;DS;</w:t>
      </w:r>
    </w:p>
    <w:p w14:paraId="5CE11216"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sistemul de monitorizare a activității de supraveghere si control vamal</w:t>
      </w:r>
    </w:p>
    <w:p w14:paraId="417FC64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aplicația de autorizare și gestionare a activităților din Zona liberă;</w:t>
      </w:r>
    </w:p>
    <w:p w14:paraId="5DE7A94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aplicația pentru gestionarea deciziilor naționale (autorizațiilor)</w:t>
      </w:r>
    </w:p>
    <w:p w14:paraId="1B54F35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25070F9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u w:val="single"/>
        </w:rPr>
        <w:t>Investiția 5. Îmbunătățirea mecanismului de programare bugetară</w:t>
      </w:r>
    </w:p>
    <w:p w14:paraId="1AEDF14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de a evalua, actualiza și moderniza sistemul informatic (BUGET_NG) privind dezvoltarea și gestionarea bugetului național prin valorificarea masivă de date și informații ce reflectă cel mai bine cheltuielile bugetare. Investiția va reduce timpul de generare a rapoartelor și va optimiza formatul în care sunt generate rapoartele. Acest lucru va spori transparența în cadrul procesului bugetar prin publicarea de analize și rapoarte care simplifică procesul de cheltuieli pentru programe specifice. Investiția va îmbunătăți, de asemenea, sistemul de monitorizare și raportare a programelor bugetare.</w:t>
      </w:r>
    </w:p>
    <w:p w14:paraId="354E9121"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rPr>
        <w:t>Implementarea investiției va fi finalizată până la 31 decembrie 2023.</w:t>
      </w:r>
    </w:p>
    <w:p w14:paraId="22227263"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u w:val="single"/>
        </w:rPr>
        <w:t>Investiția 6. Instrument de modelare economică (set de instrumente de simulare privind opțiunile de reformă a pensiilor) pentru îmbunătățirea capacității instituționale de a prognoza cheltuielile cu pensiile</w:t>
      </w:r>
    </w:p>
    <w:p w14:paraId="1E8AF9D0"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vizează dezvoltarea capacității de a estima impactul reformelor structurale ale sistemului de pensii pe termen mediu și lung, prin îmbunătățirea semnificativă a proiecțiilor realizate și analiza sustenabilității sistemului de pensii. În special, scopul acestei investiții este de a optimiza funcționarea modelului, dezvoltarea și consolidarea capacității de utilizare a acestuia, de a analiza rezultatele obținute și de a pregăti informațiile furnizate Comisiei Europene. Pentru implementarea acestei măsuri, este necesar ca Ministerul Finanțelor să își extindă echipa utilizând modelul de la 1 la 8 experți (personal deja existent) și asistență tehnică pentru actualizarea/dezvoltarea modelului, formarea personalului cu privire la utilizarea instrumentului și îmbunătățirea transmiterii informațiilor către Comisia Europeană și Eurostat.</w:t>
      </w:r>
    </w:p>
    <w:p w14:paraId="549E5CB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include asistență tehnică din partea Băncii Mondiale pentru:</w:t>
      </w:r>
    </w:p>
    <w:p w14:paraId="5A58464D"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actualizarea/dezvoltarea modelului Pension Reform Options Simulation Toolkit conform specificului sistemului de pensii din România;</w:t>
      </w:r>
    </w:p>
    <w:p w14:paraId="078DE60C"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personalizarea modelului astfel încât să genereze rezultate compatibile cu Raportul privind îmbătrânirea populației și cu calculul ADL solicitat în mod regulat de Comisia Europeană;</w:t>
      </w:r>
    </w:p>
    <w:p w14:paraId="69BF0750"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organizarea de sesiuni/ateliere de formare;</w:t>
      </w:r>
    </w:p>
    <w:p w14:paraId="608887AA"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realizarea/interpretarea impactului </w:t>
      </w:r>
      <w:r>
        <w:rPr>
          <w:rFonts w:ascii="Times New Roman" w:hAnsi="Times New Roman"/>
          <w:i/>
          <w:noProof/>
          <w:sz w:val="24"/>
          <w:bdr w:val="none" w:sz="0" w:space="0" w:color="auto" w:frame="1"/>
        </w:rPr>
        <w:t>ex ante</w:t>
      </w:r>
      <w:r>
        <w:rPr>
          <w:rFonts w:ascii="Times New Roman" w:hAnsi="Times New Roman"/>
          <w:noProof/>
          <w:sz w:val="24"/>
          <w:bdr w:val="none" w:sz="0" w:space="0" w:color="auto" w:frame="1"/>
        </w:rPr>
        <w:t xml:space="preserve"> al reformelor sistemului de pensii;</w:t>
      </w:r>
    </w:p>
    <w:p w14:paraId="70C96B68"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elaborarea de rapoarte analitice, inclusiv propuneri de îmbunătățire a sustenabilității sistemului de pensii.</w:t>
      </w:r>
    </w:p>
    <w:p w14:paraId="7A2A6F23"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2023.</w:t>
      </w:r>
    </w:p>
    <w:p w14:paraId="48F68361"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 xml:space="preserve">Investiția 7. Asistență tehnică pentru revizuirea cadrului fiscal </w:t>
      </w:r>
    </w:p>
    <w:p w14:paraId="341B0F3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Printre obiectivele revizuiri principiilor impozitului pe proprietate se numără, printre altele, evaluarea automată a proprietăților supuse impozitului local în scopuri fiscale. Această măsură este pusă în aplicare cu sprijinul unui serviciu de consultanță (asistență tehnică necesară pentru elaborarea termenilor de referință ai consultanței care va dezvolta instrumentul informatic) prin crearea unui sistem informatic de automatizare a evaluării bunurilor imobile în scopul stabilirii bazei de impozitare pe baza informațiilor disponibile în sistemele altor instituții (de exemplu, Agenția de Cadastru și Carte Funciară, autoritățile locale), precum și a informațiilor publice (de exemplu, anunțuri imobiliare, cataloage utilizate de agențiile de evaluare, date statistice).</w:t>
      </w:r>
    </w:p>
    <w:p w14:paraId="0D233E79"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rPr>
        <w:t>Implementarea investiției va fi finalizată până la 31 decembrie 2025.</w:t>
      </w:r>
    </w:p>
    <w:p w14:paraId="1C204FBF"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Investiția 8. Operaționalizarea Băncii Naționale de Dezvoltare</w:t>
      </w:r>
    </w:p>
    <w:p w14:paraId="1EA0172C"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Realizarea obiectivelor reformei aferente necesită investiții în achiziționarea de software (licențe) și hardware (laptopuri), servicii IT pentru personalul estimat inițial la aproximativ 165 de persoane, formarea personalului Băncii Naționale de Dezvoltare în vederea desfășurării operațiunilor și a personalului Ministerului Finanțelor implicat în evaluarea activității și a performanței băncii.</w:t>
      </w:r>
    </w:p>
    <w:p w14:paraId="7EA5C31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Formarea personalului Băncii Naționale de Dezvoltare vizează îmbunătățirea cunoștințelor, a competențelor profesionale și formarea competențelor tehnice ale personalului în vederea dezvoltării de 3 noi produse financiare din următoarele categorii: datorii, garanții și capitaluri proprii. Consultantul va propune structura/concepția produselor, proiecte de acorduri/contracte cu beneficiarii, va identifica beneficiarii vizați, canalele de distribuție, procedura, politicile, planul de comunicare și orientările pentru noile produse. Personalul din minister va fi format pentru a dezvolta competențele necesare pentru analizarea, monitorizarea și evaluarea performanței băncii de dezvoltare.</w:t>
      </w:r>
    </w:p>
    <w:p w14:paraId="3839DD23"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Implementarea investiției va fi finalizată până la 31 decembrie 2024. </w:t>
      </w:r>
    </w:p>
    <w:p w14:paraId="1EE55FC2"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Investiția 9. Susținerea procesului de evaluare a dosarelor de pensii aflate în plată</w:t>
      </w:r>
    </w:p>
    <w:p w14:paraId="6097595C"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sprijini digitalizarea celor aproximativ 5 milioane de dosare de pensii aflate în prezent în arhive și formate diferite într-o bază de date unică. Fișierele digitale vor fi utilizate pentru a evalua dosarele de pensii existente și pentru a lua în considerare recalcularea anumitor pensii pe baza noii legislații. Noua bază de date este utilizată, de asemenea, pentru furnizarea de servicii digitale cetățenilor, întreprinderilor și instituțiilor de stat, precum și pentru evaluarea politicilor relevante.</w:t>
      </w:r>
    </w:p>
    <w:p w14:paraId="294C0DFE"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este sprijinită prin achiziționarea de echipamente informatice și neinformatice și prin angajarea de personal temporar pentru o perioadă de maximum 18 luni pentru a lucra la colectarea și prelucrarea datelor.</w:t>
      </w:r>
    </w:p>
    <w:p w14:paraId="65C18E81"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rPr>
        <w:t>Implementarea investiției va fi finalizată până la 31 decembrie 2023.</w:t>
      </w:r>
    </w:p>
    <w:p w14:paraId="4D84E4C5" w14:textId="77777777" w:rsidR="00500CF9" w:rsidRPr="000A27B3" w:rsidRDefault="00500CF9">
      <w:pPr>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Investiția 10. Eficiență operațională și servicii electronice avansate pentru sistemul național de pensii prin digitalizare</w:t>
      </w:r>
    </w:p>
    <w:p w14:paraId="7E4947B5"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de a crea și a moderniza sistemele și platformele electronice ale Casei Naționale de Pensii Publice (CNPP), care este agenția națională publică în domeniul pensiilor. Aceste sisteme vor permite digitalizarea internă a autorității și furnizarea de servicii publice personalizate actorilor externi (cetățeni, instituții, guvern) pe baza identității digitale și a accesului de la distanță. De asemenea, sistemul va sprijini procesul decizional al guvernului prin implementarea unor sisteme și soluții complexe pentru analiza datelor istorice și va asigura interoperabilitatea și securitatea cibernetică. Această investiție va permite, de asemenea, îmbunătățirea competențelor digitale ale personalului CNPP.</w:t>
      </w:r>
    </w:p>
    <w:p w14:paraId="5C50EB68"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se realizează prin derularea de proceduri de achiziții publice pentru contractarea serviciilor de rescriere și reautorizare a sistemelor Orizont, DIAFIX și Domino, pentru a sprijini reformele legislative, furnizarea infrastructurii hardware pentru clienți (PC-uri, rețea multifuncțională), componenta de comunicații și securitate la nivelul caselor teritoriale de pensii (CTP) și la nivel central, dezvoltarea serviciilor de tip „Spațiu privat virtual CNPP pentru fiecare cetățean”.</w:t>
      </w:r>
    </w:p>
    <w:p w14:paraId="2763C9FA"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Pentru a asigura interoperabilitatea, investițiile vor include dezvoltarea unor mecanisme moderne și sigure pentru interconectarea sistemelor informatice prin tehnologii de tip registrul registrelor, hub de interoperabilitate, arhitectură bazată pe servicii pentru schimbul de date.</w:t>
      </w:r>
    </w:p>
    <w:p w14:paraId="3A484374"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31 decembrie 2024.</w:t>
      </w:r>
    </w:p>
    <w:p w14:paraId="0150857F" w14:textId="77777777" w:rsidR="00500CF9" w:rsidRPr="009F1DC7" w:rsidRDefault="00500CF9">
      <w:pPr>
        <w:spacing w:before="120" w:after="120" w:line="240" w:lineRule="auto"/>
        <w:jc w:val="both"/>
        <w:rPr>
          <w:rFonts w:ascii="Times New Roman" w:hAnsi="Times New Roman" w:cs="Times New Roman"/>
          <w:noProof/>
          <w:sz w:val="24"/>
          <w:szCs w:val="24"/>
          <w:lang w:val="fr-FR"/>
        </w:rPr>
        <w:sectPr w:rsidR="00500CF9" w:rsidRPr="009F1DC7" w:rsidSect="00ED6412">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p w14:paraId="091E1023" w14:textId="77777777" w:rsidR="00500CF9" w:rsidRPr="000A27B3" w:rsidRDefault="00500CF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H.2. </w:t>
      </w:r>
      <w:r>
        <w:rPr>
          <w:noProof/>
        </w:rPr>
        <w:tab/>
      </w:r>
      <w:r>
        <w:rPr>
          <w:rFonts w:ascii="Times New Roman" w:hAnsi="Times New Roman"/>
          <w:b/>
          <w:noProof/>
          <w:sz w:val="24"/>
        </w:rPr>
        <w:t>Jaloane, ținte, indicatori și calendarul de monitorizare și implementare aplicabile sprijinului financiar nerambursabil</w:t>
      </w:r>
    </w:p>
    <w:tbl>
      <w:tblPr>
        <w:tblW w:w="15730" w:type="dxa"/>
        <w:jc w:val="center"/>
        <w:tblLayout w:type="fixed"/>
        <w:tblLook w:val="04A0" w:firstRow="1" w:lastRow="0" w:firstColumn="1" w:lastColumn="0" w:noHBand="0" w:noVBand="1"/>
      </w:tblPr>
      <w:tblGrid>
        <w:gridCol w:w="842"/>
        <w:gridCol w:w="1833"/>
        <w:gridCol w:w="1268"/>
        <w:gridCol w:w="1541"/>
        <w:gridCol w:w="11"/>
        <w:gridCol w:w="1700"/>
        <w:gridCol w:w="1062"/>
        <w:gridCol w:w="1129"/>
        <w:gridCol w:w="1269"/>
        <w:gridCol w:w="1340"/>
        <w:gridCol w:w="720"/>
        <w:gridCol w:w="3015"/>
      </w:tblGrid>
      <w:tr w:rsidR="000A27B3" w:rsidRPr="000A27B3" w14:paraId="0882CF0C" w14:textId="77777777" w:rsidTr="00B2280C">
        <w:trPr>
          <w:trHeight w:val="567"/>
          <w:tblHeader/>
          <w:jc w:val="center"/>
        </w:trPr>
        <w:tc>
          <w:tcPr>
            <w:tcW w:w="8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DCEA1"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83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6CCD981"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C1184E" w14:textId="7C311DA6"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ED2A55">
              <w:rPr>
                <w:rFonts w:ascii="Times New Roman" w:hAnsi="Times New Roman"/>
                <w:b/>
                <w:noProof/>
                <w:sz w:val="24"/>
              </w:rPr>
              <w:br/>
            </w:r>
            <w:r>
              <w:rPr>
                <w:rFonts w:ascii="Times New Roman" w:hAnsi="Times New Roman"/>
                <w:b/>
                <w:noProof/>
                <w:sz w:val="24"/>
              </w:rPr>
              <w:t>țintă</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CE5E80"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711" w:type="dxa"/>
            <w:gridSpan w:val="2"/>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D0C1923" w14:textId="1874253B"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46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42D15E0" w14:textId="0C81A381"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60" w:type="dxa"/>
            <w:gridSpan w:val="2"/>
            <w:tcBorders>
              <w:top w:val="single" w:sz="4" w:space="0" w:color="auto"/>
              <w:left w:val="nil"/>
              <w:bottom w:val="single" w:sz="4" w:space="0" w:color="auto"/>
              <w:right w:val="single" w:sz="4" w:space="0" w:color="auto"/>
            </w:tcBorders>
            <w:shd w:val="clear" w:color="auto" w:fill="BDD7EE"/>
            <w:vAlign w:val="center"/>
            <w:hideMark/>
          </w:tcPr>
          <w:p w14:paraId="00AD1B21" w14:textId="12161DA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ED2A55">
              <w:rPr>
                <w:rFonts w:ascii="Times New Roman" w:hAnsi="Times New Roman"/>
                <w:b/>
                <w:noProof/>
                <w:sz w:val="24"/>
              </w:rPr>
              <w:br/>
            </w:r>
            <w:r>
              <w:rPr>
                <w:rFonts w:ascii="Times New Roman" w:hAnsi="Times New Roman"/>
                <w:b/>
                <w:noProof/>
                <w:sz w:val="24"/>
              </w:rPr>
              <w:t>țintelor</w:t>
            </w:r>
          </w:p>
        </w:tc>
        <w:tc>
          <w:tcPr>
            <w:tcW w:w="301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67212"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675311B0" w14:textId="77777777" w:rsidTr="00B2280C">
        <w:trPr>
          <w:trHeight w:val="567"/>
          <w:tblHeader/>
          <w:jc w:val="center"/>
        </w:trPr>
        <w:tc>
          <w:tcPr>
            <w:tcW w:w="842" w:type="dxa"/>
            <w:vMerge/>
            <w:tcBorders>
              <w:top w:val="single" w:sz="4" w:space="0" w:color="auto"/>
              <w:left w:val="single" w:sz="4" w:space="0" w:color="auto"/>
              <w:bottom w:val="single" w:sz="4" w:space="0" w:color="auto"/>
              <w:right w:val="single" w:sz="4" w:space="0" w:color="auto"/>
            </w:tcBorders>
            <w:hideMark/>
          </w:tcPr>
          <w:p w14:paraId="1D4DA84F"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1833" w:type="dxa"/>
            <w:vMerge/>
            <w:tcBorders>
              <w:top w:val="single" w:sz="4" w:space="0" w:color="auto"/>
              <w:left w:val="single" w:sz="4" w:space="0" w:color="auto"/>
              <w:bottom w:val="single" w:sz="4" w:space="0" w:color="auto"/>
              <w:right w:val="single" w:sz="4" w:space="0" w:color="auto"/>
            </w:tcBorders>
            <w:hideMark/>
          </w:tcPr>
          <w:p w14:paraId="473EAF96"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268" w:type="dxa"/>
            <w:vMerge/>
            <w:tcBorders>
              <w:top w:val="single" w:sz="4" w:space="0" w:color="auto"/>
              <w:left w:val="single" w:sz="4" w:space="0" w:color="auto"/>
              <w:bottom w:val="single" w:sz="4" w:space="0" w:color="auto"/>
              <w:right w:val="single" w:sz="4" w:space="0" w:color="auto"/>
            </w:tcBorders>
            <w:hideMark/>
          </w:tcPr>
          <w:p w14:paraId="4AE2D742" w14:textId="77777777" w:rsidR="00500CF9" w:rsidRPr="009F1DC7" w:rsidRDefault="00500CF9">
            <w:pPr>
              <w:spacing w:after="0" w:line="240" w:lineRule="auto"/>
              <w:jc w:val="center"/>
              <w:rPr>
                <w:rFonts w:ascii="Times New Roman" w:eastAsia="Times New Roman" w:hAnsi="Times New Roman" w:cs="Times New Roman"/>
                <w:b/>
                <w:bCs/>
                <w:noProof/>
                <w:sz w:val="24"/>
                <w:szCs w:val="24"/>
                <w:lang w:eastAsia="en-GB"/>
              </w:rPr>
            </w:pPr>
          </w:p>
        </w:tc>
        <w:tc>
          <w:tcPr>
            <w:tcW w:w="1541" w:type="dxa"/>
            <w:vMerge/>
            <w:tcBorders>
              <w:top w:val="single" w:sz="4" w:space="0" w:color="auto"/>
              <w:left w:val="single" w:sz="4" w:space="0" w:color="auto"/>
              <w:bottom w:val="single" w:sz="4" w:space="0" w:color="auto"/>
              <w:right w:val="single" w:sz="4" w:space="0" w:color="auto"/>
            </w:tcBorders>
            <w:hideMark/>
          </w:tcPr>
          <w:p w14:paraId="7B68E553"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711" w:type="dxa"/>
            <w:gridSpan w:val="2"/>
            <w:vMerge/>
            <w:tcBorders>
              <w:top w:val="single" w:sz="4" w:space="0" w:color="auto"/>
              <w:left w:val="single" w:sz="4" w:space="0" w:color="auto"/>
              <w:bottom w:val="single" w:sz="4" w:space="0" w:color="auto"/>
              <w:right w:val="single" w:sz="4" w:space="0" w:color="auto"/>
            </w:tcBorders>
            <w:hideMark/>
          </w:tcPr>
          <w:p w14:paraId="0232A601" w14:textId="77777777" w:rsidR="00500CF9" w:rsidRPr="009F1DC7" w:rsidRDefault="00500CF9">
            <w:pPr>
              <w:spacing w:after="0" w:line="240" w:lineRule="auto"/>
              <w:jc w:val="both"/>
              <w:rPr>
                <w:rFonts w:ascii="Times New Roman" w:eastAsia="Times New Roman" w:hAnsi="Times New Roman" w:cs="Times New Roman"/>
                <w:b/>
                <w:bCs/>
                <w:noProof/>
                <w:sz w:val="24"/>
                <w:szCs w:val="24"/>
                <w:lang w:eastAsia="en-GB"/>
              </w:rPr>
            </w:pPr>
          </w:p>
        </w:tc>
        <w:tc>
          <w:tcPr>
            <w:tcW w:w="1062" w:type="dxa"/>
            <w:tcBorders>
              <w:top w:val="nil"/>
              <w:left w:val="single" w:sz="4" w:space="0" w:color="auto"/>
              <w:bottom w:val="single" w:sz="4" w:space="0" w:color="auto"/>
              <w:right w:val="single" w:sz="4" w:space="0" w:color="auto"/>
            </w:tcBorders>
            <w:shd w:val="clear" w:color="auto" w:fill="BDD7EE"/>
            <w:vAlign w:val="center"/>
            <w:hideMark/>
          </w:tcPr>
          <w:p w14:paraId="6C1729C9"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129" w:type="dxa"/>
            <w:tcBorders>
              <w:top w:val="nil"/>
              <w:left w:val="nil"/>
              <w:bottom w:val="single" w:sz="4" w:space="0" w:color="auto"/>
              <w:right w:val="single" w:sz="4" w:space="0" w:color="auto"/>
            </w:tcBorders>
            <w:shd w:val="clear" w:color="auto" w:fill="BDD7EE"/>
            <w:vAlign w:val="center"/>
            <w:hideMark/>
          </w:tcPr>
          <w:p w14:paraId="4FAAF16B"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269" w:type="dxa"/>
            <w:tcBorders>
              <w:top w:val="nil"/>
              <w:left w:val="nil"/>
              <w:bottom w:val="single" w:sz="4" w:space="0" w:color="auto"/>
              <w:right w:val="single" w:sz="4" w:space="0" w:color="auto"/>
            </w:tcBorders>
            <w:shd w:val="clear" w:color="auto" w:fill="BDD7EE"/>
            <w:vAlign w:val="center"/>
            <w:hideMark/>
          </w:tcPr>
          <w:p w14:paraId="6BFC67EA"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340" w:type="dxa"/>
            <w:tcBorders>
              <w:top w:val="nil"/>
              <w:left w:val="nil"/>
              <w:bottom w:val="single" w:sz="4" w:space="0" w:color="auto"/>
              <w:right w:val="single" w:sz="4" w:space="0" w:color="auto"/>
            </w:tcBorders>
            <w:shd w:val="clear" w:color="auto" w:fill="BDD7EE"/>
            <w:vAlign w:val="center"/>
            <w:hideMark/>
          </w:tcPr>
          <w:p w14:paraId="4D2B783D"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20" w:type="dxa"/>
            <w:tcBorders>
              <w:top w:val="nil"/>
              <w:left w:val="nil"/>
              <w:bottom w:val="single" w:sz="4" w:space="0" w:color="auto"/>
              <w:right w:val="single" w:sz="4" w:space="0" w:color="auto"/>
            </w:tcBorders>
            <w:shd w:val="clear" w:color="auto" w:fill="BDD7EE"/>
            <w:vAlign w:val="center"/>
            <w:hideMark/>
          </w:tcPr>
          <w:p w14:paraId="17B09C4C" w14:textId="77777777" w:rsidR="00500CF9" w:rsidRPr="000A27B3" w:rsidRDefault="00500CF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015" w:type="dxa"/>
            <w:vMerge/>
            <w:tcBorders>
              <w:top w:val="single" w:sz="4" w:space="0" w:color="auto"/>
              <w:bottom w:val="single" w:sz="4" w:space="0" w:color="auto"/>
              <w:right w:val="single" w:sz="4" w:space="0" w:color="auto"/>
            </w:tcBorders>
            <w:hideMark/>
          </w:tcPr>
          <w:p w14:paraId="6D68C4CE" w14:textId="77777777" w:rsidR="00500CF9" w:rsidRPr="000A27B3" w:rsidRDefault="00500CF9">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1C6D1B55" w14:textId="77777777" w:rsidTr="00B2280C">
        <w:trPr>
          <w:trHeight w:val="309"/>
          <w:jc w:val="center"/>
        </w:trPr>
        <w:tc>
          <w:tcPr>
            <w:tcW w:w="842" w:type="dxa"/>
            <w:tcBorders>
              <w:top w:val="single" w:sz="4" w:space="0" w:color="auto"/>
              <w:left w:val="single" w:sz="4" w:space="0" w:color="auto"/>
              <w:bottom w:val="single" w:sz="4" w:space="0" w:color="auto"/>
              <w:right w:val="single" w:sz="4" w:space="0" w:color="auto"/>
            </w:tcBorders>
            <w:shd w:val="clear" w:color="auto" w:fill="C6EFCE"/>
            <w:noWrap/>
          </w:tcPr>
          <w:p w14:paraId="78DA7AB4"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191</w:t>
            </w:r>
          </w:p>
        </w:tc>
        <w:tc>
          <w:tcPr>
            <w:tcW w:w="1833" w:type="dxa"/>
            <w:tcBorders>
              <w:top w:val="single" w:sz="4" w:space="0" w:color="auto"/>
              <w:left w:val="nil"/>
              <w:bottom w:val="single" w:sz="4" w:space="0" w:color="auto"/>
              <w:right w:val="single" w:sz="4" w:space="0" w:color="auto"/>
            </w:tcBorders>
            <w:shd w:val="clear" w:color="auto" w:fill="C6EFCE"/>
            <w:noWrap/>
          </w:tcPr>
          <w:p w14:paraId="70A24F9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1.</w:t>
            </w:r>
          </w:p>
          <w:p w14:paraId="1DD3310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Agenției Naționale de Administrare Fiscală (ANAF) prin digitalizare </w:t>
            </w:r>
          </w:p>
        </w:tc>
        <w:tc>
          <w:tcPr>
            <w:tcW w:w="1268" w:type="dxa"/>
            <w:tcBorders>
              <w:top w:val="single" w:sz="4" w:space="0" w:color="auto"/>
              <w:left w:val="nil"/>
              <w:bottom w:val="single" w:sz="4" w:space="0" w:color="auto"/>
              <w:right w:val="single" w:sz="4" w:space="0" w:color="auto"/>
            </w:tcBorders>
            <w:shd w:val="clear" w:color="auto" w:fill="C6EFCE"/>
            <w:noWrap/>
          </w:tcPr>
          <w:p w14:paraId="4A0D0B7F"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41" w:type="dxa"/>
            <w:tcBorders>
              <w:top w:val="single" w:sz="4" w:space="0" w:color="auto"/>
              <w:left w:val="nil"/>
              <w:bottom w:val="single" w:sz="4" w:space="0" w:color="auto"/>
              <w:right w:val="single" w:sz="4" w:space="0" w:color="auto"/>
            </w:tcBorders>
            <w:shd w:val="clear" w:color="auto" w:fill="C6EFCE"/>
            <w:noWrap/>
          </w:tcPr>
          <w:p w14:paraId="717EF02F"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cadrului legal pentru înrolarea contribuabililor persoane juridice în SPV (Spațiu Privat Virtual)</w:t>
            </w:r>
          </w:p>
        </w:tc>
        <w:tc>
          <w:tcPr>
            <w:tcW w:w="1711" w:type="dxa"/>
            <w:gridSpan w:val="2"/>
            <w:tcBorders>
              <w:top w:val="single" w:sz="4" w:space="0" w:color="auto"/>
              <w:left w:val="nil"/>
              <w:bottom w:val="single" w:sz="4" w:space="0" w:color="auto"/>
              <w:right w:val="single" w:sz="4" w:space="0" w:color="auto"/>
            </w:tcBorders>
            <w:shd w:val="clear" w:color="auto" w:fill="C6EFCE"/>
            <w:noWrap/>
          </w:tcPr>
          <w:p w14:paraId="2DD12E3E" w14:textId="15F18CDA" w:rsidR="00500CF9" w:rsidRPr="000A27B3" w:rsidRDefault="00500CF9">
            <w:pPr>
              <w:spacing w:after="0" w:line="240" w:lineRule="auto"/>
              <w:jc w:val="both"/>
              <w:rPr>
                <w:rFonts w:ascii="Times New Roman" w:eastAsia="Times New Roman" w:hAnsi="Times New Roman" w:cs="Times New Roman"/>
                <w:noProof/>
                <w:sz w:val="24"/>
              </w:rPr>
            </w:pPr>
            <w:bookmarkStart w:id="9" w:name="_Hlk151993972"/>
            <w:r>
              <w:rPr>
                <w:rFonts w:ascii="Times New Roman" w:hAnsi="Times New Roman"/>
                <w:noProof/>
                <w:sz w:val="24"/>
              </w:rPr>
              <w:t>Dispoziție legală care indică intrarea în vigoare a înrolării obligatorii a contribuabil</w:t>
            </w:r>
            <w:r w:rsidR="00B2280C">
              <w:rPr>
                <w:rFonts w:ascii="Times New Roman" w:hAnsi="Times New Roman"/>
                <w:noProof/>
                <w:sz w:val="24"/>
              </w:rPr>
              <w:t>ilo</w:t>
            </w:r>
            <w:r>
              <w:rPr>
                <w:rFonts w:ascii="Times New Roman" w:hAnsi="Times New Roman"/>
                <w:noProof/>
                <w:sz w:val="24"/>
              </w:rPr>
              <w:t xml:space="preserve">r persoane juridice în SPV </w:t>
            </w:r>
            <w:bookmarkEnd w:id="9"/>
          </w:p>
        </w:tc>
        <w:tc>
          <w:tcPr>
            <w:tcW w:w="1062" w:type="dxa"/>
            <w:tcBorders>
              <w:top w:val="nil"/>
              <w:left w:val="nil"/>
              <w:bottom w:val="single" w:sz="4" w:space="0" w:color="auto"/>
              <w:right w:val="single" w:sz="4" w:space="0" w:color="auto"/>
            </w:tcBorders>
            <w:shd w:val="clear" w:color="auto" w:fill="C6EFCE"/>
            <w:noWrap/>
          </w:tcPr>
          <w:p w14:paraId="4CE7BB0B"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129" w:type="dxa"/>
            <w:tcBorders>
              <w:top w:val="nil"/>
              <w:left w:val="nil"/>
              <w:bottom w:val="single" w:sz="4" w:space="0" w:color="auto"/>
              <w:right w:val="single" w:sz="4" w:space="0" w:color="auto"/>
            </w:tcBorders>
            <w:shd w:val="clear" w:color="auto" w:fill="C6EFCE"/>
            <w:noWrap/>
          </w:tcPr>
          <w:p w14:paraId="70FF6983"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117FC299"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340" w:type="dxa"/>
            <w:tcBorders>
              <w:top w:val="nil"/>
              <w:left w:val="nil"/>
              <w:bottom w:val="single" w:sz="4" w:space="0" w:color="auto"/>
              <w:right w:val="single" w:sz="4" w:space="0" w:color="auto"/>
            </w:tcBorders>
            <w:shd w:val="clear" w:color="auto" w:fill="C6EFCE"/>
            <w:noWrap/>
          </w:tcPr>
          <w:p w14:paraId="6D5932B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11FC3742"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2022</w:t>
            </w:r>
          </w:p>
        </w:tc>
        <w:tc>
          <w:tcPr>
            <w:tcW w:w="3015" w:type="dxa"/>
            <w:tcBorders>
              <w:top w:val="single" w:sz="4" w:space="0" w:color="auto"/>
              <w:left w:val="nil"/>
              <w:bottom w:val="single" w:sz="4" w:space="0" w:color="auto"/>
              <w:right w:val="single" w:sz="4" w:space="0" w:color="auto"/>
            </w:tcBorders>
            <w:shd w:val="clear" w:color="auto" w:fill="C6EFCE"/>
            <w:noWrap/>
          </w:tcPr>
          <w:p w14:paraId="13E0944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cadrului legislativ care prevede obligativitatea înrolării în spațiul privat virtual (SPV) a tuturor contribuabililor persoane juridice.</w:t>
            </w:r>
          </w:p>
          <w:p w14:paraId="29A43AB6" w14:textId="77777777" w:rsidR="00500CF9" w:rsidRPr="000A27B3" w:rsidRDefault="00500CF9">
            <w:pPr>
              <w:spacing w:after="0"/>
              <w:ind w:left="-18"/>
              <w:contextualSpacing/>
              <w:jc w:val="both"/>
              <w:rPr>
                <w:rFonts w:ascii="Times New Roman" w:hAnsi="Times New Roman" w:cs="Times New Roman"/>
                <w:noProof/>
                <w:sz w:val="24"/>
                <w:szCs w:val="24"/>
              </w:rPr>
            </w:pPr>
            <w:r>
              <w:rPr>
                <w:rFonts w:ascii="Times New Roman" w:hAnsi="Times New Roman"/>
                <w:noProof/>
                <w:sz w:val="24"/>
              </w:rPr>
              <w:t>Acest act modifică Codul de procedură fiscală și introduce obligația persoanelor juridice de a se înregistra în SPV.</w:t>
            </w:r>
          </w:p>
        </w:tc>
      </w:tr>
      <w:tr w:rsidR="000A27B3" w:rsidRPr="000A27B3" w14:paraId="237AE635"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0BE3CB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192</w:t>
            </w:r>
          </w:p>
        </w:tc>
        <w:tc>
          <w:tcPr>
            <w:tcW w:w="1833" w:type="dxa"/>
            <w:tcBorders>
              <w:top w:val="nil"/>
              <w:left w:val="nil"/>
              <w:bottom w:val="single" w:sz="4" w:space="0" w:color="auto"/>
              <w:right w:val="single" w:sz="4" w:space="0" w:color="auto"/>
            </w:tcBorders>
            <w:shd w:val="clear" w:color="auto" w:fill="C6EFCE"/>
            <w:noWrap/>
          </w:tcPr>
          <w:p w14:paraId="3D2CBC4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Reforma Agenției Naționale de Administrare Fiscală (ANAF) prin digitalizare </w:t>
            </w:r>
          </w:p>
        </w:tc>
        <w:tc>
          <w:tcPr>
            <w:tcW w:w="1268" w:type="dxa"/>
            <w:tcBorders>
              <w:top w:val="nil"/>
              <w:left w:val="nil"/>
              <w:bottom w:val="single" w:sz="4" w:space="0" w:color="auto"/>
              <w:right w:val="single" w:sz="4" w:space="0" w:color="auto"/>
            </w:tcBorders>
            <w:shd w:val="clear" w:color="auto" w:fill="C6EFCE"/>
            <w:noWrap/>
          </w:tcPr>
          <w:p w14:paraId="783F0026"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23F5994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Contribuabili persoane juridice înrolați suplimentar în SPV </w:t>
            </w:r>
          </w:p>
          <w:p w14:paraId="20063327"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711" w:type="dxa"/>
            <w:gridSpan w:val="2"/>
            <w:tcBorders>
              <w:top w:val="nil"/>
              <w:left w:val="nil"/>
              <w:bottom w:val="single" w:sz="4" w:space="0" w:color="auto"/>
              <w:right w:val="single" w:sz="4" w:space="0" w:color="auto"/>
            </w:tcBorders>
            <w:shd w:val="clear" w:color="auto" w:fill="C6EFCE"/>
            <w:noWrap/>
          </w:tcPr>
          <w:p w14:paraId="28E52A66"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62" w:type="dxa"/>
            <w:tcBorders>
              <w:top w:val="nil"/>
              <w:left w:val="nil"/>
              <w:bottom w:val="single" w:sz="4" w:space="0" w:color="auto"/>
              <w:right w:val="single" w:sz="4" w:space="0" w:color="auto"/>
            </w:tcBorders>
            <w:shd w:val="clear" w:color="auto" w:fill="C6EFCE"/>
            <w:noWrap/>
          </w:tcPr>
          <w:p w14:paraId="7A984C9D"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Număr</w:t>
            </w:r>
          </w:p>
        </w:tc>
        <w:tc>
          <w:tcPr>
            <w:tcW w:w="1129" w:type="dxa"/>
            <w:tcBorders>
              <w:top w:val="nil"/>
              <w:left w:val="nil"/>
              <w:bottom w:val="single" w:sz="4" w:space="0" w:color="auto"/>
              <w:right w:val="single" w:sz="4" w:space="0" w:color="auto"/>
            </w:tcBorders>
            <w:shd w:val="clear" w:color="auto" w:fill="C6EFCE"/>
            <w:noWrap/>
          </w:tcPr>
          <w:p w14:paraId="3FC020C4"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509 679</w:t>
            </w:r>
          </w:p>
        </w:tc>
        <w:tc>
          <w:tcPr>
            <w:tcW w:w="1269" w:type="dxa"/>
            <w:tcBorders>
              <w:top w:val="nil"/>
              <w:left w:val="nil"/>
              <w:bottom w:val="single" w:sz="4" w:space="0" w:color="auto"/>
              <w:right w:val="single" w:sz="4" w:space="0" w:color="auto"/>
            </w:tcBorders>
            <w:shd w:val="clear" w:color="auto" w:fill="C6EFCE"/>
            <w:noWrap/>
          </w:tcPr>
          <w:p w14:paraId="48B5D140"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1 009 679</w:t>
            </w:r>
          </w:p>
        </w:tc>
        <w:tc>
          <w:tcPr>
            <w:tcW w:w="1340" w:type="dxa"/>
            <w:tcBorders>
              <w:top w:val="nil"/>
              <w:left w:val="nil"/>
              <w:bottom w:val="single" w:sz="4" w:space="0" w:color="auto"/>
              <w:right w:val="single" w:sz="4" w:space="0" w:color="auto"/>
            </w:tcBorders>
            <w:shd w:val="clear" w:color="auto" w:fill="C6EFCE"/>
            <w:noWrap/>
          </w:tcPr>
          <w:p w14:paraId="02295A1F"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77310E3"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645B7BB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alți 500 000 de contribuabili persoane juridice s-au înrolat în SPV comparativ cu 509 679 la începutul lunii aprilie 2021. Cu acești noi 500 000 de contribuabili suplimentari, SPV acoperă 90 % din numărul total de contribuabili mari (conform noii definiții care va fi disponibilă imediat după aprobarea modificării cadrului juridic respectiv), reprezentând cel puțin 90 % din baza impozabilă a contribuabililor mari. În această etapă, din cele aproximativ 1 500 000 de entități juridice, aproximativ 400 000 sunt fie în procedură de insolvență, fie inactive. Prin urmare, obiectivul măsurii este ca aproape toate entitățile juridice înregistrate să utilizeze SPV. </w:t>
            </w:r>
          </w:p>
          <w:p w14:paraId="24A6864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Monitorizarea numărului de noi contribuabili înrolați în SPV se realizează prin rapoarte specifice rezultate din interogarea bazelor de date de către Centrul Național pentru Informații Financiare.</w:t>
            </w:r>
          </w:p>
        </w:tc>
      </w:tr>
      <w:tr w:rsidR="000A27B3" w:rsidRPr="000A27B3" w14:paraId="4042A5E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CDE358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193</w:t>
            </w:r>
          </w:p>
        </w:tc>
        <w:tc>
          <w:tcPr>
            <w:tcW w:w="1833" w:type="dxa"/>
            <w:tcBorders>
              <w:top w:val="nil"/>
              <w:left w:val="nil"/>
              <w:bottom w:val="single" w:sz="4" w:space="0" w:color="auto"/>
              <w:right w:val="single" w:sz="4" w:space="0" w:color="auto"/>
            </w:tcBorders>
            <w:shd w:val="clear" w:color="auto" w:fill="C6EFCE"/>
            <w:noWrap/>
          </w:tcPr>
          <w:p w14:paraId="33B75CD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Reforma Agenției Naționale de Administrare Fiscală (ANAF) prin digitalizare </w:t>
            </w:r>
          </w:p>
        </w:tc>
        <w:tc>
          <w:tcPr>
            <w:tcW w:w="1268" w:type="dxa"/>
            <w:tcBorders>
              <w:top w:val="nil"/>
              <w:left w:val="nil"/>
              <w:bottom w:val="single" w:sz="4" w:space="0" w:color="auto"/>
              <w:right w:val="single" w:sz="4" w:space="0" w:color="auto"/>
            </w:tcBorders>
            <w:shd w:val="clear" w:color="auto" w:fill="C6EFCE"/>
            <w:noWrap/>
          </w:tcPr>
          <w:p w14:paraId="1C70BEA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2C4EE8C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cadrului juridic aplicabil care definește criteriile de risc pentru clasificarea contribuabililor. Cadrul legal se aprobă printr-un ordin al președintelui ANAF.</w:t>
            </w:r>
          </w:p>
        </w:tc>
        <w:tc>
          <w:tcPr>
            <w:tcW w:w="1711" w:type="dxa"/>
            <w:gridSpan w:val="2"/>
            <w:tcBorders>
              <w:top w:val="nil"/>
              <w:left w:val="nil"/>
              <w:bottom w:val="single" w:sz="4" w:space="0" w:color="auto"/>
              <w:right w:val="single" w:sz="4" w:space="0" w:color="auto"/>
            </w:tcBorders>
            <w:shd w:val="clear" w:color="auto" w:fill="C6EFCE"/>
            <w:noWrap/>
          </w:tcPr>
          <w:p w14:paraId="6A44170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Ordinului președintelui ANAF de definire a criteriilor de risc</w:t>
            </w:r>
          </w:p>
        </w:tc>
        <w:tc>
          <w:tcPr>
            <w:tcW w:w="1062" w:type="dxa"/>
            <w:tcBorders>
              <w:top w:val="nil"/>
              <w:left w:val="nil"/>
              <w:bottom w:val="single" w:sz="4" w:space="0" w:color="auto"/>
              <w:right w:val="single" w:sz="4" w:space="0" w:color="auto"/>
            </w:tcBorders>
            <w:shd w:val="clear" w:color="auto" w:fill="C6EFCE"/>
            <w:noWrap/>
          </w:tcPr>
          <w:p w14:paraId="5133EBAA" w14:textId="77777777" w:rsidR="00500CF9" w:rsidRPr="009F1DC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4FE4B239" w14:textId="77777777" w:rsidR="00500CF9" w:rsidRPr="009F1DC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139609E7" w14:textId="77777777" w:rsidR="00500CF9" w:rsidRPr="009F1DC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7E06AA8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0C9AF9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346177D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Definirea criteriilor de risc se face în funcție de principalele categorii de riscuri de nerespectare a obligațiilor fiscale: riscurile legate de înregistrarea fiscală, de depunerea declarațiilor fiscale, de nivelul declarațiilor și riscurile legate de plată. Aceste definiții vor fi utilizate în sistemul de administrare a riscului fiscale pe baza claselor de risc fiscal, în care măsurile de administrare fiscală și de control fiscale vor fi adaptate în funcție de riscul fiscale aferent fiecărei clase de contribuabili. </w:t>
            </w:r>
          </w:p>
          <w:p w14:paraId="1A3F39FE"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Criteriile de risc iau în considerare următoarele standarde internaționale:</w:t>
            </w:r>
          </w:p>
          <w:p w14:paraId="06A0724F"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 OCDE ISO 31000:2018</w:t>
            </w:r>
          </w:p>
          <w:p w14:paraId="544DFA8B"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 xml:space="preserve">- COM – Ghidul adresat administrațiilor fiscale cu privire la managementul riscurilor de conformitate 2010 </w:t>
            </w:r>
          </w:p>
          <w:p w14:paraId="4E918907"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 Nota de orientare a FTA pentru evaluarea eficacității strategiilor de tratare a riscului de conformitate</w:t>
            </w:r>
          </w:p>
        </w:tc>
      </w:tr>
      <w:tr w:rsidR="000A27B3" w:rsidRPr="000A27B3" w14:paraId="0995499B"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7E3C9B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194</w:t>
            </w:r>
          </w:p>
        </w:tc>
        <w:tc>
          <w:tcPr>
            <w:tcW w:w="1833" w:type="dxa"/>
            <w:tcBorders>
              <w:top w:val="nil"/>
              <w:left w:val="nil"/>
              <w:bottom w:val="single" w:sz="4" w:space="0" w:color="auto"/>
              <w:right w:val="single" w:sz="4" w:space="0" w:color="auto"/>
            </w:tcBorders>
            <w:shd w:val="clear" w:color="auto" w:fill="C6EFCE"/>
            <w:noWrap/>
          </w:tcPr>
          <w:p w14:paraId="58BE44C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Reforma Agenției Naționale de Administrare Fiscală (ANAF) prin digitalizare </w:t>
            </w:r>
          </w:p>
        </w:tc>
        <w:tc>
          <w:tcPr>
            <w:tcW w:w="1268" w:type="dxa"/>
            <w:tcBorders>
              <w:top w:val="nil"/>
              <w:left w:val="nil"/>
              <w:bottom w:val="single" w:sz="4" w:space="0" w:color="auto"/>
              <w:right w:val="single" w:sz="4" w:space="0" w:color="auto"/>
            </w:tcBorders>
            <w:shd w:val="clear" w:color="auto" w:fill="C6EFCE"/>
            <w:noWrap/>
          </w:tcPr>
          <w:p w14:paraId="166245B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53193DC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cadrului legal incident domeniului de activitate al structurilor de control fiscal </w:t>
            </w:r>
          </w:p>
        </w:tc>
        <w:tc>
          <w:tcPr>
            <w:tcW w:w="1711" w:type="dxa"/>
            <w:gridSpan w:val="2"/>
            <w:tcBorders>
              <w:top w:val="nil"/>
              <w:left w:val="nil"/>
              <w:bottom w:val="single" w:sz="4" w:space="0" w:color="auto"/>
              <w:right w:val="single" w:sz="4" w:space="0" w:color="auto"/>
            </w:tcBorders>
            <w:shd w:val="clear" w:color="auto" w:fill="C6EFCE"/>
            <w:noWrap/>
          </w:tcPr>
          <w:p w14:paraId="0A63829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din lege care indică intrarea în vigoare a cadrului juridic care afectează domeniul de activitate al organelor de inspecție fiscală </w:t>
            </w:r>
          </w:p>
        </w:tc>
        <w:tc>
          <w:tcPr>
            <w:tcW w:w="1062" w:type="dxa"/>
            <w:tcBorders>
              <w:top w:val="nil"/>
              <w:left w:val="nil"/>
              <w:bottom w:val="single" w:sz="4" w:space="0" w:color="auto"/>
              <w:right w:val="single" w:sz="4" w:space="0" w:color="auto"/>
            </w:tcBorders>
            <w:shd w:val="clear" w:color="auto" w:fill="C6EFCE"/>
            <w:noWrap/>
          </w:tcPr>
          <w:p w14:paraId="2694998B"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2DD32B0F"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1927B5D1"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2376E4D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23353A9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4C154E5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Noua lege va stabili/revizui atribuțiile autorităților fiscale (organe de inspecție fiscală, organisme de control antifraudă și organisme responsabile cu verificarea situației fiscale personale), cu scopul de a consolida capacitatea instituțională a structurilor de control fiscal, de a preveni frauda fiscală și evaziunea fiscală naționale și transfrontaliere prin identificarea timpurie și punctuală a riscurilor fiscale majore.</w:t>
            </w:r>
          </w:p>
          <w:p w14:paraId="686BC5E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ANAF va revizui cadrul instituțional și juridic al activităților desfășurate de structurile de control. În lumina concluziilor și a rezultatelor acestei analize, se va finaliza revizuirea cadrului juridic al organelor de inspecție fiscală.</w:t>
            </w:r>
          </w:p>
        </w:tc>
      </w:tr>
      <w:tr w:rsidR="000A27B3" w:rsidRPr="000A27B3" w14:paraId="545A4DF1"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F3562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195</w:t>
            </w:r>
          </w:p>
        </w:tc>
        <w:tc>
          <w:tcPr>
            <w:tcW w:w="1833" w:type="dxa"/>
            <w:tcBorders>
              <w:top w:val="nil"/>
              <w:left w:val="nil"/>
              <w:bottom w:val="single" w:sz="4" w:space="0" w:color="auto"/>
              <w:right w:val="single" w:sz="4" w:space="0" w:color="auto"/>
            </w:tcBorders>
            <w:shd w:val="clear" w:color="auto" w:fill="C6EFCE"/>
            <w:noWrap/>
          </w:tcPr>
          <w:p w14:paraId="7E0BD70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1. Reforma Agenției Naționale de Administrare Fiscală (ANAF) prin digitalizare</w:t>
            </w:r>
          </w:p>
        </w:tc>
        <w:tc>
          <w:tcPr>
            <w:tcW w:w="1268" w:type="dxa"/>
            <w:tcBorders>
              <w:top w:val="nil"/>
              <w:left w:val="nil"/>
              <w:bottom w:val="single" w:sz="4" w:space="0" w:color="auto"/>
              <w:right w:val="single" w:sz="4" w:space="0" w:color="auto"/>
            </w:tcBorders>
            <w:shd w:val="clear" w:color="auto" w:fill="C6EFCE"/>
            <w:noWrap/>
          </w:tcPr>
          <w:p w14:paraId="27447BA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0947E54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Operaționalizarea/aprobarea Planului comun de acțiune al Agenției Naționale de Administrare Fiscală și al Inspecției Muncii pentru prevenirea și limitarea fenomenului de evaziune a muncii la gri/la negru</w:t>
            </w:r>
          </w:p>
        </w:tc>
        <w:tc>
          <w:tcPr>
            <w:tcW w:w="1711" w:type="dxa"/>
            <w:gridSpan w:val="2"/>
            <w:tcBorders>
              <w:top w:val="nil"/>
              <w:left w:val="nil"/>
              <w:bottom w:val="single" w:sz="4" w:space="0" w:color="auto"/>
              <w:right w:val="single" w:sz="4" w:space="0" w:color="auto"/>
            </w:tcBorders>
            <w:shd w:val="clear" w:color="auto" w:fill="C6EFCE"/>
            <w:noWrap/>
          </w:tcPr>
          <w:p w14:paraId="263365B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Adoptarea Planului comun de acțiune al Agenției Naționale de Administrare Fiscală și al Inspecției Muncii privind acțiunile care trebuie întreprinse pentru prevenirea și limitarea fenomenului de evaziune a muncii la gri/la negru</w:t>
            </w:r>
          </w:p>
        </w:tc>
        <w:tc>
          <w:tcPr>
            <w:tcW w:w="1062" w:type="dxa"/>
            <w:tcBorders>
              <w:top w:val="nil"/>
              <w:left w:val="nil"/>
              <w:bottom w:val="single" w:sz="4" w:space="0" w:color="auto"/>
              <w:right w:val="single" w:sz="4" w:space="0" w:color="auto"/>
            </w:tcBorders>
            <w:shd w:val="clear" w:color="auto" w:fill="C6EFCE"/>
            <w:noWrap/>
          </w:tcPr>
          <w:p w14:paraId="1CD26C5C"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4F93CC74"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74175F78"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3FB67CE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56E34D2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69141F8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Ca urmare a protocolului de cooperare cu Inspecția Muncii, se va elabora un plan de acțiune comun pentru a include operatorii economici care prezintă un risc fiscal ridicat și, de asemenea, pe cei care prezintă un risc din perspectiva utilizării muncii subdeclarate/nedeclarate.</w:t>
            </w:r>
          </w:p>
          <w:p w14:paraId="440A144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Acest plan va fi defalcat pe tipuri de activități sezoniere, în cazul în care incidența riscurilor menționate este cunoscută a fi ridicată.</w:t>
            </w:r>
          </w:p>
          <w:p w14:paraId="51B97F6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Periodic, conducerea structurilor implicate (Direcția Generală Antifraudă Fiscală și Inspecția Muncii) va analiza rezultatele obținute, precum și posibilitățile și perspectivele de actualizare a planului, în funcție de rezultatele respective.</w:t>
            </w:r>
          </w:p>
        </w:tc>
      </w:tr>
      <w:tr w:rsidR="000A27B3" w:rsidRPr="000A27B3" w14:paraId="1452CF63"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76CEC1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196</w:t>
            </w:r>
          </w:p>
        </w:tc>
        <w:tc>
          <w:tcPr>
            <w:tcW w:w="1833" w:type="dxa"/>
            <w:tcBorders>
              <w:top w:val="nil"/>
              <w:left w:val="nil"/>
              <w:bottom w:val="single" w:sz="4" w:space="0" w:color="auto"/>
              <w:right w:val="single" w:sz="4" w:space="0" w:color="auto"/>
            </w:tcBorders>
            <w:shd w:val="clear" w:color="auto" w:fill="C6EFCE"/>
            <w:noWrap/>
          </w:tcPr>
          <w:p w14:paraId="18AB256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1. Reforma Agenției Naționale de Administrare Fiscală (ANAF) prin digitalizare</w:t>
            </w:r>
          </w:p>
        </w:tc>
        <w:tc>
          <w:tcPr>
            <w:tcW w:w="1268" w:type="dxa"/>
            <w:tcBorders>
              <w:top w:val="nil"/>
              <w:left w:val="nil"/>
              <w:bottom w:val="single" w:sz="4" w:space="0" w:color="auto"/>
              <w:right w:val="single" w:sz="4" w:space="0" w:color="auto"/>
            </w:tcBorders>
            <w:shd w:val="clear" w:color="auto" w:fill="C6EFCE"/>
            <w:noWrap/>
          </w:tcPr>
          <w:p w14:paraId="78C58B9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4D8A31F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Creșterea ponderii veniturilor colectate de administrația fiscală cu cel puțin 2,5 puncte procentuale din PIB </w:t>
            </w:r>
          </w:p>
        </w:tc>
        <w:tc>
          <w:tcPr>
            <w:tcW w:w="1711" w:type="dxa"/>
            <w:gridSpan w:val="2"/>
            <w:tcBorders>
              <w:top w:val="nil"/>
              <w:left w:val="nil"/>
              <w:bottom w:val="single" w:sz="4" w:space="0" w:color="auto"/>
              <w:right w:val="single" w:sz="4" w:space="0" w:color="auto"/>
            </w:tcBorders>
            <w:shd w:val="clear" w:color="auto" w:fill="C6EFCE"/>
            <w:noWrap/>
          </w:tcPr>
          <w:p w14:paraId="49ACD861"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62" w:type="dxa"/>
            <w:tcBorders>
              <w:top w:val="nil"/>
              <w:left w:val="nil"/>
              <w:bottom w:val="single" w:sz="4" w:space="0" w:color="auto"/>
              <w:right w:val="single" w:sz="4" w:space="0" w:color="auto"/>
            </w:tcBorders>
            <w:shd w:val="clear" w:color="auto" w:fill="C6EFCE"/>
            <w:noWrap/>
          </w:tcPr>
          <w:p w14:paraId="06F5EBCA"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Puncte procentuale din PIB</w:t>
            </w:r>
          </w:p>
        </w:tc>
        <w:tc>
          <w:tcPr>
            <w:tcW w:w="1129" w:type="dxa"/>
            <w:tcBorders>
              <w:top w:val="nil"/>
              <w:left w:val="nil"/>
              <w:bottom w:val="single" w:sz="4" w:space="0" w:color="auto"/>
              <w:right w:val="single" w:sz="4" w:space="0" w:color="auto"/>
            </w:tcBorders>
            <w:shd w:val="clear" w:color="auto" w:fill="C6EFCE"/>
            <w:noWrap/>
          </w:tcPr>
          <w:p w14:paraId="2363631A"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36DD9132"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2,5</w:t>
            </w:r>
          </w:p>
        </w:tc>
        <w:tc>
          <w:tcPr>
            <w:tcW w:w="1340" w:type="dxa"/>
            <w:tcBorders>
              <w:top w:val="nil"/>
              <w:left w:val="nil"/>
              <w:bottom w:val="single" w:sz="4" w:space="0" w:color="auto"/>
              <w:right w:val="single" w:sz="4" w:space="0" w:color="auto"/>
            </w:tcBorders>
            <w:shd w:val="clear" w:color="auto" w:fill="C6EFCE"/>
            <w:noWrap/>
          </w:tcPr>
          <w:p w14:paraId="6D18003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4CCCD15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6886BEC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Ponderea veniturilor fiscale crește cu cel puțin 2,5 puncte procentuale din PIB, comparativ cu nivelul observat în 2019 </w:t>
            </w:r>
          </w:p>
        </w:tc>
      </w:tr>
      <w:tr w:rsidR="000A27B3" w:rsidRPr="000A27B3" w14:paraId="5BC0B990"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47EAC7A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197</w:t>
            </w:r>
          </w:p>
        </w:tc>
        <w:tc>
          <w:tcPr>
            <w:tcW w:w="1833" w:type="dxa"/>
            <w:tcBorders>
              <w:top w:val="nil"/>
              <w:left w:val="nil"/>
              <w:bottom w:val="single" w:sz="4" w:space="0" w:color="auto"/>
              <w:right w:val="single" w:sz="4" w:space="0" w:color="auto"/>
            </w:tcBorders>
            <w:shd w:val="clear" w:color="auto" w:fill="C6EFCE"/>
            <w:noWrap/>
          </w:tcPr>
          <w:p w14:paraId="14FB395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1. Reforma Agenției Naționale de Administrare Fiscală (ANAF) prin digitalizare</w:t>
            </w:r>
          </w:p>
        </w:tc>
        <w:tc>
          <w:tcPr>
            <w:tcW w:w="1268" w:type="dxa"/>
            <w:tcBorders>
              <w:top w:val="nil"/>
              <w:left w:val="nil"/>
              <w:bottom w:val="single" w:sz="4" w:space="0" w:color="auto"/>
              <w:right w:val="single" w:sz="4" w:space="0" w:color="auto"/>
            </w:tcBorders>
            <w:shd w:val="clear" w:color="auto" w:fill="C6EFCE"/>
            <w:noWrap/>
          </w:tcPr>
          <w:p w14:paraId="04D2FA3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2CD5303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Reducerea deficitului de încasare a TVA cu 5 puncte procentuale </w:t>
            </w:r>
          </w:p>
        </w:tc>
        <w:tc>
          <w:tcPr>
            <w:tcW w:w="1711" w:type="dxa"/>
            <w:gridSpan w:val="2"/>
            <w:tcBorders>
              <w:top w:val="nil"/>
              <w:left w:val="nil"/>
              <w:bottom w:val="single" w:sz="4" w:space="0" w:color="auto"/>
              <w:right w:val="single" w:sz="4" w:space="0" w:color="auto"/>
            </w:tcBorders>
            <w:shd w:val="clear" w:color="auto" w:fill="C6EFCE"/>
            <w:noWrap/>
          </w:tcPr>
          <w:p w14:paraId="09A7CF4E"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62" w:type="dxa"/>
            <w:tcBorders>
              <w:top w:val="nil"/>
              <w:left w:val="nil"/>
              <w:bottom w:val="single" w:sz="4" w:space="0" w:color="auto"/>
              <w:right w:val="single" w:sz="4" w:space="0" w:color="auto"/>
            </w:tcBorders>
            <w:shd w:val="clear" w:color="auto" w:fill="C6EFCE"/>
            <w:noWrap/>
          </w:tcPr>
          <w:p w14:paraId="05C89997"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Puncte procentuale</w:t>
            </w:r>
          </w:p>
        </w:tc>
        <w:tc>
          <w:tcPr>
            <w:tcW w:w="1129" w:type="dxa"/>
            <w:tcBorders>
              <w:top w:val="nil"/>
              <w:left w:val="nil"/>
              <w:bottom w:val="single" w:sz="4" w:space="0" w:color="auto"/>
              <w:right w:val="single" w:sz="4" w:space="0" w:color="auto"/>
            </w:tcBorders>
            <w:shd w:val="clear" w:color="auto" w:fill="C6EFCE"/>
            <w:noWrap/>
          </w:tcPr>
          <w:p w14:paraId="7BB8D672"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7D07D423"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5</w:t>
            </w:r>
          </w:p>
          <w:p w14:paraId="30624551"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4509FEF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2B87B2C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15" w:type="dxa"/>
            <w:tcBorders>
              <w:top w:val="nil"/>
              <w:left w:val="nil"/>
              <w:bottom w:val="single" w:sz="4" w:space="0" w:color="auto"/>
              <w:right w:val="single" w:sz="4" w:space="0" w:color="auto"/>
            </w:tcBorders>
            <w:shd w:val="clear" w:color="auto" w:fill="C6EFCE"/>
            <w:noWrap/>
          </w:tcPr>
          <w:p w14:paraId="0FE1929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Deficitul de încasare a TVA este redus cu 5 puncte procentuale față de nivelul din 2019 </w:t>
            </w:r>
          </w:p>
        </w:tc>
      </w:tr>
      <w:tr w:rsidR="000A27B3" w:rsidRPr="000A27B3" w14:paraId="56AFEB82"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B9BB0F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198</w:t>
            </w:r>
          </w:p>
        </w:tc>
        <w:tc>
          <w:tcPr>
            <w:tcW w:w="1833" w:type="dxa"/>
            <w:tcBorders>
              <w:top w:val="nil"/>
              <w:left w:val="nil"/>
              <w:bottom w:val="single" w:sz="4" w:space="0" w:color="auto"/>
              <w:right w:val="single" w:sz="4" w:space="0" w:color="auto"/>
            </w:tcBorders>
            <w:shd w:val="clear" w:color="auto" w:fill="C6EFCE"/>
            <w:noWrap/>
          </w:tcPr>
          <w:p w14:paraId="6EDFC90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Modernizarea sistemului vamal și implementarea vămii electronice </w:t>
            </w:r>
          </w:p>
        </w:tc>
        <w:tc>
          <w:tcPr>
            <w:tcW w:w="1268" w:type="dxa"/>
            <w:tcBorders>
              <w:top w:val="nil"/>
              <w:left w:val="nil"/>
              <w:bottom w:val="single" w:sz="4" w:space="0" w:color="auto"/>
              <w:right w:val="single" w:sz="4" w:space="0" w:color="auto"/>
            </w:tcBorders>
            <w:shd w:val="clear" w:color="auto" w:fill="C6EFCE"/>
            <w:noWrap/>
          </w:tcPr>
          <w:p w14:paraId="1A308D6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53AC88BF" w14:textId="77777777" w:rsidR="00500CF9" w:rsidRPr="000A27B3" w:rsidRDefault="00500CF9">
            <w:pPr>
              <w:spacing w:after="0" w:line="240" w:lineRule="auto"/>
              <w:jc w:val="both"/>
              <w:rPr>
                <w:rFonts w:ascii="Times New Roman" w:hAnsi="Times New Roman" w:cs="Times New Roman"/>
                <w:noProof/>
                <w:sz w:val="24"/>
              </w:rPr>
            </w:pPr>
            <w:bookmarkStart w:id="10" w:name="_Hlk81579001"/>
            <w:r>
              <w:rPr>
                <w:rFonts w:ascii="Times New Roman" w:hAnsi="Times New Roman"/>
                <w:noProof/>
                <w:sz w:val="24"/>
              </w:rPr>
              <w:t>Intrarea în vigoare a modificărilor aduse cadrului de reglementare în vigoare pentru a se îmbunătăți funcționarea Autorității Vamale</w:t>
            </w:r>
          </w:p>
          <w:bookmarkEnd w:id="10"/>
          <w:p w14:paraId="1D06DE4E" w14:textId="77777777" w:rsidR="00500CF9" w:rsidRPr="009F1DC7" w:rsidRDefault="00500CF9">
            <w:pPr>
              <w:spacing w:after="0" w:line="240" w:lineRule="auto"/>
              <w:jc w:val="both"/>
              <w:rPr>
                <w:rFonts w:ascii="Times New Roman" w:hAnsi="Times New Roman" w:cs="Times New Roman"/>
                <w:noProof/>
                <w:sz w:val="24"/>
                <w:szCs w:val="24"/>
              </w:rPr>
            </w:pPr>
          </w:p>
        </w:tc>
        <w:tc>
          <w:tcPr>
            <w:tcW w:w="1711" w:type="dxa"/>
            <w:gridSpan w:val="2"/>
            <w:tcBorders>
              <w:top w:val="nil"/>
              <w:left w:val="nil"/>
              <w:bottom w:val="single" w:sz="4" w:space="0" w:color="auto"/>
              <w:right w:val="single" w:sz="4" w:space="0" w:color="auto"/>
            </w:tcBorders>
            <w:shd w:val="clear" w:color="auto" w:fill="C6EFCE"/>
            <w:noWrap/>
          </w:tcPr>
          <w:p w14:paraId="2B8B24C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modificărilor aduse cadrului juridic în vigoare în vederea îmbunătățirii funcționării Autorității Vamale</w:t>
            </w:r>
          </w:p>
        </w:tc>
        <w:tc>
          <w:tcPr>
            <w:tcW w:w="1062" w:type="dxa"/>
            <w:tcBorders>
              <w:top w:val="nil"/>
              <w:left w:val="nil"/>
              <w:bottom w:val="single" w:sz="4" w:space="0" w:color="auto"/>
              <w:right w:val="single" w:sz="4" w:space="0" w:color="auto"/>
            </w:tcBorders>
            <w:shd w:val="clear" w:color="auto" w:fill="C6EFCE"/>
            <w:noWrap/>
          </w:tcPr>
          <w:p w14:paraId="140F13AE"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2172B9D4"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494FB5A9"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11F8DE5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1376E0E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529E352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de a îmbunătăți capacitatea administrativă și operațională a Autorității Vamale și de a crea condiții favorabile pentru tranziția activității de vămuire către un mediu complet electronic. Reforma va operaționaliza, de asemenea, sistemul vamal electronic după instalarea sistemelor informatice relevante. În special, se vor întreprinde următoarele acțiuni: </w:t>
            </w:r>
          </w:p>
          <w:p w14:paraId="1A6A57CA"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rPr>
            </w:pPr>
            <w:r>
              <w:rPr>
                <w:rFonts w:ascii="Times New Roman" w:hAnsi="Times New Roman"/>
                <w:noProof/>
                <w:sz w:val="24"/>
              </w:rPr>
              <w:t xml:space="preserve">dezvoltarea sistemelor informatice ale autorității vamale în conformitate cu cerințele Codului vamal al Uniunii; </w:t>
            </w:r>
          </w:p>
          <w:p w14:paraId="7CB69774"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rPr>
            </w:pPr>
            <w:r>
              <w:rPr>
                <w:rFonts w:ascii="Times New Roman" w:hAnsi="Times New Roman"/>
                <w:noProof/>
                <w:sz w:val="24"/>
              </w:rPr>
              <w:t>reorientarea activității de vămuire către mediul electronic și reducerea barierelor birocratice;</w:t>
            </w:r>
          </w:p>
          <w:p w14:paraId="03DD2A64"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rPr>
            </w:pPr>
            <w:r>
              <w:rPr>
                <w:rFonts w:ascii="Times New Roman" w:hAnsi="Times New Roman"/>
                <w:noProof/>
                <w:sz w:val="24"/>
              </w:rPr>
              <w:t>simplificarea formalităților vamale.</w:t>
            </w:r>
          </w:p>
        </w:tc>
      </w:tr>
      <w:tr w:rsidR="000A27B3" w:rsidRPr="000A27B3" w14:paraId="0FB662B7"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5EAC85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199</w:t>
            </w:r>
          </w:p>
        </w:tc>
        <w:tc>
          <w:tcPr>
            <w:tcW w:w="1833" w:type="dxa"/>
            <w:tcBorders>
              <w:top w:val="nil"/>
              <w:left w:val="nil"/>
              <w:bottom w:val="single" w:sz="4" w:space="0" w:color="auto"/>
              <w:right w:val="single" w:sz="4" w:space="0" w:color="auto"/>
            </w:tcBorders>
            <w:shd w:val="clear" w:color="auto" w:fill="C6EFCE"/>
            <w:noWrap/>
          </w:tcPr>
          <w:p w14:paraId="0B15BEC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5C45939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743BEEE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cadrului de reglementare modificat pentru a asigura planificarea bugetară multianuală pentru proiectele semnificative de investiții publice și efectuarea unei evaluări </w:t>
            </w:r>
            <w:r>
              <w:rPr>
                <w:rFonts w:ascii="Times New Roman" w:hAnsi="Times New Roman"/>
                <w:i/>
                <w:noProof/>
                <w:sz w:val="24"/>
              </w:rPr>
              <w:t>ex-post</w:t>
            </w:r>
            <w:r>
              <w:rPr>
                <w:rFonts w:ascii="Times New Roman" w:hAnsi="Times New Roman"/>
                <w:noProof/>
                <w:sz w:val="24"/>
              </w:rPr>
              <w:t xml:space="preserve"> a analizei cheltuielilor de către Consiliul Fiscal</w:t>
            </w:r>
          </w:p>
        </w:tc>
        <w:tc>
          <w:tcPr>
            <w:tcW w:w="1711" w:type="dxa"/>
            <w:gridSpan w:val="2"/>
            <w:tcBorders>
              <w:top w:val="nil"/>
              <w:left w:val="nil"/>
              <w:bottom w:val="single" w:sz="4" w:space="0" w:color="auto"/>
              <w:right w:val="single" w:sz="4" w:space="0" w:color="auto"/>
            </w:tcBorders>
            <w:shd w:val="clear" w:color="auto" w:fill="C6EFCE"/>
            <w:noWrap/>
          </w:tcPr>
          <w:p w14:paraId="3A48249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modificărilor pentru asigurarea planificării bugetare multianuale pentru proiectele semnificative de investiții publice</w:t>
            </w:r>
          </w:p>
        </w:tc>
        <w:tc>
          <w:tcPr>
            <w:tcW w:w="1062" w:type="dxa"/>
            <w:tcBorders>
              <w:top w:val="nil"/>
              <w:left w:val="nil"/>
              <w:bottom w:val="single" w:sz="4" w:space="0" w:color="auto"/>
              <w:right w:val="single" w:sz="4" w:space="0" w:color="auto"/>
            </w:tcBorders>
            <w:shd w:val="clear" w:color="auto" w:fill="C6EFCE"/>
            <w:noWrap/>
          </w:tcPr>
          <w:p w14:paraId="7CAFF889"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05DE9782"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476713E4"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5872FE7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4E99505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6AABA7B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Noul cadru legislativ va aduce modificări:</w:t>
            </w:r>
          </w:p>
          <w:p w14:paraId="564D10D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Legii nr. 500/2002 privind finanțele publice, cu modificările și completările ulterioare, în sensul stabilirii de criterii și condiții pentru construcția bugetară privind proiectele semnificative de investiții multianuale, în special cheltuielile privind proiectele de investiții semnificative, astfel încât să fie asigurată finanțarea până la finalizarea acestora.</w:t>
            </w:r>
          </w:p>
          <w:p w14:paraId="658BABE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Ordonanței de urgență a Guvernului nr. 88/2013 privind adoptarea unor măsuri fiscal-bugetare pentru îndeplinirea angajamentelor convenite cu organismele internaționale, precum și pentru modificarea și completarea anumitor acte normative, cu modificările și completările ulterioare, prin care se vor actualiza principiile care stau la baza prioritizării proiectelor de investiții publice semnificative, noi și în desfășurare, în ceea ce privește accesibilitatea și sustenabilitatea financiară, precum și justificarea economică și socială; se va actualiza calendarul procesului de prioritizare a investițiilor publice semnificative în vederea corelării cu calendarul anual și multianual al elaborării bugetului; se vor institui condiții/sancțiuni pentru ordonatorii principali de credite care nu respectă calendarul și regulile procesului de prioritizare a investițiilor semnificative;</w:t>
            </w:r>
          </w:p>
          <w:p w14:paraId="3A4F4FD5" w14:textId="65AFAD9A"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Hotărârii Guvernului nr. 225/2014 pentru aprobarea Normelor metodologice privind prioritizarea proiectelor de investiții publice, cu modificările și completările ulterioare, prin care se vor modifica criteriile de prioritizare care se aplică proiectelor de investiții publice semnificative noi și în desfășurare, astfel încât bugetarea să fie orientată spre finalizarea cu prioritate a proiectelor de investiții majore aflate în faze avansate de execuție. </w:t>
            </w:r>
          </w:p>
        </w:tc>
      </w:tr>
      <w:tr w:rsidR="000A27B3" w:rsidRPr="000A27B3" w14:paraId="2C9C98C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62F5D32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200</w:t>
            </w:r>
          </w:p>
        </w:tc>
        <w:tc>
          <w:tcPr>
            <w:tcW w:w="1833" w:type="dxa"/>
            <w:tcBorders>
              <w:top w:val="nil"/>
              <w:left w:val="nil"/>
              <w:bottom w:val="single" w:sz="4" w:space="0" w:color="auto"/>
              <w:right w:val="single" w:sz="4" w:space="0" w:color="auto"/>
            </w:tcBorders>
            <w:shd w:val="clear" w:color="auto" w:fill="C6EFCE"/>
            <w:noWrap/>
          </w:tcPr>
          <w:p w14:paraId="0BB1923A" w14:textId="6B1EC6E5"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36436A8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5359898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hotărârii de guvern de aprobare a metodologiei de elaborare, monitorizare și raportare a programelor bugetare</w:t>
            </w:r>
          </w:p>
        </w:tc>
        <w:tc>
          <w:tcPr>
            <w:tcW w:w="1711" w:type="dxa"/>
            <w:gridSpan w:val="2"/>
            <w:tcBorders>
              <w:top w:val="nil"/>
              <w:left w:val="nil"/>
              <w:bottom w:val="single" w:sz="4" w:space="0" w:color="auto"/>
              <w:right w:val="single" w:sz="4" w:space="0" w:color="auto"/>
            </w:tcBorders>
            <w:shd w:val="clear" w:color="auto" w:fill="C6EFCE"/>
            <w:noWrap/>
          </w:tcPr>
          <w:p w14:paraId="2CFD5EB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într-o hotărâre de guvern care indică intrarea în vigoare a actului legislativ de aprobare a metodologiei de elaborare, monitorizare și raportare a programelor bugetare</w:t>
            </w:r>
          </w:p>
        </w:tc>
        <w:tc>
          <w:tcPr>
            <w:tcW w:w="1062" w:type="dxa"/>
            <w:tcBorders>
              <w:top w:val="nil"/>
              <w:left w:val="nil"/>
              <w:bottom w:val="single" w:sz="4" w:space="0" w:color="auto"/>
              <w:right w:val="single" w:sz="4" w:space="0" w:color="auto"/>
            </w:tcBorders>
            <w:shd w:val="clear" w:color="auto" w:fill="C6EFCE"/>
            <w:noWrap/>
          </w:tcPr>
          <w:p w14:paraId="0F26D963"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606E7511"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088DFFAB"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4A960B9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7946F90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32CCF16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Hotărârea de Guvern:</w:t>
            </w:r>
          </w:p>
          <w:p w14:paraId="7B554D6F"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 va asigura elaborarea, monitorizarea și raportarea programelor bugetare;</w:t>
            </w:r>
          </w:p>
          <w:p w14:paraId="12889FCD"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va îmbunătăți planificarea bugetară bazată pe performanță și va spori orientarea către rezultate;</w:t>
            </w:r>
          </w:p>
          <w:p w14:paraId="1E673458"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va stabili clar obiective, ținte, rezultate ale acțiunilor, impactul politicilor, precum și indicatorii care vor permite atât dezbateri </w:t>
            </w:r>
            <w:r>
              <w:rPr>
                <w:rFonts w:ascii="Times New Roman" w:hAnsi="Times New Roman"/>
                <w:i/>
                <w:noProof/>
                <w:sz w:val="24"/>
              </w:rPr>
              <w:t>ex-ante</w:t>
            </w:r>
            <w:r>
              <w:rPr>
                <w:rFonts w:ascii="Times New Roman" w:hAnsi="Times New Roman"/>
                <w:noProof/>
                <w:sz w:val="24"/>
              </w:rPr>
              <w:t xml:space="preserve"> riguroase asupra politicilor publice ce urmează a fi finanțate, cât și o evaluare transparentă și argumentată a felului în care programele bugetate au atins obiectivele și țintele politicii publice.</w:t>
            </w:r>
          </w:p>
          <w:p w14:paraId="784FE8A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Această hotărâre de guvern va fi corelată cu revizuirea aplicației Buget_NG. </w:t>
            </w:r>
          </w:p>
        </w:tc>
      </w:tr>
      <w:tr w:rsidR="000A27B3" w:rsidRPr="000A27B3" w14:paraId="6BFF9774"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E9E8D0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201</w:t>
            </w:r>
          </w:p>
        </w:tc>
        <w:tc>
          <w:tcPr>
            <w:tcW w:w="1833" w:type="dxa"/>
            <w:tcBorders>
              <w:top w:val="nil"/>
              <w:left w:val="nil"/>
              <w:bottom w:val="single" w:sz="4" w:space="0" w:color="auto"/>
              <w:right w:val="single" w:sz="4" w:space="0" w:color="auto"/>
            </w:tcBorders>
            <w:shd w:val="clear" w:color="auto" w:fill="C6EFCE"/>
            <w:noWrap/>
          </w:tcPr>
          <w:p w14:paraId="7394DA85" w14:textId="0A31CAEA"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w:t>
            </w:r>
          </w:p>
          <w:p w14:paraId="30901B2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236D69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37705E0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Finalizarea analizei cheltuielilor în sectoarele sănătății și educației </w:t>
            </w:r>
          </w:p>
        </w:tc>
        <w:tc>
          <w:tcPr>
            <w:tcW w:w="1711" w:type="dxa"/>
            <w:gridSpan w:val="2"/>
            <w:tcBorders>
              <w:top w:val="nil"/>
              <w:left w:val="nil"/>
              <w:bottom w:val="single" w:sz="4" w:space="0" w:color="auto"/>
              <w:right w:val="single" w:sz="4" w:space="0" w:color="auto"/>
            </w:tcBorders>
            <w:shd w:val="clear" w:color="auto" w:fill="C6EFCE"/>
            <w:noWrap/>
          </w:tcPr>
          <w:p w14:paraId="6CD4A17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Publicarea analizei cheltuielilor în domeniile educației și sănătății</w:t>
            </w:r>
          </w:p>
        </w:tc>
        <w:tc>
          <w:tcPr>
            <w:tcW w:w="1062" w:type="dxa"/>
            <w:tcBorders>
              <w:top w:val="nil"/>
              <w:left w:val="nil"/>
              <w:bottom w:val="single" w:sz="4" w:space="0" w:color="auto"/>
              <w:right w:val="single" w:sz="4" w:space="0" w:color="auto"/>
            </w:tcBorders>
            <w:shd w:val="clear" w:color="auto" w:fill="C6EFCE"/>
            <w:noWrap/>
          </w:tcPr>
          <w:p w14:paraId="34441BEA"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33EFC23D"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0FFB7D06"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3DF8010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6E4B7B8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60CF912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Analiza cheltuielilor în sectoarele sănătății și educației se efectuează în trei etape principale:</w:t>
            </w:r>
          </w:p>
          <w:p w14:paraId="1601A480" w14:textId="77777777" w:rsidR="00500CF9" w:rsidRPr="000A27B3" w:rsidRDefault="00500CF9" w:rsidP="00500CF9">
            <w:pPr>
              <w:pStyle w:val="ListParagraph"/>
              <w:numPr>
                <w:ilvl w:val="0"/>
                <w:numId w:val="66"/>
              </w:numPr>
              <w:spacing w:after="0" w:line="240" w:lineRule="auto"/>
              <w:jc w:val="both"/>
              <w:rPr>
                <w:rFonts w:ascii="Times New Roman" w:hAnsi="Times New Roman" w:cs="Times New Roman"/>
                <w:noProof/>
                <w:sz w:val="24"/>
              </w:rPr>
            </w:pPr>
            <w:r>
              <w:rPr>
                <w:rFonts w:ascii="Times New Roman" w:hAnsi="Times New Roman"/>
                <w:noProof/>
                <w:sz w:val="24"/>
              </w:rPr>
              <w:t xml:space="preserve">Memorandum în Guvern de prezentare a analizei cheltuielilor în sectoarele sănătății și educației. </w:t>
            </w:r>
          </w:p>
          <w:p w14:paraId="58106F9B" w14:textId="77777777" w:rsidR="00500CF9" w:rsidRPr="000A27B3" w:rsidRDefault="00500CF9" w:rsidP="00500CF9">
            <w:pPr>
              <w:pStyle w:val="ListParagraph"/>
              <w:numPr>
                <w:ilvl w:val="0"/>
                <w:numId w:val="66"/>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Crearea unor grupuri de lucru tematice cu reprezentanți ai Ministerului de Finanțe, ai Ministerului Sănătății, ai Casei Naționale de Asigurări de Sănătate/ai Ministerului Educației. </w:t>
            </w:r>
          </w:p>
          <w:p w14:paraId="0996747D" w14:textId="77777777" w:rsidR="00500CF9" w:rsidRPr="000A27B3" w:rsidRDefault="00500CF9" w:rsidP="00500CF9">
            <w:pPr>
              <w:pStyle w:val="ListParagraph"/>
              <w:numPr>
                <w:ilvl w:val="0"/>
                <w:numId w:val="66"/>
              </w:numPr>
              <w:spacing w:after="0" w:line="240" w:lineRule="auto"/>
              <w:jc w:val="both"/>
              <w:rPr>
                <w:rFonts w:ascii="Times New Roman" w:hAnsi="Times New Roman" w:cs="Times New Roman"/>
                <w:noProof/>
                <w:sz w:val="24"/>
                <w:szCs w:val="24"/>
              </w:rPr>
            </w:pPr>
            <w:r>
              <w:rPr>
                <w:rFonts w:ascii="Times New Roman" w:hAnsi="Times New Roman"/>
                <w:noProof/>
                <w:sz w:val="24"/>
              </w:rPr>
              <w:t>Colectarea de date, finalizarea analizelor și prezentarea rezultatelor.</w:t>
            </w:r>
          </w:p>
        </w:tc>
      </w:tr>
      <w:tr w:rsidR="000A27B3" w:rsidRPr="000A27B3" w14:paraId="3830273D"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4762383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w:t>
            </w:r>
          </w:p>
        </w:tc>
        <w:tc>
          <w:tcPr>
            <w:tcW w:w="1833" w:type="dxa"/>
            <w:tcBorders>
              <w:top w:val="nil"/>
              <w:left w:val="nil"/>
              <w:bottom w:val="single" w:sz="4" w:space="0" w:color="auto"/>
              <w:right w:val="single" w:sz="4" w:space="0" w:color="auto"/>
            </w:tcBorders>
            <w:shd w:val="clear" w:color="auto" w:fill="C6EFCE"/>
            <w:noWrap/>
          </w:tcPr>
          <w:p w14:paraId="1E14B383" w14:textId="0B5B19C4"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1B376E4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388E4A6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Adoptarea unei strategii multianuale și a unui calendar pentru o analiză sistematică a cheltuielilor în toate sectoarele </w:t>
            </w:r>
          </w:p>
        </w:tc>
        <w:tc>
          <w:tcPr>
            <w:tcW w:w="1711" w:type="dxa"/>
            <w:gridSpan w:val="2"/>
            <w:tcBorders>
              <w:top w:val="nil"/>
              <w:left w:val="nil"/>
              <w:bottom w:val="single" w:sz="4" w:space="0" w:color="auto"/>
              <w:right w:val="single" w:sz="4" w:space="0" w:color="auto"/>
            </w:tcBorders>
            <w:shd w:val="clear" w:color="auto" w:fill="C6EFCE"/>
            <w:noWrap/>
          </w:tcPr>
          <w:p w14:paraId="45C9E6A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Memorandum aprobat de guvern și publicat </w:t>
            </w:r>
          </w:p>
        </w:tc>
        <w:tc>
          <w:tcPr>
            <w:tcW w:w="1062" w:type="dxa"/>
            <w:tcBorders>
              <w:top w:val="nil"/>
              <w:left w:val="nil"/>
              <w:bottom w:val="single" w:sz="4" w:space="0" w:color="auto"/>
              <w:right w:val="single" w:sz="4" w:space="0" w:color="auto"/>
            </w:tcBorders>
            <w:shd w:val="clear" w:color="auto" w:fill="C6EFCE"/>
            <w:noWrap/>
          </w:tcPr>
          <w:p w14:paraId="6DA27134" w14:textId="77777777" w:rsidR="00500CF9" w:rsidRPr="009F1DC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0BDDBE3F" w14:textId="77777777" w:rsidR="00500CF9" w:rsidRPr="009F1DC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54D82F28" w14:textId="77777777" w:rsidR="00500CF9" w:rsidRPr="009F1DC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0495FB2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08D1F1E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7939C46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Memorandumul trimis spre aprobare Guvernului va fi redactat de Ministerul Finanțelor și va defini domeniile/programele/acțiunile care vor face obiectul unor analize viitoare ale cheltuielilor, calendarul punerii în aplicare, instituțiile responsabile și constituirea grupurilor de lucru pentru fiecare domeniu avut în vedere.</w:t>
            </w:r>
          </w:p>
        </w:tc>
      </w:tr>
      <w:tr w:rsidR="000A27B3" w:rsidRPr="000A27B3" w14:paraId="2059D5B0"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A5E333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203</w:t>
            </w:r>
          </w:p>
        </w:tc>
        <w:tc>
          <w:tcPr>
            <w:tcW w:w="1833" w:type="dxa"/>
            <w:tcBorders>
              <w:top w:val="nil"/>
              <w:left w:val="nil"/>
              <w:bottom w:val="single" w:sz="4" w:space="0" w:color="auto"/>
              <w:right w:val="single" w:sz="4" w:space="0" w:color="auto"/>
            </w:tcBorders>
            <w:shd w:val="clear" w:color="auto" w:fill="C6EFCE"/>
            <w:noWrap/>
          </w:tcPr>
          <w:p w14:paraId="7ADEA51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w:t>
            </w:r>
          </w:p>
          <w:p w14:paraId="4A6FFF0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4596A44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3F2811C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Proiectul de lege a bugetului pentru 2024 include recomandările analizei cheltuielilor (sectoarele sănătății și educației)</w:t>
            </w:r>
          </w:p>
        </w:tc>
        <w:tc>
          <w:tcPr>
            <w:tcW w:w="1711" w:type="dxa"/>
            <w:gridSpan w:val="2"/>
            <w:tcBorders>
              <w:top w:val="nil"/>
              <w:left w:val="nil"/>
              <w:bottom w:val="single" w:sz="4" w:space="0" w:color="auto"/>
              <w:right w:val="single" w:sz="4" w:space="0" w:color="auto"/>
            </w:tcBorders>
            <w:shd w:val="clear" w:color="auto" w:fill="C6EFCE"/>
            <w:noWrap/>
          </w:tcPr>
          <w:p w14:paraId="7F3DDF2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Proiectul de buget include rezultatele analizelor cheltuielilor în sectoarele sănătății și educației</w:t>
            </w:r>
          </w:p>
        </w:tc>
        <w:tc>
          <w:tcPr>
            <w:tcW w:w="1062" w:type="dxa"/>
            <w:tcBorders>
              <w:top w:val="nil"/>
              <w:left w:val="nil"/>
              <w:bottom w:val="single" w:sz="4" w:space="0" w:color="auto"/>
              <w:right w:val="single" w:sz="4" w:space="0" w:color="auto"/>
            </w:tcBorders>
            <w:shd w:val="clear" w:color="auto" w:fill="C6EFCE"/>
            <w:noWrap/>
          </w:tcPr>
          <w:p w14:paraId="03A76E75"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49453F77"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00A0A495"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2DD68E4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1B1CB20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36E5938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Proiectul de buget 2024 va reflecta măsurile și propunerile rezultate din analizele cheltuielilor în sectoarele sănătății și educației. </w:t>
            </w:r>
          </w:p>
        </w:tc>
      </w:tr>
      <w:tr w:rsidR="000A27B3" w:rsidRPr="000A27B3" w14:paraId="2B07255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16773B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204</w:t>
            </w:r>
          </w:p>
        </w:tc>
        <w:tc>
          <w:tcPr>
            <w:tcW w:w="1833" w:type="dxa"/>
            <w:tcBorders>
              <w:top w:val="nil"/>
              <w:left w:val="nil"/>
              <w:bottom w:val="single" w:sz="4" w:space="0" w:color="auto"/>
              <w:right w:val="single" w:sz="4" w:space="0" w:color="auto"/>
            </w:tcBorders>
            <w:shd w:val="clear" w:color="auto" w:fill="C6EFCE"/>
            <w:noWrap/>
          </w:tcPr>
          <w:p w14:paraId="68CFF95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w:t>
            </w:r>
          </w:p>
          <w:p w14:paraId="0D9D7D1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6DD47FD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0C396CE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legii prin care Consiliului Fiscal i se încredințează sarcina de a realiza o evaluare periodică a impactului analizelor cheltuielilor și de a elabora unui raport de punere în aplicare </w:t>
            </w:r>
          </w:p>
        </w:tc>
        <w:tc>
          <w:tcPr>
            <w:tcW w:w="1711" w:type="dxa"/>
            <w:gridSpan w:val="2"/>
            <w:tcBorders>
              <w:top w:val="nil"/>
              <w:left w:val="nil"/>
              <w:bottom w:val="single" w:sz="4" w:space="0" w:color="auto"/>
              <w:right w:val="single" w:sz="4" w:space="0" w:color="auto"/>
            </w:tcBorders>
            <w:shd w:val="clear" w:color="auto" w:fill="C6EFCE"/>
            <w:noWrap/>
          </w:tcPr>
          <w:p w14:paraId="12143922" w14:textId="77777777" w:rsidR="00500CF9" w:rsidRPr="009F1DC7" w:rsidRDefault="00500CF9">
            <w:pPr>
              <w:spacing w:after="0" w:line="240" w:lineRule="auto"/>
              <w:jc w:val="both"/>
              <w:rPr>
                <w:rFonts w:ascii="Times New Roman" w:hAnsi="Times New Roman" w:cs="Times New Roman"/>
                <w:noProof/>
                <w:sz w:val="24"/>
                <w:szCs w:val="24"/>
              </w:rPr>
            </w:pPr>
          </w:p>
          <w:p w14:paraId="2CE084F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mandatului instituției independente</w:t>
            </w:r>
          </w:p>
        </w:tc>
        <w:tc>
          <w:tcPr>
            <w:tcW w:w="1062" w:type="dxa"/>
            <w:tcBorders>
              <w:top w:val="nil"/>
              <w:left w:val="nil"/>
              <w:bottom w:val="single" w:sz="4" w:space="0" w:color="auto"/>
              <w:right w:val="single" w:sz="4" w:space="0" w:color="auto"/>
            </w:tcBorders>
            <w:shd w:val="clear" w:color="auto" w:fill="C6EFCE"/>
            <w:noWrap/>
          </w:tcPr>
          <w:p w14:paraId="3C592F93"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4482F750"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6F569AE4"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68810D1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39DF494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tcPr>
          <w:p w14:paraId="460AE52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 lege va încredința Consiliului Fiscal mandatul de a emite un aviz cu privire la rezultatul analizei cheltuielilor începând cu bugetul 2024, urmat de un raport anual. Această analiză periodică va fi inclusă în mandatul Consiliului Fiscal, care urmează să fie pus în aplicare împreună cu modificările aduse legii fiscale (jalonul 199).</w:t>
            </w:r>
          </w:p>
        </w:tc>
      </w:tr>
      <w:tr w:rsidR="000A27B3" w:rsidRPr="000A27B3" w14:paraId="5607B8AD"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4C30A90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205</w:t>
            </w:r>
          </w:p>
        </w:tc>
        <w:tc>
          <w:tcPr>
            <w:tcW w:w="1833" w:type="dxa"/>
            <w:tcBorders>
              <w:top w:val="nil"/>
              <w:left w:val="nil"/>
              <w:bottom w:val="single" w:sz="4" w:space="0" w:color="auto"/>
              <w:right w:val="single" w:sz="4" w:space="0" w:color="auto"/>
            </w:tcBorders>
            <w:shd w:val="clear" w:color="auto" w:fill="C6EFCE"/>
            <w:noWrap/>
          </w:tcPr>
          <w:p w14:paraId="01D1B91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4. Revizuirea cadrului fiscal </w:t>
            </w:r>
          </w:p>
        </w:tc>
        <w:tc>
          <w:tcPr>
            <w:tcW w:w="1268" w:type="dxa"/>
            <w:tcBorders>
              <w:top w:val="nil"/>
              <w:left w:val="nil"/>
              <w:bottom w:val="single" w:sz="4" w:space="0" w:color="auto"/>
              <w:right w:val="single" w:sz="4" w:space="0" w:color="auto"/>
            </w:tcBorders>
            <w:shd w:val="clear" w:color="auto" w:fill="C6EFCE"/>
            <w:noWrap/>
          </w:tcPr>
          <w:p w14:paraId="65B602F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129BA6C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Analiza sistemului fiscal al României cu scopul de a formula recomandări pentru a se asigura faptul că sistemul fiscal contribuie la promovarea și menținerea unei creșteri economice sustenabile</w:t>
            </w:r>
          </w:p>
        </w:tc>
        <w:tc>
          <w:tcPr>
            <w:tcW w:w="1711" w:type="dxa"/>
            <w:gridSpan w:val="2"/>
            <w:tcBorders>
              <w:top w:val="nil"/>
              <w:left w:val="nil"/>
              <w:bottom w:val="single" w:sz="4" w:space="0" w:color="auto"/>
              <w:right w:val="single" w:sz="4" w:space="0" w:color="auto"/>
            </w:tcBorders>
            <w:shd w:val="clear" w:color="auto" w:fill="C6EFCE"/>
            <w:noWrap/>
          </w:tcPr>
          <w:p w14:paraId="7859045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Analiză finalizată, publicarea raportului cu analiza și recomandările, avizat de/redactat în colaborare cu instituțiile independente care furnizează asistență tehnică</w:t>
            </w:r>
          </w:p>
        </w:tc>
        <w:tc>
          <w:tcPr>
            <w:tcW w:w="1062" w:type="dxa"/>
            <w:tcBorders>
              <w:top w:val="nil"/>
              <w:left w:val="nil"/>
              <w:bottom w:val="single" w:sz="4" w:space="0" w:color="auto"/>
              <w:right w:val="single" w:sz="4" w:space="0" w:color="auto"/>
            </w:tcBorders>
            <w:shd w:val="clear" w:color="auto" w:fill="C6EFCE"/>
            <w:noWrap/>
          </w:tcPr>
          <w:p w14:paraId="0A096437"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Nu se aplică</w:t>
            </w:r>
          </w:p>
        </w:tc>
        <w:tc>
          <w:tcPr>
            <w:tcW w:w="1129" w:type="dxa"/>
            <w:tcBorders>
              <w:top w:val="nil"/>
              <w:left w:val="nil"/>
              <w:bottom w:val="single" w:sz="4" w:space="0" w:color="auto"/>
              <w:right w:val="single" w:sz="4" w:space="0" w:color="auto"/>
            </w:tcBorders>
            <w:shd w:val="clear" w:color="auto" w:fill="C6EFCE"/>
            <w:noWrap/>
          </w:tcPr>
          <w:p w14:paraId="25565259"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Nu se aplică</w:t>
            </w:r>
          </w:p>
        </w:tc>
        <w:tc>
          <w:tcPr>
            <w:tcW w:w="1269" w:type="dxa"/>
            <w:tcBorders>
              <w:top w:val="nil"/>
              <w:left w:val="nil"/>
              <w:bottom w:val="single" w:sz="4" w:space="0" w:color="auto"/>
              <w:right w:val="single" w:sz="4" w:space="0" w:color="auto"/>
            </w:tcBorders>
            <w:shd w:val="clear" w:color="auto" w:fill="C6EFCE"/>
            <w:noWrap/>
          </w:tcPr>
          <w:p w14:paraId="7BA1D4EE"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0A729BE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9D4E1D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26E8A98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Ministerul Finanțelor va efectua, cu sprijinul asistenței tehnice, al serviciilor de consiliere și de consultanță, o analiză a modului în care poate fi îmbunătățită structura sistemului fiscal/legislației fiscale din România astfel încât sistemul fiscal să contribuie la promovarea și menținerea unei creșteri economice durabile. Accentul se va pune pe: </w:t>
            </w:r>
          </w:p>
          <w:p w14:paraId="46BD8C1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eliminarea treptată a stimulentelor fiscale și a lacunelor fiscale în ceea ce privește impozitul pe venit, impozitul pe profit (inclusiv regimurile speciale care pot face obiectul unor derogări), </w:t>
            </w:r>
          </w:p>
          <w:p w14:paraId="70B54B7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contribuțiile sociale și impozitul pe proprietate (și anume impozitele locale) și </w:t>
            </w:r>
          </w:p>
          <w:p w14:paraId="761C012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orientarea regimului fiscal către aplicarea de taxe ecologice, ținând seama de impactul de redistribuire a veniturilor al acestei măsuri. </w:t>
            </w:r>
          </w:p>
          <w:p w14:paraId="2B64D33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Analiza și recomandările vor fi publicate de Ministerul Finanțelor.</w:t>
            </w:r>
          </w:p>
        </w:tc>
      </w:tr>
      <w:tr w:rsidR="000A27B3" w:rsidRPr="000A27B3" w14:paraId="7CD35B4B"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1449A9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206</w:t>
            </w:r>
          </w:p>
        </w:tc>
        <w:tc>
          <w:tcPr>
            <w:tcW w:w="1833" w:type="dxa"/>
            <w:tcBorders>
              <w:top w:val="nil"/>
              <w:left w:val="nil"/>
              <w:bottom w:val="single" w:sz="4" w:space="0" w:color="auto"/>
              <w:right w:val="single" w:sz="4" w:space="0" w:color="auto"/>
            </w:tcBorders>
            <w:shd w:val="clear" w:color="auto" w:fill="C6EFCE"/>
            <w:noWrap/>
          </w:tcPr>
          <w:p w14:paraId="3FEA7EB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4. Revizuirea cadrului fiscal</w:t>
            </w:r>
          </w:p>
        </w:tc>
        <w:tc>
          <w:tcPr>
            <w:tcW w:w="1268" w:type="dxa"/>
            <w:tcBorders>
              <w:top w:val="nil"/>
              <w:left w:val="nil"/>
              <w:bottom w:val="single" w:sz="4" w:space="0" w:color="auto"/>
              <w:right w:val="single" w:sz="4" w:space="0" w:color="auto"/>
            </w:tcBorders>
            <w:shd w:val="clear" w:color="auto" w:fill="C6EFCE"/>
            <w:noWrap/>
          </w:tcPr>
          <w:p w14:paraId="220C551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4E28A55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modificărilor aduse Codului fiscal care reduc treptat domeniul de aplicare al regimului fiscal special aplicabil microîntreprinderilor </w:t>
            </w:r>
          </w:p>
        </w:tc>
        <w:tc>
          <w:tcPr>
            <w:tcW w:w="1711" w:type="dxa"/>
            <w:gridSpan w:val="2"/>
            <w:tcBorders>
              <w:top w:val="nil"/>
              <w:left w:val="nil"/>
              <w:bottom w:val="single" w:sz="4" w:space="0" w:color="auto"/>
              <w:right w:val="single" w:sz="4" w:space="0" w:color="auto"/>
            </w:tcBorders>
            <w:shd w:val="clear" w:color="auto" w:fill="C6EFCE"/>
            <w:noWrap/>
          </w:tcPr>
          <w:p w14:paraId="085C334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care indică intrarea în vigoare a modificărilor aduse Codului fiscal </w:t>
            </w:r>
          </w:p>
        </w:tc>
        <w:tc>
          <w:tcPr>
            <w:tcW w:w="1062" w:type="dxa"/>
            <w:tcBorders>
              <w:top w:val="nil"/>
              <w:left w:val="nil"/>
              <w:bottom w:val="single" w:sz="4" w:space="0" w:color="auto"/>
              <w:right w:val="single" w:sz="4" w:space="0" w:color="auto"/>
            </w:tcBorders>
            <w:shd w:val="clear" w:color="auto" w:fill="C6EFCE"/>
            <w:noWrap/>
          </w:tcPr>
          <w:p w14:paraId="5429075C"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450C2DF6"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7F4C1287"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246FAEE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B963A2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7D428AC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Noua lege va modifica Codul Fiscal în vederea reducerii graduale a ariei de aplicabilitate a regimului special de taxare pentru microîntreprinderi. Reducerea dispozițiilor speciale începe în T1 2023 și se finalizează până în T4 2024.</w:t>
            </w:r>
          </w:p>
        </w:tc>
      </w:tr>
      <w:tr w:rsidR="000A27B3" w:rsidRPr="000A27B3" w14:paraId="2E5D8930"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3624C7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207</w:t>
            </w:r>
          </w:p>
        </w:tc>
        <w:tc>
          <w:tcPr>
            <w:tcW w:w="1833" w:type="dxa"/>
            <w:tcBorders>
              <w:top w:val="nil"/>
              <w:left w:val="nil"/>
              <w:bottom w:val="single" w:sz="4" w:space="0" w:color="auto"/>
              <w:right w:val="single" w:sz="4" w:space="0" w:color="auto"/>
            </w:tcBorders>
            <w:shd w:val="clear" w:color="auto" w:fill="C6EFCE"/>
            <w:noWrap/>
          </w:tcPr>
          <w:p w14:paraId="7D1BA98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4. Revizuirea cadrului fiscal</w:t>
            </w:r>
          </w:p>
        </w:tc>
        <w:tc>
          <w:tcPr>
            <w:tcW w:w="1268" w:type="dxa"/>
            <w:tcBorders>
              <w:top w:val="nil"/>
              <w:left w:val="nil"/>
              <w:bottom w:val="single" w:sz="4" w:space="0" w:color="auto"/>
              <w:right w:val="single" w:sz="4" w:space="0" w:color="auto"/>
            </w:tcBorders>
            <w:shd w:val="clear" w:color="auto" w:fill="C6EFCE"/>
            <w:noWrap/>
          </w:tcPr>
          <w:p w14:paraId="29435A0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17E1FBE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w:t>
            </w:r>
          </w:p>
          <w:p w14:paraId="53890D87" w14:textId="77777777" w:rsidR="00500CF9" w:rsidRPr="000A27B3" w:rsidRDefault="00500CF9">
            <w:pPr>
              <w:spacing w:before="120" w:after="0" w:line="240" w:lineRule="auto"/>
              <w:jc w:val="both"/>
              <w:rPr>
                <w:rFonts w:ascii="Times New Roman" w:hAnsi="Times New Roman" w:cs="Times New Roman"/>
                <w:noProof/>
                <w:sz w:val="24"/>
                <w:szCs w:val="24"/>
              </w:rPr>
            </w:pPr>
            <w:r>
              <w:rPr>
                <w:rFonts w:ascii="Times New Roman" w:hAnsi="Times New Roman"/>
                <w:noProof/>
                <w:sz w:val="24"/>
              </w:rPr>
              <w:t>- modificărilor aduse Codului fiscal (Legea nr. 227/2015) în vederea reducerii și/sau a eliminării altor stimulente fiscale cu scopul de a simplifica sistemul fiscal, de a-l face mai eficient, mai transparent și mai echitabil până în 2024</w:t>
            </w:r>
          </w:p>
          <w:p w14:paraId="4BD8DA9F" w14:textId="77777777" w:rsidR="00500CF9" w:rsidRPr="000A27B3" w:rsidRDefault="00500CF9">
            <w:pPr>
              <w:spacing w:before="120" w:after="0" w:line="240" w:lineRule="auto"/>
              <w:jc w:val="both"/>
              <w:rPr>
                <w:rFonts w:ascii="Times New Roman" w:hAnsi="Times New Roman" w:cs="Times New Roman"/>
                <w:noProof/>
                <w:sz w:val="24"/>
                <w:szCs w:val="24"/>
              </w:rPr>
            </w:pPr>
            <w:r>
              <w:rPr>
                <w:rFonts w:ascii="Times New Roman" w:hAnsi="Times New Roman"/>
                <w:noProof/>
                <w:sz w:val="24"/>
              </w:rPr>
              <w:t>- legislației de extindere a impozitării ecologice</w:t>
            </w:r>
          </w:p>
        </w:tc>
        <w:tc>
          <w:tcPr>
            <w:tcW w:w="1711" w:type="dxa"/>
            <w:gridSpan w:val="2"/>
            <w:tcBorders>
              <w:top w:val="nil"/>
              <w:left w:val="nil"/>
              <w:bottom w:val="single" w:sz="4" w:space="0" w:color="auto"/>
              <w:right w:val="single" w:sz="4" w:space="0" w:color="auto"/>
            </w:tcBorders>
            <w:shd w:val="clear" w:color="auto" w:fill="C6EFCE"/>
            <w:noWrap/>
          </w:tcPr>
          <w:p w14:paraId="5947D2C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cadrului legislativ privind reducerea și/sau eliminarea stimulentelor fiscale și extinderea impozitării ecologice</w:t>
            </w:r>
          </w:p>
        </w:tc>
        <w:tc>
          <w:tcPr>
            <w:tcW w:w="1062" w:type="dxa"/>
            <w:tcBorders>
              <w:top w:val="nil"/>
              <w:left w:val="nil"/>
              <w:bottom w:val="single" w:sz="4" w:space="0" w:color="auto"/>
              <w:right w:val="single" w:sz="4" w:space="0" w:color="auto"/>
            </w:tcBorders>
            <w:shd w:val="clear" w:color="auto" w:fill="C6EFCE"/>
            <w:noWrap/>
          </w:tcPr>
          <w:p w14:paraId="336E5EBC"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2C35137C"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0B3956F0"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31C8F55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05785D9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75AAA3D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Noua lege va modifica Codul fiscal prin punerea în aplicare a recomandărilor rezultate în urma revizuirii sistemului fiscal (a se vedea jalonul 205) pentru a se asigura că sistemul fiscal contribuie la promovarea și menținerea unei creșteri economice durabile. Aceste modificări vor fi introduse treptat până în ianuarie 2024. </w:t>
            </w:r>
          </w:p>
        </w:tc>
      </w:tr>
      <w:tr w:rsidR="000A27B3" w:rsidRPr="000A27B3" w14:paraId="1E84F449"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564D4E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208</w:t>
            </w:r>
          </w:p>
        </w:tc>
        <w:tc>
          <w:tcPr>
            <w:tcW w:w="1833" w:type="dxa"/>
            <w:tcBorders>
              <w:top w:val="nil"/>
              <w:left w:val="nil"/>
              <w:bottom w:val="single" w:sz="4" w:space="0" w:color="auto"/>
              <w:right w:val="single" w:sz="4" w:space="0" w:color="auto"/>
            </w:tcBorders>
            <w:shd w:val="clear" w:color="auto" w:fill="C6EFCE"/>
            <w:noWrap/>
          </w:tcPr>
          <w:p w14:paraId="18493D7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4. Revizuirea cadrului fiscal</w:t>
            </w:r>
          </w:p>
        </w:tc>
        <w:tc>
          <w:tcPr>
            <w:tcW w:w="1268" w:type="dxa"/>
            <w:tcBorders>
              <w:top w:val="nil"/>
              <w:left w:val="nil"/>
              <w:bottom w:val="single" w:sz="4" w:space="0" w:color="auto"/>
              <w:right w:val="single" w:sz="4" w:space="0" w:color="auto"/>
            </w:tcBorders>
            <w:shd w:val="clear" w:color="auto" w:fill="C6EFCE"/>
            <w:noWrap/>
          </w:tcPr>
          <w:p w14:paraId="4CC724D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0EDD319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modificărilor aduse Codului Fiscal (Legea nr. 227/2015) care reduc treptat stimulentele fiscale pentru personalul angajat în sectorul construcțiilor </w:t>
            </w:r>
          </w:p>
        </w:tc>
        <w:tc>
          <w:tcPr>
            <w:tcW w:w="1711" w:type="dxa"/>
            <w:gridSpan w:val="2"/>
            <w:tcBorders>
              <w:top w:val="nil"/>
              <w:left w:val="nil"/>
              <w:bottom w:val="single" w:sz="4" w:space="0" w:color="auto"/>
              <w:right w:val="single" w:sz="4" w:space="0" w:color="auto"/>
            </w:tcBorders>
            <w:shd w:val="clear" w:color="auto" w:fill="C6EFCE"/>
            <w:noWrap/>
          </w:tcPr>
          <w:p w14:paraId="56C3128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cadrului legislativ privind reducerea graduală a stimulentelor fiscale pentru personalul angajat în sectorul construcțiilor</w:t>
            </w:r>
          </w:p>
        </w:tc>
        <w:tc>
          <w:tcPr>
            <w:tcW w:w="1062" w:type="dxa"/>
            <w:tcBorders>
              <w:top w:val="nil"/>
              <w:left w:val="nil"/>
              <w:bottom w:val="single" w:sz="4" w:space="0" w:color="auto"/>
              <w:right w:val="single" w:sz="4" w:space="0" w:color="auto"/>
            </w:tcBorders>
            <w:shd w:val="clear" w:color="auto" w:fill="C6EFCE"/>
            <w:noWrap/>
          </w:tcPr>
          <w:p w14:paraId="14AB1EF0"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03CE98C2"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27C70D77"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1A5C508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628AB4D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7E47AB5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Noua lege va modifica Codului Fiscal în vederea reducerii graduale a stimulentelor fiscale pentru personalul angajat în sectorul construcțiilor Reducerea treptată a stimulentelor fiscale pentru personalul angajat în sectorul construcțiilor va începe în 2025 și se va finaliza până la sfârșitul anului 2028. </w:t>
            </w:r>
          </w:p>
        </w:tc>
      </w:tr>
      <w:tr w:rsidR="000A27B3" w:rsidRPr="000A27B3" w14:paraId="6FB9D256"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6D9C59A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209</w:t>
            </w:r>
          </w:p>
        </w:tc>
        <w:tc>
          <w:tcPr>
            <w:tcW w:w="1833" w:type="dxa"/>
            <w:tcBorders>
              <w:top w:val="nil"/>
              <w:left w:val="nil"/>
              <w:bottom w:val="single" w:sz="4" w:space="0" w:color="auto"/>
              <w:right w:val="single" w:sz="4" w:space="0" w:color="auto"/>
            </w:tcBorders>
            <w:shd w:val="clear" w:color="auto" w:fill="C6EFCE"/>
            <w:noWrap/>
          </w:tcPr>
          <w:p w14:paraId="222934CA" w14:textId="0C1CA41E"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5. Crearea și operaționalizarea Băncii Naționale de Dezvoltare </w:t>
            </w:r>
          </w:p>
        </w:tc>
        <w:tc>
          <w:tcPr>
            <w:tcW w:w="1268" w:type="dxa"/>
            <w:tcBorders>
              <w:top w:val="nil"/>
              <w:left w:val="nil"/>
              <w:bottom w:val="single" w:sz="4" w:space="0" w:color="auto"/>
              <w:right w:val="single" w:sz="4" w:space="0" w:color="auto"/>
            </w:tcBorders>
            <w:shd w:val="clear" w:color="auto" w:fill="C6EFCE"/>
            <w:noWrap/>
          </w:tcPr>
          <w:p w14:paraId="21DAF57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68068B2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Operaționalizarea Băncii Naționale de Dezvoltare </w:t>
            </w:r>
          </w:p>
          <w:p w14:paraId="5E160DBF"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711" w:type="dxa"/>
            <w:gridSpan w:val="2"/>
            <w:tcBorders>
              <w:top w:val="nil"/>
              <w:left w:val="nil"/>
              <w:bottom w:val="single" w:sz="4" w:space="0" w:color="auto"/>
              <w:right w:val="single" w:sz="4" w:space="0" w:color="auto"/>
            </w:tcBorders>
            <w:shd w:val="clear" w:color="auto" w:fill="C6EFCE"/>
            <w:noWrap/>
          </w:tcPr>
          <w:p w14:paraId="0F1A2E68" w14:textId="3DF7FF3D"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Înscrierea Băncii Naționale de Dezvoltare în Registrul Comerțului </w:t>
            </w:r>
          </w:p>
          <w:p w14:paraId="05FB504B" w14:textId="77777777" w:rsidR="00500CF9" w:rsidRPr="008F1E27" w:rsidRDefault="00500CF9" w:rsidP="005769A1">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1544091E" w14:textId="77777777" w:rsidR="00500CF9" w:rsidRPr="008F1E2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6E1E7C64" w14:textId="77777777" w:rsidR="00500CF9" w:rsidRPr="008F1E2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229706E2" w14:textId="77777777" w:rsidR="00500CF9" w:rsidRPr="008F1E2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16EFDE0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B246DE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tcPr>
          <w:p w14:paraId="0F9A2BB1" w14:textId="5AFE5EEC"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Banca Națională de Dezvoltare este înscrisă în Registrul Comerțului și este scutită de aplicarea Directivei 2013/36/UE a Parlamentului European și a Consiliului din 26 iunie 2013.</w:t>
            </w:r>
            <w:r w:rsidR="004C4C72">
              <w:rPr>
                <w:rFonts w:ascii="Times New Roman" w:hAnsi="Times New Roman"/>
                <w:noProof/>
                <w:sz w:val="24"/>
              </w:rPr>
              <w:t xml:space="preserve"> </w:t>
            </w:r>
            <w:r>
              <w:rPr>
                <w:rFonts w:ascii="Times New Roman" w:hAnsi="Times New Roman"/>
                <w:noProof/>
                <w:sz w:val="24"/>
              </w:rPr>
              <w:t xml:space="preserve">Aceasta este pe deplin operațională și are personal instruit (care îndeplinește funcțiile critice în cadrul funcției de front office, back office și al funcțiilor de sprijin) în măsură să furnizeze primele instrumente financiare, în conformitate cu cele mai bune practici din domeniu. Banca nou-înființată va acoperi deficitul de finanțare, va asigura un acces îmbunătățit la finanțare pentru beneficiarii eligibili și va furniza expertiză pentru dezvoltarea de noi produse. </w:t>
            </w:r>
          </w:p>
          <w:p w14:paraId="288ACBD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Strategia de investiții și de creditare a Băncii Naționale de Dezvoltare va asigura conformitatea cu Orientările tehnice privind aplicarea principiului „de a nu prejudicia semnificativ” (2021/C58/01) a tranzacțiilor care beneficiază de sprijin în cadrul acestei măsuri prin utilizarea evaluării sustenabilității, a unei liste de excludere și a cerinței de conformitate cu legislația UE și națională relevantă în materie de mediu.</w:t>
            </w:r>
          </w:p>
        </w:tc>
      </w:tr>
      <w:tr w:rsidR="000A27B3" w:rsidRPr="000A27B3" w14:paraId="53B02417"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46C71D0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210</w:t>
            </w:r>
          </w:p>
        </w:tc>
        <w:tc>
          <w:tcPr>
            <w:tcW w:w="1833" w:type="dxa"/>
            <w:tcBorders>
              <w:top w:val="nil"/>
              <w:left w:val="nil"/>
              <w:bottom w:val="single" w:sz="4" w:space="0" w:color="auto"/>
              <w:right w:val="single" w:sz="4" w:space="0" w:color="auto"/>
            </w:tcBorders>
            <w:shd w:val="clear" w:color="auto" w:fill="C6EFCE"/>
            <w:noWrap/>
          </w:tcPr>
          <w:p w14:paraId="5FB1BC6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5. Crearea și operaționalizarea Băncii Naționale de Dezvoltare </w:t>
            </w:r>
          </w:p>
        </w:tc>
        <w:tc>
          <w:tcPr>
            <w:tcW w:w="1268" w:type="dxa"/>
            <w:tcBorders>
              <w:top w:val="nil"/>
              <w:left w:val="nil"/>
              <w:bottom w:val="single" w:sz="4" w:space="0" w:color="auto"/>
              <w:right w:val="single" w:sz="4" w:space="0" w:color="auto"/>
            </w:tcBorders>
            <w:shd w:val="clear" w:color="auto" w:fill="C6EFCE"/>
            <w:noWrap/>
          </w:tcPr>
          <w:p w14:paraId="4095CF5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4E3F926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evaluării pe bază de piloni a Băncii Naționale de Dezvoltare, ceea ce îi va permite acesteia să implementeze fondurile UE</w:t>
            </w:r>
          </w:p>
          <w:p w14:paraId="77E108F4"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711" w:type="dxa"/>
            <w:gridSpan w:val="2"/>
            <w:tcBorders>
              <w:top w:val="nil"/>
              <w:left w:val="nil"/>
              <w:bottom w:val="single" w:sz="4" w:space="0" w:color="auto"/>
              <w:right w:val="single" w:sz="4" w:space="0" w:color="auto"/>
            </w:tcBorders>
            <w:shd w:val="clear" w:color="auto" w:fill="C6EFCE"/>
            <w:noWrap/>
          </w:tcPr>
          <w:p w14:paraId="0F21830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Finalizarea evaluării pe bază de piloni a Băncii Naționale de Dezvoltare, ceea ce îi va permite acesteia să implementeze fondurile UE primite de Uniunea Europeană</w:t>
            </w:r>
          </w:p>
          <w:p w14:paraId="13ACB6A1" w14:textId="77777777" w:rsidR="00500CF9" w:rsidRPr="009F1DC7" w:rsidRDefault="00500CF9">
            <w:pPr>
              <w:spacing w:after="0" w:line="240" w:lineRule="auto"/>
              <w:jc w:val="both"/>
              <w:rPr>
                <w:rFonts w:ascii="Times New Roman" w:hAnsi="Times New Roman" w:cs="Times New Roman"/>
                <w:noProof/>
                <w:sz w:val="24"/>
                <w:szCs w:val="24"/>
                <w:lang w:val="fr-FR"/>
              </w:rPr>
            </w:pPr>
          </w:p>
          <w:p w14:paraId="63E70777" w14:textId="77777777" w:rsidR="00500CF9" w:rsidRPr="009F1DC7" w:rsidRDefault="00500CF9">
            <w:pPr>
              <w:spacing w:after="0" w:line="240" w:lineRule="auto"/>
              <w:jc w:val="both"/>
              <w:rPr>
                <w:rFonts w:ascii="Times New Roman" w:hAnsi="Times New Roman" w:cs="Times New Roman"/>
                <w:noProof/>
                <w:sz w:val="24"/>
                <w:szCs w:val="24"/>
                <w:lang w:val="fr-FR"/>
              </w:rPr>
            </w:pPr>
          </w:p>
          <w:p w14:paraId="31165D49"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4205996E" w14:textId="77777777" w:rsidR="00500CF9" w:rsidRPr="009F1DC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6BDBD79E" w14:textId="77777777" w:rsidR="00500CF9" w:rsidRPr="009F1DC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6BEBAD40" w14:textId="77777777" w:rsidR="00500CF9" w:rsidRPr="009F1DC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4B625CF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1795858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15" w:type="dxa"/>
            <w:tcBorders>
              <w:top w:val="nil"/>
              <w:left w:val="nil"/>
              <w:bottom w:val="single" w:sz="4" w:space="0" w:color="auto"/>
              <w:right w:val="single" w:sz="4" w:space="0" w:color="auto"/>
            </w:tcBorders>
            <w:shd w:val="clear" w:color="auto" w:fill="C6EFCE"/>
            <w:noWrap/>
          </w:tcPr>
          <w:p w14:paraId="37625DAA" w14:textId="61B9036B"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Finalizarea evaluării bazate pe piloni de către un audit extern independent pe baza mandatului relevant [Decizia C(2019)2882 a Comisiei din 17 aprilie 2019]. Această evaluare este o etapă în procesul care va permite Băncii Naționale de Dezvoltare să devină un partener de implementare pentru fondurile Uniunii pe baza articolului 154 din Regulamentul financiar al UE.</w:t>
            </w:r>
          </w:p>
        </w:tc>
      </w:tr>
      <w:tr w:rsidR="000A27B3" w:rsidRPr="000A27B3" w14:paraId="455C969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7655E5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211</w:t>
            </w:r>
          </w:p>
        </w:tc>
        <w:tc>
          <w:tcPr>
            <w:tcW w:w="1833" w:type="dxa"/>
            <w:tcBorders>
              <w:top w:val="nil"/>
              <w:left w:val="nil"/>
              <w:bottom w:val="single" w:sz="4" w:space="0" w:color="auto"/>
              <w:right w:val="single" w:sz="4" w:space="0" w:color="auto"/>
            </w:tcBorders>
            <w:shd w:val="clear" w:color="auto" w:fill="C6EFCE"/>
            <w:noWrap/>
          </w:tcPr>
          <w:p w14:paraId="76E0531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6. Reforma sistemului public de pensii</w:t>
            </w:r>
          </w:p>
        </w:tc>
        <w:tc>
          <w:tcPr>
            <w:tcW w:w="1268" w:type="dxa"/>
            <w:tcBorders>
              <w:top w:val="nil"/>
              <w:left w:val="nil"/>
              <w:bottom w:val="single" w:sz="4" w:space="0" w:color="auto"/>
              <w:right w:val="single" w:sz="4" w:space="0" w:color="auto"/>
            </w:tcBorders>
            <w:shd w:val="clear" w:color="auto" w:fill="C6EFCE"/>
            <w:noWrap/>
          </w:tcPr>
          <w:p w14:paraId="16DFA6D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1D115783"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Asistență tehnică contractuală furnizată de o entitate care va fi selectată în conformitate cu legislația națională privind achizițiile publice </w:t>
            </w:r>
          </w:p>
        </w:tc>
        <w:tc>
          <w:tcPr>
            <w:tcW w:w="1711" w:type="dxa"/>
            <w:gridSpan w:val="2"/>
            <w:tcBorders>
              <w:top w:val="nil"/>
              <w:left w:val="nil"/>
              <w:bottom w:val="single" w:sz="4" w:space="0" w:color="auto"/>
              <w:right w:val="single" w:sz="4" w:space="0" w:color="auto"/>
            </w:tcBorders>
            <w:shd w:val="clear" w:color="auto" w:fill="C6EFCE"/>
            <w:noWrap/>
          </w:tcPr>
          <w:p w14:paraId="3D56ED4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Contracte semnate</w:t>
            </w:r>
          </w:p>
        </w:tc>
        <w:tc>
          <w:tcPr>
            <w:tcW w:w="1062" w:type="dxa"/>
            <w:tcBorders>
              <w:top w:val="nil"/>
              <w:left w:val="nil"/>
              <w:bottom w:val="single" w:sz="4" w:space="0" w:color="auto"/>
              <w:right w:val="single" w:sz="4" w:space="0" w:color="auto"/>
            </w:tcBorders>
            <w:shd w:val="clear" w:color="auto" w:fill="C6EFCE"/>
            <w:noWrap/>
          </w:tcPr>
          <w:p w14:paraId="4ADA32A2"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2FD54945"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24689C6F"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5C4602E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4EB053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015" w:type="dxa"/>
            <w:tcBorders>
              <w:top w:val="nil"/>
              <w:left w:val="nil"/>
              <w:bottom w:val="single" w:sz="4" w:space="0" w:color="auto"/>
              <w:right w:val="single" w:sz="4" w:space="0" w:color="auto"/>
            </w:tcBorders>
            <w:shd w:val="clear" w:color="auto" w:fill="C6EFCE"/>
            <w:noWrap/>
          </w:tcPr>
          <w:p w14:paraId="4733843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contractului de asistență tehnică cu entitatea selectată în vederea pregătirii analizei și a propunerilor de reformă a sistemului de pensii – regimul general și regimurile speciale – în conformitate cu principiile consacrate în planul național de redresare și reziliență. Noua legislație:</w:t>
            </w:r>
          </w:p>
          <w:p w14:paraId="1E631FA6" w14:textId="3B3CD335"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introduce o nouă formulă de calcul pentru pensiile noi și pensiile în curs de plată. Parametrii formulei vor fi aleși cu atenție, în conformitate cu obiectivul privind totalul cheltuielilor publice brute cu pensiile exprimat ca procent din PIB (9,4 % din PIB pe termen lung, adică în perioada 2022-2070). În plus, parametrii respectivi nu vor permite creșteri ad</w:t>
            </w:r>
            <w:r w:rsidR="00ED2A55">
              <w:rPr>
                <w:rFonts w:ascii="Times New Roman" w:hAnsi="Times New Roman"/>
                <w:noProof/>
                <w:sz w:val="24"/>
              </w:rPr>
              <w:t>­</w:t>
            </w:r>
            <w:r>
              <w:rPr>
                <w:rFonts w:ascii="Times New Roman" w:hAnsi="Times New Roman"/>
                <w:noProof/>
                <w:sz w:val="24"/>
              </w:rPr>
              <w:t>hoc ale nivelurilor pensiilor;</w:t>
            </w:r>
          </w:p>
          <w:p w14:paraId="5BC1E098"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introduce o nouă regulă de indexare a pensiilor în funcție de nivelul cheltuielilor cu pensiile ca procent din PIB și mecanisme de combatere a indexării ad-hoc;</w:t>
            </w:r>
          </w:p>
          <w:p w14:paraId="37D21763"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reduce în mod semnificativ posibilitățile de pensionare anticipată, va introduce stimulente pentru prelungirea vieții profesionale și majorarea voluntară a vârstei standard de pensionare până la 70 de ani, în conformitate cu creșterea speranței de viață, și va egaliza vârsta legală de pensionare pentru bărbați și femei la 65 de ani până în 2035;</w:t>
            </w:r>
          </w:p>
          <w:p w14:paraId="11D80796"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introduce stimulente pentru amânarea pensionării;</w:t>
            </w:r>
          </w:p>
          <w:p w14:paraId="27A7B812"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revizui pensiile speciale pentru a le alinia la principiul contributivității;</w:t>
            </w:r>
          </w:p>
          <w:p w14:paraId="684D5551"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consolida principiul contributivității pe care se bazează sistemul;</w:t>
            </w:r>
          </w:p>
          <w:p w14:paraId="79CEE8E7"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spori gradul de adecvare a pensiilor minime și a pensiilor mai mici, în special pentru persoanele aflate sub pragul sărăciei;</w:t>
            </w:r>
          </w:p>
          <w:p w14:paraId="11C9D604" w14:textId="77777777" w:rsidR="00500CF9" w:rsidRPr="000A27B3" w:rsidRDefault="00500CF9" w:rsidP="00500CF9">
            <w:pPr>
              <w:numPr>
                <w:ilvl w:val="0"/>
                <w:numId w:val="62"/>
              </w:numPr>
              <w:spacing w:after="0" w:line="240" w:lineRule="auto"/>
              <w:ind w:left="224" w:hanging="218"/>
              <w:jc w:val="both"/>
              <w:rPr>
                <w:rFonts w:ascii="Times New Roman" w:hAnsi="Times New Roman" w:cs="Times New Roman"/>
                <w:noProof/>
                <w:sz w:val="24"/>
                <w:szCs w:val="24"/>
              </w:rPr>
            </w:pPr>
            <w:r>
              <w:rPr>
                <w:rFonts w:ascii="Times New Roman" w:hAnsi="Times New Roman"/>
                <w:noProof/>
                <w:sz w:val="24"/>
              </w:rPr>
              <w:t>va asigura viabilitatea financiară a pilonului II al sistemului de pensii prin sporirea contribuțiilor la acest pilon de pensii.</w:t>
            </w:r>
          </w:p>
          <w:p w14:paraId="072400B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Asistența tehnică include o evaluare a impactului diferitelor opțiuni de reformă propuse (proiecții pe termen lung).</w:t>
            </w:r>
          </w:p>
          <w:p w14:paraId="0B3D2FB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Furnizorul de asistență tehnică va sprijini redactarea documentului de reformă a sistemului de pensii.</w:t>
            </w:r>
          </w:p>
        </w:tc>
      </w:tr>
      <w:tr w:rsidR="000A27B3" w:rsidRPr="000A27B3" w14:paraId="5E5F7E7F"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C0AC6A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212</w:t>
            </w:r>
          </w:p>
        </w:tc>
        <w:tc>
          <w:tcPr>
            <w:tcW w:w="1833" w:type="dxa"/>
            <w:tcBorders>
              <w:top w:val="nil"/>
              <w:left w:val="nil"/>
              <w:bottom w:val="single" w:sz="4" w:space="0" w:color="auto"/>
              <w:right w:val="single" w:sz="4" w:space="0" w:color="auto"/>
            </w:tcBorders>
            <w:shd w:val="clear" w:color="auto" w:fill="C6EFCE"/>
            <w:noWrap/>
          </w:tcPr>
          <w:p w14:paraId="147492D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6. Reforma sistemului public de pensii</w:t>
            </w:r>
          </w:p>
        </w:tc>
        <w:tc>
          <w:tcPr>
            <w:tcW w:w="1268" w:type="dxa"/>
            <w:tcBorders>
              <w:top w:val="nil"/>
              <w:left w:val="nil"/>
              <w:bottom w:val="single" w:sz="4" w:space="0" w:color="auto"/>
              <w:right w:val="single" w:sz="4" w:space="0" w:color="auto"/>
            </w:tcBorders>
            <w:shd w:val="clear" w:color="auto" w:fill="C6EFCE"/>
            <w:noWrap/>
          </w:tcPr>
          <w:p w14:paraId="5731501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19D9647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unui ordin al ministrului prin care se instituie un comitet de monitorizare însărcinat cu revizuirea, cu sprijin din partea furnizorului de asistență tehnică, a sistemului de pensii și a intervențiilor la nivel de politici în sistemul de pensii</w:t>
            </w:r>
          </w:p>
        </w:tc>
        <w:tc>
          <w:tcPr>
            <w:tcW w:w="1711" w:type="dxa"/>
            <w:gridSpan w:val="2"/>
            <w:tcBorders>
              <w:top w:val="nil"/>
              <w:left w:val="nil"/>
              <w:bottom w:val="single" w:sz="4" w:space="0" w:color="auto"/>
              <w:right w:val="single" w:sz="4" w:space="0" w:color="auto"/>
            </w:tcBorders>
            <w:shd w:val="clear" w:color="auto" w:fill="C6EFCE"/>
            <w:noWrap/>
          </w:tcPr>
          <w:p w14:paraId="43F0A76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din ordinul comun al miniștrilor care indică intrarea în vigoare a ordinului comun al miniștrilor</w:t>
            </w:r>
          </w:p>
        </w:tc>
        <w:tc>
          <w:tcPr>
            <w:tcW w:w="1062" w:type="dxa"/>
            <w:tcBorders>
              <w:top w:val="nil"/>
              <w:left w:val="nil"/>
              <w:bottom w:val="single" w:sz="4" w:space="0" w:color="auto"/>
              <w:right w:val="single" w:sz="4" w:space="0" w:color="auto"/>
            </w:tcBorders>
            <w:shd w:val="clear" w:color="auto" w:fill="C6EFCE"/>
            <w:noWrap/>
          </w:tcPr>
          <w:p w14:paraId="02525F9A"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2D2A5A3B"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4CD4679F"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0B98159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481A2C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015" w:type="dxa"/>
            <w:tcBorders>
              <w:top w:val="nil"/>
              <w:left w:val="nil"/>
              <w:bottom w:val="single" w:sz="4" w:space="0" w:color="auto"/>
              <w:right w:val="single" w:sz="4" w:space="0" w:color="auto"/>
            </w:tcBorders>
            <w:shd w:val="clear" w:color="auto" w:fill="C6EFCE"/>
            <w:noWrap/>
          </w:tcPr>
          <w:p w14:paraId="5C4F042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Comitetul de monitorizare va fi instituit prin ordin comun al miniștrilor (Ministerul Finanțelor și Ministerul Muncii) și va fi format din experți din cadrul Ministerului Muncii și Protecției Sociale, al Casei Naționale a Pensiilor Publice, al Ministerului Finanțelor Publice. De asemenea, vor fi invitați să participe experți din cadrul Consiliului Fiscal. Comitetul va colabora îndeaproape cu furnizorul de asistență tehnică.</w:t>
            </w:r>
          </w:p>
        </w:tc>
      </w:tr>
      <w:tr w:rsidR="000A27B3" w:rsidRPr="000A27B3" w14:paraId="63ACE45F"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1084B3A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213</w:t>
            </w:r>
          </w:p>
        </w:tc>
        <w:tc>
          <w:tcPr>
            <w:tcW w:w="1833" w:type="dxa"/>
            <w:tcBorders>
              <w:top w:val="nil"/>
              <w:left w:val="nil"/>
              <w:bottom w:val="single" w:sz="4" w:space="0" w:color="auto"/>
              <w:right w:val="single" w:sz="4" w:space="0" w:color="auto"/>
            </w:tcBorders>
            <w:shd w:val="clear" w:color="auto" w:fill="C6EFCE"/>
            <w:noWrap/>
          </w:tcPr>
          <w:p w14:paraId="4DED5F5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6. Reforma sistemului public de pensii</w:t>
            </w:r>
          </w:p>
        </w:tc>
        <w:tc>
          <w:tcPr>
            <w:tcW w:w="1268" w:type="dxa"/>
            <w:tcBorders>
              <w:top w:val="nil"/>
              <w:left w:val="nil"/>
              <w:bottom w:val="single" w:sz="4" w:space="0" w:color="auto"/>
              <w:right w:val="single" w:sz="4" w:space="0" w:color="auto"/>
            </w:tcBorders>
            <w:shd w:val="clear" w:color="auto" w:fill="C6EFCE"/>
            <w:noWrap/>
          </w:tcPr>
          <w:p w14:paraId="266E891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798EB31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modificărilor aduse cadrului de reglementare pentru a se asigura sustenabilitatea pensiilor din cadrul pilonului 2</w:t>
            </w:r>
          </w:p>
        </w:tc>
        <w:tc>
          <w:tcPr>
            <w:tcW w:w="1711" w:type="dxa"/>
            <w:gridSpan w:val="2"/>
            <w:tcBorders>
              <w:top w:val="nil"/>
              <w:left w:val="nil"/>
              <w:bottom w:val="single" w:sz="4" w:space="0" w:color="auto"/>
              <w:right w:val="single" w:sz="4" w:space="0" w:color="auto"/>
            </w:tcBorders>
            <w:shd w:val="clear" w:color="auto" w:fill="C6EFCE"/>
            <w:noWrap/>
          </w:tcPr>
          <w:p w14:paraId="727A455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din cadrul de reglementare care indică intrarea în vigoare a legii</w:t>
            </w:r>
          </w:p>
        </w:tc>
        <w:tc>
          <w:tcPr>
            <w:tcW w:w="1062" w:type="dxa"/>
            <w:tcBorders>
              <w:top w:val="nil"/>
              <w:left w:val="nil"/>
              <w:bottom w:val="single" w:sz="4" w:space="0" w:color="auto"/>
              <w:right w:val="single" w:sz="4" w:space="0" w:color="auto"/>
            </w:tcBorders>
            <w:shd w:val="clear" w:color="auto" w:fill="C6EFCE"/>
            <w:noWrap/>
          </w:tcPr>
          <w:p w14:paraId="57C3D4EE" w14:textId="77777777" w:rsidR="00500CF9" w:rsidRPr="009F1DC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0ECC87B4" w14:textId="77777777" w:rsidR="00500CF9" w:rsidRPr="009F1DC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577EC4AE" w14:textId="77777777" w:rsidR="00500CF9" w:rsidRPr="009F1DC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354C1B3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43BC8B7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333FD59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Noul cadru legislativ:</w:t>
            </w:r>
          </w:p>
          <w:p w14:paraId="32F2990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asigura sustenabilitatea fiscală a pilonului II printr-o creștere a contribuțiilor în conformitate cu dispozițiile Strategiei fiscal-bugetare;</w:t>
            </w:r>
          </w:p>
          <w:p w14:paraId="1FE5E68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va digitaliza funcționării sistemului de pensii private </w:t>
            </w:r>
          </w:p>
          <w:p w14:paraId="51C9B75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diversifica investițiile din pilonul II de pensii.</w:t>
            </w:r>
          </w:p>
          <w:p w14:paraId="428B467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În ceea ce privește investițiile din pilonul II de pensii, guvernul:</w:t>
            </w:r>
          </w:p>
          <w:p w14:paraId="741B367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analiza posibilitatea de a flexibiliza regimul de reglementare aplicabil investițiilor din fondurile de pensii private prin reducerea restricțiilor cantitative în materie de investiții și reducerea restricțiilor bugetare legate de risc aplicabile fondurilor de pensii private;</w:t>
            </w:r>
          </w:p>
          <w:p w14:paraId="5305815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apăra independența administratorilor de pensii în ceea ce privește definirea propriilor lor strategii de investiții;</w:t>
            </w:r>
          </w:p>
          <w:p w14:paraId="1540E30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reglementa viitoarele ajustări ale regimului de investiții ale fondurilor de pensii private care contribuie la un cadru flexibil ce îi încurajează pe administratorii de pensii să își diversifice în mod corespunzător portofoliile pentru a obține un randament al investițiilor ajustat la risc echitabil;</w:t>
            </w:r>
          </w:p>
          <w:p w14:paraId="7551F18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spori accesul întreprinderilor la piața de capital, pentru a facilita cotarea noilor emitenți și a utiliza într-o mai mare măsură sursele private de finanțare, inclusiv activele fondurilor de pensii. Acest lucru ar conduce la un ecosistem de investiții mai bun pentru administratorii de pensii și la oportunități sporite pentru o diversificare adecvată a portofoliilor fondurilor de pensii.</w:t>
            </w:r>
          </w:p>
        </w:tc>
      </w:tr>
      <w:tr w:rsidR="000A27B3" w:rsidRPr="000A27B3" w14:paraId="3472FB48"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7AC2003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214</w:t>
            </w:r>
          </w:p>
        </w:tc>
        <w:tc>
          <w:tcPr>
            <w:tcW w:w="1833" w:type="dxa"/>
            <w:tcBorders>
              <w:top w:val="nil"/>
              <w:left w:val="nil"/>
              <w:bottom w:val="single" w:sz="4" w:space="0" w:color="auto"/>
              <w:right w:val="single" w:sz="4" w:space="0" w:color="auto"/>
            </w:tcBorders>
            <w:shd w:val="clear" w:color="auto" w:fill="C6EFCE"/>
            <w:noWrap/>
          </w:tcPr>
          <w:p w14:paraId="7F8FAA9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6. Reforma sistemului public de pensii</w:t>
            </w:r>
          </w:p>
        </w:tc>
        <w:tc>
          <w:tcPr>
            <w:tcW w:w="1268" w:type="dxa"/>
            <w:tcBorders>
              <w:top w:val="nil"/>
              <w:left w:val="nil"/>
              <w:bottom w:val="single" w:sz="4" w:space="0" w:color="auto"/>
              <w:right w:val="single" w:sz="4" w:space="0" w:color="auto"/>
            </w:tcBorders>
            <w:shd w:val="clear" w:color="auto" w:fill="C6EFCE"/>
            <w:noWrap/>
          </w:tcPr>
          <w:p w14:paraId="4590C7C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5E4C5A6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Intrarea în vigoare a noii legi privind sistemul de pensii, care înlocuiește dispozițiile Legii nr. 127/2019 </w:t>
            </w:r>
          </w:p>
        </w:tc>
        <w:tc>
          <w:tcPr>
            <w:tcW w:w="1711" w:type="dxa"/>
            <w:gridSpan w:val="2"/>
            <w:tcBorders>
              <w:top w:val="nil"/>
              <w:left w:val="nil"/>
              <w:bottom w:val="single" w:sz="4" w:space="0" w:color="auto"/>
              <w:right w:val="single" w:sz="4" w:space="0" w:color="auto"/>
            </w:tcBorders>
            <w:shd w:val="clear" w:color="auto" w:fill="C6EFCE"/>
            <w:noWrap/>
          </w:tcPr>
          <w:p w14:paraId="3234339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privind sistemul de pensii</w:t>
            </w:r>
          </w:p>
        </w:tc>
        <w:tc>
          <w:tcPr>
            <w:tcW w:w="1062" w:type="dxa"/>
            <w:tcBorders>
              <w:top w:val="nil"/>
              <w:left w:val="nil"/>
              <w:bottom w:val="single" w:sz="4" w:space="0" w:color="auto"/>
              <w:right w:val="single" w:sz="4" w:space="0" w:color="auto"/>
            </w:tcBorders>
            <w:shd w:val="clear" w:color="auto" w:fill="C6EFCE"/>
            <w:noWrap/>
          </w:tcPr>
          <w:p w14:paraId="17AB5D4E"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24273714"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0F78C785"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278AF73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193A877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756AD60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Noua lege a pensiilor va asigura sustenabilitatea fiscală a sistemului de pensii, precum și echitatea, respectarea principiului contributivității, caracterul adecvat al pensiilor mici/minime/sociale și înlocuirea dispozițiilor Legii nr. 127/2019 (inclusiv cele referitoare la perioada de contribuție fixă de 25 ani).</w:t>
            </w:r>
          </w:p>
          <w:p w14:paraId="3EB61F97" w14:textId="15BFC35A" w:rsidR="007A49D1" w:rsidRPr="000A27B3" w:rsidRDefault="007A49D1">
            <w:pPr>
              <w:spacing w:after="0" w:line="240" w:lineRule="auto"/>
              <w:jc w:val="both"/>
              <w:rPr>
                <w:rFonts w:ascii="Times New Roman" w:hAnsi="Times New Roman" w:cs="Times New Roman"/>
                <w:noProof/>
                <w:sz w:val="24"/>
                <w:szCs w:val="24"/>
              </w:rPr>
            </w:pPr>
            <w:r>
              <w:rPr>
                <w:rFonts w:ascii="Times New Roman" w:hAnsi="Times New Roman"/>
                <w:noProof/>
                <w:sz w:val="24"/>
              </w:rPr>
              <w:t>Orice modificare a legii care ar duce la o abatere de la proiecțiile de referință stabilite după adoptarea reformei de către guvern va trebui să fie însoțită de măsuri compensatorii care să mențină conformitatea cheltuielilor cu pensiile (ca procent din PIB) cu traiectoria de referință.</w:t>
            </w:r>
          </w:p>
          <w:p w14:paraId="6E3A3DC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Bazându-se pe asistența tehnică (jalonul 211), reforma va conține cel puțin următoarele elemente:</w:t>
            </w:r>
          </w:p>
          <w:p w14:paraId="21BC5974" w14:textId="71AACA0F" w:rsidR="009F045D" w:rsidRPr="000A27B3" w:rsidRDefault="00500CF9" w:rsidP="005475B5">
            <w:pPr>
              <w:pStyle w:val="ListParagraph"/>
              <w:numPr>
                <w:ilvl w:val="0"/>
                <w:numId w:val="63"/>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va introduce o nouă formulă de calcul pentru pensiile noi și pensiile în curs de plată. Parametrii formulei vor trebui aleși de așa manieră încât să asigure sustenabilitatea fiscală a evoluției cheltuielilor cu pensiile și a sistemului de pensii în general, pe termen mediu spre lung (până în 2070). În plus, parametrii respectivi nu trebuie să permită creșteri ad-hoc ale nivelurilor pensiilor. Formula detaliată elimină </w:t>
            </w:r>
            <w:r>
              <w:rPr>
                <w:rFonts w:ascii="Times New Roman" w:hAnsi="Times New Roman"/>
                <w:i/>
                <w:noProof/>
                <w:sz w:val="24"/>
              </w:rPr>
              <w:t>a priori</w:t>
            </w:r>
            <w:r>
              <w:rPr>
                <w:rFonts w:ascii="Times New Roman" w:hAnsi="Times New Roman"/>
                <w:noProof/>
                <w:sz w:val="24"/>
              </w:rPr>
              <w:t xml:space="preserve"> indicele de corecție, se bazează pe numărul de puncte obținute de fiecare beneficiar în conformitate cu principiul contributivității și aplică un mecanism de indexare a pensiilor care nu mai permite majorări ad-hoc. </w:t>
            </w:r>
          </w:p>
          <w:p w14:paraId="01D31FA6" w14:textId="77777777" w:rsidR="001A4411" w:rsidRPr="000A27B3" w:rsidRDefault="001A4411" w:rsidP="00CA23DD">
            <w:pPr>
              <w:pStyle w:val="ListParagraph"/>
              <w:spacing w:before="120" w:after="0" w:line="240" w:lineRule="auto"/>
              <w:ind w:left="360"/>
              <w:jc w:val="both"/>
              <w:rPr>
                <w:rFonts w:ascii="Times New Roman" w:hAnsi="Times New Roman" w:cs="Times New Roman"/>
                <w:noProof/>
                <w:sz w:val="24"/>
                <w:szCs w:val="24"/>
              </w:rPr>
            </w:pPr>
            <w:r>
              <w:rPr>
                <w:rFonts w:ascii="Times New Roman" w:hAnsi="Times New Roman"/>
                <w:noProof/>
                <w:sz w:val="24"/>
              </w:rPr>
              <w:t>Formula detaliată pentru calcularea pensiilor:</w:t>
            </w:r>
          </w:p>
          <w:p w14:paraId="1B71E1CC" w14:textId="41B36D3E" w:rsidR="001A4411" w:rsidRPr="000A27B3" w:rsidRDefault="001A4411" w:rsidP="00CA23DD">
            <w:pPr>
              <w:pStyle w:val="ListParagraph"/>
              <w:numPr>
                <w:ilvl w:val="0"/>
                <w:numId w:val="238"/>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stabilește, pentru pensionarii existenți și viitori, un număr de puncte bazat pe contribuțiile plătite la sistem pe durata vieții profesionale; </w:t>
            </w:r>
          </w:p>
          <w:p w14:paraId="7AF01551" w14:textId="60A7849C" w:rsidR="001A4411" w:rsidRPr="000A27B3" w:rsidRDefault="001A4411" w:rsidP="00CA23DD">
            <w:pPr>
              <w:pStyle w:val="ListParagraph"/>
              <w:numPr>
                <w:ilvl w:val="0"/>
                <w:numId w:val="238"/>
              </w:numPr>
              <w:spacing w:before="120" w:after="0" w:line="240" w:lineRule="auto"/>
              <w:jc w:val="both"/>
              <w:rPr>
                <w:rFonts w:ascii="Times New Roman" w:hAnsi="Times New Roman" w:cs="Times New Roman"/>
                <w:noProof/>
                <w:sz w:val="24"/>
                <w:szCs w:val="24"/>
              </w:rPr>
            </w:pPr>
            <w:r>
              <w:rPr>
                <w:rFonts w:ascii="Times New Roman" w:hAnsi="Times New Roman"/>
                <w:noProof/>
                <w:sz w:val="24"/>
              </w:rPr>
              <w:t>stabilește că vârsta legală de pensionare este de 65 de ani, atât pentru bărbați, cât și, începând cu 1</w:t>
            </w:r>
            <w:r w:rsidR="00ED2A55">
              <w:rPr>
                <w:rFonts w:ascii="Times New Roman" w:hAnsi="Times New Roman"/>
                <w:noProof/>
                <w:sz w:val="24"/>
              </w:rPr>
              <w:t> </w:t>
            </w:r>
            <w:r>
              <w:rPr>
                <w:rFonts w:ascii="Times New Roman" w:hAnsi="Times New Roman"/>
                <w:noProof/>
                <w:sz w:val="24"/>
              </w:rPr>
              <w:t xml:space="preserve">ianuarie 2035, pentru femei; </w:t>
            </w:r>
          </w:p>
          <w:p w14:paraId="676EBCD5" w14:textId="1E3E8EC9" w:rsidR="001A4411" w:rsidRPr="000A27B3" w:rsidRDefault="001A4411" w:rsidP="00CA23DD">
            <w:pPr>
              <w:pStyle w:val="ListParagraph"/>
              <w:numPr>
                <w:ilvl w:val="0"/>
                <w:numId w:val="238"/>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stabilește o perioadă minimă de contribuție de 15 ani, atât pentru femei, cât și pentru bărbați; </w:t>
            </w:r>
          </w:p>
          <w:p w14:paraId="1E4F33B0" w14:textId="60F8687E" w:rsidR="001A4411" w:rsidRPr="000A27B3" w:rsidRDefault="001A4411" w:rsidP="00CA23DD">
            <w:pPr>
              <w:pStyle w:val="ListParagraph"/>
              <w:numPr>
                <w:ilvl w:val="0"/>
                <w:numId w:val="238"/>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stabilește o perioadă completă de contribuție de 35 de ani, atât pentru femei, cât și pentru bărbați, până în 2030; </w:t>
            </w:r>
          </w:p>
          <w:p w14:paraId="5F7EA786" w14:textId="34CDA1CF" w:rsidR="001A4411" w:rsidRPr="000A27B3" w:rsidRDefault="001A4411" w:rsidP="00CA23DD">
            <w:pPr>
              <w:pStyle w:val="ListParagraph"/>
              <w:numPr>
                <w:ilvl w:val="0"/>
                <w:numId w:val="238"/>
              </w:numPr>
              <w:spacing w:before="120" w:after="0" w:line="240" w:lineRule="auto"/>
              <w:jc w:val="both"/>
              <w:rPr>
                <w:rFonts w:ascii="Times New Roman" w:hAnsi="Times New Roman" w:cs="Times New Roman"/>
                <w:noProof/>
                <w:sz w:val="24"/>
                <w:szCs w:val="24"/>
              </w:rPr>
            </w:pPr>
            <w:r>
              <w:rPr>
                <w:rFonts w:ascii="Times New Roman" w:hAnsi="Times New Roman"/>
                <w:noProof/>
                <w:sz w:val="24"/>
              </w:rPr>
              <w:t>stabilește faptul că perioada minimă de contribuție, perioada completă de contribuție și vârsta legală de pensionare vor fi modificate în funcție de evoluția speranței de viață în România;</w:t>
            </w:r>
          </w:p>
          <w:p w14:paraId="2F2F64B4" w14:textId="61577E14" w:rsidR="009F045D" w:rsidRPr="000A27B3" w:rsidRDefault="001A4411" w:rsidP="00CA23DD">
            <w:pPr>
              <w:pStyle w:val="ListParagraph"/>
              <w:numPr>
                <w:ilvl w:val="0"/>
                <w:numId w:val="238"/>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valoarea inițială a punctului de referință, la momentul intrării în vigoare a reformei, se va stabili la maximum 81 de lei. </w:t>
            </w:r>
          </w:p>
          <w:p w14:paraId="6833FA52" w14:textId="77777777" w:rsidR="009F045D" w:rsidRPr="009F1DC7" w:rsidRDefault="009F045D" w:rsidP="009F045D">
            <w:pPr>
              <w:pStyle w:val="ListParagraph"/>
              <w:spacing w:before="120" w:after="0" w:line="240" w:lineRule="auto"/>
              <w:jc w:val="both"/>
              <w:rPr>
                <w:rFonts w:ascii="Times New Roman" w:hAnsi="Times New Roman" w:cs="Times New Roman"/>
                <w:noProof/>
                <w:sz w:val="24"/>
                <w:szCs w:val="24"/>
                <w:lang w:val="fr-FR"/>
              </w:rPr>
            </w:pPr>
          </w:p>
          <w:p w14:paraId="3F01F29E" w14:textId="1AD1E328" w:rsidR="001A4411" w:rsidRPr="000A27B3" w:rsidRDefault="001A4411" w:rsidP="00CA23DD">
            <w:pPr>
              <w:pStyle w:val="ListParagraph"/>
              <w:spacing w:before="120" w:after="0" w:line="240" w:lineRule="auto"/>
              <w:jc w:val="both"/>
              <w:rPr>
                <w:rFonts w:ascii="Times New Roman" w:hAnsi="Times New Roman" w:cs="Times New Roman"/>
                <w:noProof/>
                <w:sz w:val="24"/>
                <w:szCs w:val="24"/>
              </w:rPr>
            </w:pPr>
            <w:r>
              <w:rPr>
                <w:rFonts w:ascii="Times New Roman" w:hAnsi="Times New Roman"/>
                <w:noProof/>
                <w:sz w:val="24"/>
              </w:rPr>
              <w:t>Într-o perioadă de tranziție, pensionarilor în cazul cărora noua formulă ar duce la o pensie care teoretic este mai mică (în raport cu perioada imediat anterioară intrării în vigoare a reformei) le vor fi înghețate prestațiile de pensie (în termeni nominali) până când pensia teoretică ulterioară reformei ajunge (prin aplicarea normelor privind indexarea) la o valoare egală cu pensia nominală înghețată.</w:t>
            </w:r>
          </w:p>
          <w:p w14:paraId="4BCC3631" w14:textId="5563F694" w:rsidR="004F41E6" w:rsidRPr="000A27B3" w:rsidRDefault="004F41E6" w:rsidP="00CA23DD">
            <w:pPr>
              <w:pStyle w:val="ListParagraph"/>
              <w:numPr>
                <w:ilvl w:val="0"/>
                <w:numId w:val="63"/>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Legea revizuiește normele privind indexarea pensiilor. În special: </w:t>
            </w:r>
          </w:p>
          <w:p w14:paraId="7447CFDD" w14:textId="20B1E5C1" w:rsidR="004F41E6" w:rsidRPr="000A27B3" w:rsidRDefault="004F41E6" w:rsidP="00CA23DD">
            <w:pPr>
              <w:pStyle w:val="ListParagraph"/>
              <w:numPr>
                <w:ilvl w:val="0"/>
                <w:numId w:val="239"/>
              </w:numPr>
              <w:spacing w:before="120" w:after="0" w:line="240" w:lineRule="auto"/>
              <w:jc w:val="both"/>
              <w:rPr>
                <w:rFonts w:ascii="Times New Roman" w:hAnsi="Times New Roman"/>
                <w:noProof/>
                <w:sz w:val="24"/>
              </w:rPr>
            </w:pPr>
            <w:r>
              <w:rPr>
                <w:rFonts w:ascii="Times New Roman" w:hAnsi="Times New Roman"/>
                <w:noProof/>
                <w:sz w:val="24"/>
              </w:rPr>
              <w:t>legea include un mecanism de indexare a pensiilor care nu permite majorări ad-hoc;</w:t>
            </w:r>
          </w:p>
          <w:p w14:paraId="01FE37DE" w14:textId="0D15B092" w:rsidR="004F41E6" w:rsidRPr="000A27B3" w:rsidRDefault="004F41E6" w:rsidP="00CA23DD">
            <w:pPr>
              <w:pStyle w:val="ListParagraph"/>
              <w:numPr>
                <w:ilvl w:val="0"/>
                <w:numId w:val="239"/>
              </w:numPr>
              <w:spacing w:before="120" w:after="0" w:line="240" w:lineRule="auto"/>
              <w:jc w:val="both"/>
              <w:rPr>
                <w:rFonts w:ascii="Times New Roman" w:hAnsi="Times New Roman"/>
                <w:noProof/>
                <w:sz w:val="24"/>
              </w:rPr>
            </w:pPr>
            <w:r>
              <w:rPr>
                <w:rFonts w:ascii="Times New Roman" w:hAnsi="Times New Roman"/>
                <w:noProof/>
                <w:sz w:val="24"/>
              </w:rPr>
              <w:t>rata de indexare este egală cu inflația plus 50 % din creșterea reală a salariilor în anul t-1. Aceasta face obiectul unui plafon și al unui prag minim;</w:t>
            </w:r>
          </w:p>
          <w:p w14:paraId="10B1E664" w14:textId="1423783B" w:rsidR="004F41E6" w:rsidRPr="000A27B3" w:rsidRDefault="004F41E6" w:rsidP="00CA23DD">
            <w:pPr>
              <w:pStyle w:val="ListParagraph"/>
              <w:numPr>
                <w:ilvl w:val="0"/>
                <w:numId w:val="239"/>
              </w:numPr>
              <w:spacing w:before="120" w:after="0" w:line="240" w:lineRule="auto"/>
              <w:jc w:val="both"/>
              <w:rPr>
                <w:rFonts w:ascii="Times New Roman" w:hAnsi="Times New Roman"/>
                <w:noProof/>
                <w:sz w:val="24"/>
              </w:rPr>
            </w:pPr>
            <w:r>
              <w:rPr>
                <w:rFonts w:ascii="Times New Roman" w:hAnsi="Times New Roman"/>
                <w:noProof/>
                <w:sz w:val="24"/>
              </w:rPr>
              <w:t xml:space="preserve">rata de indexare nu poate fi mai mică decât rata inflației (pragul minim); </w:t>
            </w:r>
          </w:p>
          <w:p w14:paraId="13E03A4A" w14:textId="2FC822D6" w:rsidR="004F41E6" w:rsidRPr="000A27B3" w:rsidRDefault="004F41E6" w:rsidP="00CA23DD">
            <w:pPr>
              <w:pStyle w:val="ListParagraph"/>
              <w:numPr>
                <w:ilvl w:val="0"/>
                <w:numId w:val="239"/>
              </w:numPr>
              <w:spacing w:before="120" w:after="0" w:line="240" w:lineRule="auto"/>
              <w:jc w:val="both"/>
              <w:rPr>
                <w:rFonts w:ascii="Times New Roman" w:hAnsi="Times New Roman"/>
                <w:noProof/>
                <w:sz w:val="24"/>
              </w:rPr>
            </w:pPr>
            <w:r>
              <w:rPr>
                <w:rFonts w:ascii="Times New Roman" w:hAnsi="Times New Roman"/>
                <w:noProof/>
                <w:sz w:val="24"/>
              </w:rPr>
              <w:t>în cazul în care rata de indexare rezultată în urma aplicării regulii depășește atât rata inflației, cât și rata de creștere a veniturilor totale ale sistemului de pensii, rata de indexare este plafonată la rata de creștere a veniturilor totale ale sistemului de pensii (plafonul);</w:t>
            </w:r>
          </w:p>
          <w:p w14:paraId="1C28D697" w14:textId="10CE031E" w:rsidR="004F41E6" w:rsidRPr="000A27B3" w:rsidRDefault="004F41E6" w:rsidP="00CA23DD">
            <w:pPr>
              <w:pStyle w:val="ListParagraph"/>
              <w:numPr>
                <w:ilvl w:val="0"/>
                <w:numId w:val="239"/>
              </w:numPr>
              <w:spacing w:before="120" w:after="0" w:line="240" w:lineRule="auto"/>
              <w:jc w:val="both"/>
              <w:rPr>
                <w:rFonts w:ascii="Times New Roman" w:hAnsi="Times New Roman"/>
                <w:noProof/>
                <w:sz w:val="24"/>
              </w:rPr>
            </w:pPr>
            <w:r>
              <w:rPr>
                <w:rFonts w:ascii="Times New Roman" w:hAnsi="Times New Roman"/>
                <w:noProof/>
                <w:sz w:val="24"/>
              </w:rPr>
              <w:t xml:space="preserve">în fiecare an, în luna iunie, Consiliul Fiscal întocmește un raport care verifică dacă normele de indexare au fost aplicate integral. În cazul oricărei abateri de la normele de indexare, raportul cuantifică impactul bugetar. Acest raport este făcut public; </w:t>
            </w:r>
          </w:p>
          <w:p w14:paraId="335B8920" w14:textId="464E90ED" w:rsidR="004F41E6" w:rsidRPr="000A27B3" w:rsidRDefault="004F41E6" w:rsidP="00CA23DD">
            <w:pPr>
              <w:pStyle w:val="ListParagraph"/>
              <w:numPr>
                <w:ilvl w:val="0"/>
                <w:numId w:val="239"/>
              </w:numPr>
              <w:spacing w:before="120" w:after="0" w:line="240" w:lineRule="auto"/>
              <w:jc w:val="both"/>
              <w:rPr>
                <w:rFonts w:ascii="Times New Roman" w:hAnsi="Times New Roman"/>
                <w:noProof/>
                <w:sz w:val="24"/>
              </w:rPr>
            </w:pPr>
            <w:r>
              <w:rPr>
                <w:rFonts w:ascii="Times New Roman" w:hAnsi="Times New Roman"/>
                <w:noProof/>
                <w:sz w:val="24"/>
              </w:rPr>
              <w:t>În cazul în care raportul identifică abateri de la normele de indexare prevăzute de lege, guvernul este obligat prin lege să adopte măsuri compensatorii (modificări ale parametrilor sau majorări ale contribuțiilor) pentru a neutraliza impactul bugetar, în termeni de valoare actualizată netă, al oricărei majorări ad-hoc a pensiilor. În mod implicit, contribuțiile sociale vor fi majorate pentru a compensa impactul bugetar, în termeni de valoare actualizată netă, al oricărei majorări ad-hoc a pensiilor (adică orice majorare care depășește normele de indexare).</w:t>
            </w:r>
          </w:p>
          <w:p w14:paraId="2382B062" w14:textId="02E335B9" w:rsidR="009F045D" w:rsidRPr="000A27B3" w:rsidRDefault="00BA6142" w:rsidP="00A60545">
            <w:pPr>
              <w:pStyle w:val="ListParagraph"/>
              <w:numPr>
                <w:ilvl w:val="0"/>
                <w:numId w:val="63"/>
              </w:numPr>
              <w:jc w:val="both"/>
              <w:rPr>
                <w:noProof/>
              </w:rPr>
            </w:pPr>
            <w:r>
              <w:rPr>
                <w:rFonts w:ascii="Times New Roman" w:hAnsi="Times New Roman"/>
                <w:noProof/>
                <w:sz w:val="24"/>
              </w:rPr>
              <w:t xml:space="preserve">Legea prevede o convergență progresivă a vârstei legale de pensionare a femeilor cu cea a bărbaților (care în prezent este de 65 de ani). Această convergență va începe în 2024, va continua în mod linear și se va finaliza până în 2035. </w:t>
            </w:r>
          </w:p>
          <w:p w14:paraId="7EA007BE" w14:textId="77777777" w:rsidR="00CA3927" w:rsidRPr="000A27B3" w:rsidRDefault="008E5733" w:rsidP="008F598F">
            <w:pPr>
              <w:pStyle w:val="ListParagraph"/>
              <w:numPr>
                <w:ilvl w:val="0"/>
                <w:numId w:val="63"/>
              </w:numPr>
              <w:spacing w:after="0"/>
              <w:ind w:left="357" w:hanging="357"/>
              <w:jc w:val="both"/>
              <w:rPr>
                <w:noProof/>
              </w:rPr>
            </w:pPr>
            <w:r>
              <w:rPr>
                <w:rFonts w:ascii="Times New Roman" w:hAnsi="Times New Roman"/>
                <w:noProof/>
                <w:sz w:val="24"/>
              </w:rPr>
              <w:t>Legea prevede stimulente pentru ca lucrătorii să rămână încadrați în muncă o perioadă mai lungă, până la vârsta legală de pensionare și peste această vârstă, până la vârsta maximă de 70 de ani. Concret, se vor acorda puncte suplimentare pentru fiecare an de contribuție de după o contribuție de 25 de ani, astfel: 0,50 de puncte pentru fiecare an de după o contribuție de 25 de ani; 0,75 de puncte pentru fiecare an de după o contribuție de 30 de ani; un punct pentru fiecare an de după o contribuție de 35 de ani.</w:t>
            </w:r>
          </w:p>
          <w:p w14:paraId="5C1AB975" w14:textId="5C561190" w:rsidR="005A277B" w:rsidRPr="000A27B3" w:rsidRDefault="005A277B" w:rsidP="008F598F">
            <w:pPr>
              <w:numPr>
                <w:ilvl w:val="0"/>
                <w:numId w:val="63"/>
              </w:numPr>
              <w:spacing w:after="0" w:line="240" w:lineRule="auto"/>
              <w:ind w:left="357" w:hanging="357"/>
              <w:contextualSpacing/>
              <w:jc w:val="both"/>
              <w:rPr>
                <w:rFonts w:ascii="Times New Roman" w:hAnsi="Times New Roman" w:cs="Times New Roman"/>
                <w:noProof/>
                <w:sz w:val="24"/>
                <w:szCs w:val="24"/>
              </w:rPr>
            </w:pPr>
            <w:r>
              <w:rPr>
                <w:rFonts w:ascii="Times New Roman" w:hAnsi="Times New Roman"/>
                <w:noProof/>
                <w:sz w:val="24"/>
              </w:rPr>
              <w:t>Legea revizuiește condițiile pensionării anticipate din motive de muncă în condiții „speciale” sau „deosebite”:</w:t>
            </w:r>
          </w:p>
          <w:p w14:paraId="7DF252DA" w14:textId="77777777" w:rsidR="00E64A6F" w:rsidRPr="000A27B3" w:rsidRDefault="005A277B" w:rsidP="00E64A6F">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Reducerea maximă a vârstei standard de pensionare pentru activitățile desfășurate în condiții speciale se reduce la 10 ani, iar reducerea maximă a vârstei standard de pensionare pentru activitățile desfășurate în condiții deosebite se reduce la 7 ani. </w:t>
            </w:r>
          </w:p>
          <w:p w14:paraId="0A0A704A" w14:textId="68F36ECE" w:rsidR="00E64A6F" w:rsidRPr="000A27B3" w:rsidRDefault="005A277B" w:rsidP="00E64A6F">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Primele acordate pentru anii de muncă în condiții speciale de muncă se stabilesc la un număr fix de puncte, și anume 0,25</w:t>
            </w:r>
            <w:r w:rsidR="00ED2A55">
              <w:rPr>
                <w:rFonts w:ascii="Times New Roman" w:hAnsi="Times New Roman"/>
                <w:noProof/>
                <w:sz w:val="24"/>
              </w:rPr>
              <w:t> </w:t>
            </w:r>
            <w:r>
              <w:rPr>
                <w:rFonts w:ascii="Times New Roman" w:hAnsi="Times New Roman"/>
                <w:noProof/>
                <w:sz w:val="24"/>
              </w:rPr>
              <w:t xml:space="preserve">și 0,50 de puncte pentru fiecare an complet de muncă desfășurată în condiții speciale de muncă. </w:t>
            </w:r>
          </w:p>
          <w:p w14:paraId="68B2D6A7" w14:textId="3D5892F4" w:rsidR="005A277B" w:rsidRPr="000A27B3" w:rsidRDefault="005A277B" w:rsidP="00E64A6F">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Lista unităților cu activități care pot beneficia de statutul de „condiții speciale” ar trebui redusă cu peste jumătate.</w:t>
            </w:r>
          </w:p>
          <w:p w14:paraId="6BF05469" w14:textId="0C501EFC" w:rsidR="004852CC" w:rsidRPr="000A27B3" w:rsidRDefault="004852CC" w:rsidP="00974051">
            <w:pPr>
              <w:pStyle w:val="ListParagraph"/>
              <w:numPr>
                <w:ilvl w:val="0"/>
                <w:numId w:val="63"/>
              </w:numPr>
              <w:jc w:val="both"/>
              <w:rPr>
                <w:rFonts w:ascii="Times New Roman" w:hAnsi="Times New Roman" w:cs="Times New Roman"/>
                <w:noProof/>
                <w:sz w:val="24"/>
                <w:szCs w:val="24"/>
              </w:rPr>
            </w:pPr>
            <w:r>
              <w:rPr>
                <w:rFonts w:ascii="Times New Roman" w:hAnsi="Times New Roman"/>
                <w:noProof/>
                <w:sz w:val="24"/>
              </w:rPr>
              <w:t>Sustenabilitatea b</w:t>
            </w:r>
            <w:r w:rsidR="005A192D">
              <w:rPr>
                <w:rFonts w:ascii="Times New Roman" w:hAnsi="Times New Roman"/>
                <w:noProof/>
                <w:sz w:val="24"/>
              </w:rPr>
              <w:t>u</w:t>
            </w:r>
            <w:r>
              <w:rPr>
                <w:rFonts w:ascii="Times New Roman" w:hAnsi="Times New Roman"/>
                <w:noProof/>
                <w:sz w:val="24"/>
              </w:rPr>
              <w:t xml:space="preserve">getară a sistemului este susținută, de asemenea, de un „mecanism de frânare” integrat în lege. În special: </w:t>
            </w:r>
          </w:p>
          <w:p w14:paraId="7DE34DD3" w14:textId="0D7AC838" w:rsidR="004852CC" w:rsidRPr="000A27B3" w:rsidRDefault="004852CC" w:rsidP="004852CC">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Acest mecanism prevede revizuiri periodice (la fiecare trei ani) ale cheltuielilor cu pensiile și ale evoluțiilor și proiecțiilor privind echilibrul sistemului, efectuate de Consiliul Fiscal, pe baza previziunilor Grupului de lucru privind îmbătrânirea populației. Ministerul Muncii și Ministerul Finanțelor transmit toate datele necesare în timp util. Acest raport este făcut public. </w:t>
            </w:r>
          </w:p>
          <w:p w14:paraId="057C8914" w14:textId="01D89101" w:rsidR="004852CC" w:rsidRPr="000A27B3" w:rsidRDefault="004852CC" w:rsidP="004852CC">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În cazul în care revizuirea identifică abateri de la „traiectoria de referință” stabilită de furnizorul de asistență tehnică la momentul adoptării reformei de către guvern, guvernul este obligat să adopte măsuri (modificări ale parametrilor) prin care cheltuielile cu pensiile (ca procent din PIB) să revină la traiectoria de referință. În mod implicit, contribuțiile sociale vor fi majorate pentru a compensa impactul bugetar, în termeni de valoare actualizată netă, al oricărei abateri a cheltuielilor cu pensiile.de la traiectoria de referință.</w:t>
            </w:r>
          </w:p>
          <w:p w14:paraId="6E16E408" w14:textId="23DD8D25" w:rsidR="004852CC" w:rsidRPr="000A27B3" w:rsidRDefault="004852CC" w:rsidP="004852CC">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Prima revizuire va avea loc în 2027.</w:t>
            </w:r>
          </w:p>
          <w:p w14:paraId="6285E4A0" w14:textId="77777777" w:rsidR="00B03360" w:rsidRPr="000A27B3" w:rsidRDefault="00B03360" w:rsidP="008F598F">
            <w:pPr>
              <w:numPr>
                <w:ilvl w:val="0"/>
                <w:numId w:val="63"/>
              </w:numPr>
              <w:spacing w:after="0" w:line="240" w:lineRule="auto"/>
              <w:ind w:left="357" w:hanging="357"/>
              <w:contextualSpacing/>
              <w:jc w:val="both"/>
              <w:rPr>
                <w:rFonts w:ascii="Times New Roman" w:hAnsi="Times New Roman" w:cs="Times New Roman"/>
                <w:noProof/>
                <w:sz w:val="24"/>
                <w:szCs w:val="24"/>
              </w:rPr>
            </w:pPr>
            <w:r>
              <w:rPr>
                <w:rFonts w:ascii="Times New Roman" w:hAnsi="Times New Roman"/>
                <w:noProof/>
                <w:sz w:val="24"/>
              </w:rPr>
              <w:t xml:space="preserve">Reforma introduce dispoziții care să asigure faptul că parametrii-cheie ai sistemului sunt ajustați periodic pentru a reflecta evoluția speranței de viață. În special: </w:t>
            </w:r>
          </w:p>
          <w:p w14:paraId="5FA73F69" w14:textId="77777777" w:rsidR="00B03360" w:rsidRPr="000A27B3" w:rsidRDefault="00B03360" w:rsidP="008F598F">
            <w:pPr>
              <w:pStyle w:val="ListParagraph"/>
              <w:numPr>
                <w:ilvl w:val="0"/>
                <w:numId w:val="62"/>
              </w:numPr>
              <w:spacing w:after="0" w:line="240" w:lineRule="auto"/>
              <w:ind w:left="714" w:hanging="357"/>
              <w:jc w:val="both"/>
              <w:rPr>
                <w:rFonts w:ascii="Times New Roman" w:hAnsi="Times New Roman" w:cs="Times New Roman"/>
                <w:noProof/>
                <w:sz w:val="24"/>
                <w:szCs w:val="24"/>
              </w:rPr>
            </w:pPr>
            <w:r>
              <w:rPr>
                <w:rFonts w:ascii="Times New Roman" w:hAnsi="Times New Roman"/>
                <w:noProof/>
                <w:sz w:val="24"/>
              </w:rPr>
              <w:t xml:space="preserve">Perioada minimă de contribuție, perioada de contribuție pentru o pensie completă, vârsta legală de pensionare și toți ceilalți parametri legați de timp evoluează cu o fracțiune (50 %) din orice modificare observată a speranței de viață (la pensionare). </w:t>
            </w:r>
          </w:p>
          <w:p w14:paraId="065F357B" w14:textId="77777777" w:rsidR="00B03360" w:rsidRPr="000A27B3" w:rsidRDefault="00B03360" w:rsidP="00B03360">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Atunci când devin disponibile noi proiecții ale AWG, la fiecare trei ani, Consiliul Fiscal redactează un raport în care examinează dacă parametrii sistemului de pensii au fost ajustați în conformitate cu legea și cu modificările speranței de viață la pensionare. Acest raport este făcut public.</w:t>
            </w:r>
          </w:p>
          <w:p w14:paraId="3E4CA71A" w14:textId="77777777" w:rsidR="00B03360" w:rsidRPr="000A27B3" w:rsidRDefault="00B03360" w:rsidP="00B03360">
            <w:pPr>
              <w:pStyle w:val="ListParagraph"/>
              <w:numPr>
                <w:ilvl w:val="0"/>
                <w:numId w:val="62"/>
              </w:num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În cazul în care raportul identifică abateri de la reguli, guvernul este obligat prin lege să ajusteze parametrii sistemului. </w:t>
            </w:r>
          </w:p>
          <w:p w14:paraId="7AF29220" w14:textId="4877FDB3" w:rsidR="004852CC" w:rsidRPr="000A27B3" w:rsidRDefault="00B03360" w:rsidP="008F598F">
            <w:pPr>
              <w:pStyle w:val="ListParagraph"/>
              <w:numPr>
                <w:ilvl w:val="0"/>
                <w:numId w:val="62"/>
              </w:numPr>
              <w:spacing w:before="120" w:after="0" w:line="240" w:lineRule="auto"/>
              <w:ind w:left="714" w:hanging="357"/>
              <w:jc w:val="both"/>
              <w:rPr>
                <w:rFonts w:ascii="Times New Roman" w:hAnsi="Times New Roman" w:cs="Times New Roman"/>
                <w:noProof/>
                <w:sz w:val="24"/>
                <w:szCs w:val="24"/>
              </w:rPr>
            </w:pPr>
            <w:r>
              <w:rPr>
                <w:rFonts w:ascii="Times New Roman" w:hAnsi="Times New Roman"/>
                <w:noProof/>
                <w:sz w:val="24"/>
              </w:rPr>
              <w:t>Prima revizuire va avea loc în 2027.</w:t>
            </w:r>
          </w:p>
          <w:p w14:paraId="2D3E27EF" w14:textId="76BC44C0" w:rsidR="00500CF9" w:rsidRPr="008F598F" w:rsidRDefault="00B03360" w:rsidP="008F598F">
            <w:pPr>
              <w:numPr>
                <w:ilvl w:val="0"/>
                <w:numId w:val="63"/>
              </w:numPr>
              <w:spacing w:after="0" w:line="240" w:lineRule="auto"/>
              <w:ind w:left="221" w:hanging="181"/>
              <w:contextualSpacing/>
              <w:jc w:val="both"/>
              <w:rPr>
                <w:rFonts w:ascii="Times New Roman" w:hAnsi="Times New Roman"/>
                <w:noProof/>
                <w:sz w:val="24"/>
              </w:rPr>
            </w:pPr>
            <w:r>
              <w:rPr>
                <w:rFonts w:ascii="Times New Roman" w:hAnsi="Times New Roman"/>
                <w:noProof/>
                <w:sz w:val="24"/>
              </w:rPr>
              <w:t>Reforma va duce la creșterea gradului de adecvare a pensiilor minime și a pensiilor mai mici, în special pentru persoanele aflate sub pragul sărăciei;</w:t>
            </w:r>
          </w:p>
          <w:p w14:paraId="478D0F10" w14:textId="77777777" w:rsidR="00EC6047" w:rsidRPr="000A27B3" w:rsidRDefault="00B03360" w:rsidP="00CA23DD">
            <w:pPr>
              <w:numPr>
                <w:ilvl w:val="0"/>
                <w:numId w:val="63"/>
              </w:numPr>
              <w:spacing w:before="120" w:after="0" w:line="240" w:lineRule="auto"/>
              <w:ind w:left="224" w:hanging="184"/>
              <w:contextualSpacing/>
              <w:jc w:val="both"/>
              <w:rPr>
                <w:rFonts w:ascii="Times New Roman" w:hAnsi="Times New Roman" w:cs="Times New Roman"/>
                <w:noProof/>
                <w:sz w:val="24"/>
                <w:szCs w:val="24"/>
              </w:rPr>
            </w:pPr>
            <w:r>
              <w:rPr>
                <w:rFonts w:ascii="Times New Roman" w:hAnsi="Times New Roman"/>
                <w:noProof/>
                <w:sz w:val="24"/>
              </w:rPr>
              <w:t>Legea va asigura viabilitatea financiară a pilonului II al sistemului de pensii prin sporirea contribuțiilor la acest pilon de pensii.</w:t>
            </w:r>
          </w:p>
          <w:p w14:paraId="34D041A4" w14:textId="164A9D9B" w:rsidR="00500CF9" w:rsidRPr="000A27B3" w:rsidRDefault="00500CF9" w:rsidP="00CA23DD">
            <w:pPr>
              <w:numPr>
                <w:ilvl w:val="0"/>
                <w:numId w:val="63"/>
              </w:numPr>
              <w:spacing w:before="120" w:after="0" w:line="240" w:lineRule="auto"/>
              <w:ind w:left="224" w:hanging="184"/>
              <w:contextualSpacing/>
              <w:jc w:val="both"/>
              <w:rPr>
                <w:rFonts w:ascii="Times New Roman" w:hAnsi="Times New Roman" w:cs="Times New Roman"/>
                <w:noProof/>
                <w:sz w:val="24"/>
                <w:szCs w:val="24"/>
              </w:rPr>
            </w:pPr>
            <w:r>
              <w:rPr>
                <w:rFonts w:ascii="Times New Roman" w:hAnsi="Times New Roman"/>
                <w:noProof/>
                <w:sz w:val="24"/>
              </w:rPr>
              <w:t>Pachetul poate include legi separate privind regimul general și pensiile speciale.</w:t>
            </w:r>
          </w:p>
        </w:tc>
      </w:tr>
      <w:tr w:rsidR="000A27B3" w:rsidRPr="000A27B3" w14:paraId="37BBEDB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A1ED6A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215</w:t>
            </w:r>
          </w:p>
        </w:tc>
        <w:tc>
          <w:tcPr>
            <w:tcW w:w="1833" w:type="dxa"/>
            <w:tcBorders>
              <w:top w:val="nil"/>
              <w:left w:val="nil"/>
              <w:bottom w:val="single" w:sz="4" w:space="0" w:color="auto"/>
              <w:right w:val="single" w:sz="4" w:space="0" w:color="auto"/>
            </w:tcBorders>
            <w:shd w:val="clear" w:color="auto" w:fill="C6EFCE"/>
            <w:noWrap/>
          </w:tcPr>
          <w:p w14:paraId="4C1E2BF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6. Reforma sistemului public de pensii</w:t>
            </w:r>
          </w:p>
        </w:tc>
        <w:tc>
          <w:tcPr>
            <w:tcW w:w="1268" w:type="dxa"/>
            <w:tcBorders>
              <w:top w:val="nil"/>
              <w:left w:val="nil"/>
              <w:bottom w:val="single" w:sz="4" w:space="0" w:color="auto"/>
              <w:right w:val="single" w:sz="4" w:space="0" w:color="auto"/>
            </w:tcBorders>
            <w:shd w:val="clear" w:color="auto" w:fill="C6EFCE"/>
            <w:noWrap/>
          </w:tcPr>
          <w:p w14:paraId="3C89BEB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0B66EC85"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cadrului legislativ pentru reducerea cheltuielilor cu pensiile speciale</w:t>
            </w:r>
          </w:p>
        </w:tc>
        <w:tc>
          <w:tcPr>
            <w:tcW w:w="1711" w:type="dxa"/>
            <w:gridSpan w:val="2"/>
            <w:tcBorders>
              <w:top w:val="nil"/>
              <w:left w:val="nil"/>
              <w:bottom w:val="single" w:sz="4" w:space="0" w:color="auto"/>
              <w:right w:val="single" w:sz="4" w:space="0" w:color="auto"/>
            </w:tcBorders>
            <w:shd w:val="clear" w:color="auto" w:fill="C6EFCE"/>
            <w:noWrap/>
          </w:tcPr>
          <w:p w14:paraId="068C62F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cadrului legislativ pentru reducerea cheltuielilor cu pensiile speciale</w:t>
            </w:r>
          </w:p>
        </w:tc>
        <w:tc>
          <w:tcPr>
            <w:tcW w:w="1062" w:type="dxa"/>
            <w:tcBorders>
              <w:top w:val="nil"/>
              <w:left w:val="nil"/>
              <w:bottom w:val="single" w:sz="4" w:space="0" w:color="auto"/>
              <w:right w:val="single" w:sz="4" w:space="0" w:color="auto"/>
            </w:tcBorders>
            <w:shd w:val="clear" w:color="auto" w:fill="C6EFCE"/>
            <w:noWrap/>
          </w:tcPr>
          <w:p w14:paraId="52BD5D7E"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45B89AB7"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5614468E"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62E39AE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50B9E67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06CBEBB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Noul cadru legislativ va revizui pensiile speciale și le va alinia la principiul contributivității.</w:t>
            </w:r>
          </w:p>
          <w:p w14:paraId="581F1FC0" w14:textId="77777777" w:rsidR="00500CF9" w:rsidRPr="000A27B3" w:rsidRDefault="00500CF9" w:rsidP="00CA23DD">
            <w:pPr>
              <w:numPr>
                <w:ilvl w:val="0"/>
                <w:numId w:val="241"/>
              </w:numPr>
              <w:spacing w:before="120" w:after="0" w:line="240" w:lineRule="auto"/>
              <w:contextualSpacing/>
              <w:jc w:val="both"/>
              <w:rPr>
                <w:rFonts w:ascii="Times New Roman" w:hAnsi="Times New Roman" w:cs="Times New Roman"/>
                <w:noProof/>
                <w:sz w:val="24"/>
                <w:szCs w:val="24"/>
              </w:rPr>
            </w:pPr>
            <w:r>
              <w:rPr>
                <w:rFonts w:ascii="Times New Roman" w:hAnsi="Times New Roman"/>
                <w:noProof/>
                <w:sz w:val="24"/>
              </w:rPr>
              <w:t>Nu se vor crea noi categorii de pensii speciale, iar categoriile actuale vor fi raționalizate.</w:t>
            </w:r>
          </w:p>
          <w:p w14:paraId="3D11F925" w14:textId="77777777" w:rsidR="00500CF9" w:rsidRPr="000A27B3" w:rsidRDefault="00500CF9" w:rsidP="00CA23DD">
            <w:pPr>
              <w:pStyle w:val="ListParagraph"/>
              <w:numPr>
                <w:ilvl w:val="0"/>
                <w:numId w:val="241"/>
              </w:numPr>
              <w:spacing w:before="120" w:after="0" w:line="240" w:lineRule="auto"/>
              <w:jc w:val="both"/>
              <w:rPr>
                <w:rFonts w:ascii="Times New Roman" w:hAnsi="Times New Roman" w:cs="Times New Roman"/>
                <w:noProof/>
                <w:sz w:val="24"/>
                <w:szCs w:val="24"/>
              </w:rPr>
            </w:pPr>
            <w:r>
              <w:rPr>
                <w:rFonts w:ascii="Times New Roman" w:hAnsi="Times New Roman"/>
                <w:noProof/>
                <w:sz w:val="24"/>
              </w:rPr>
              <w:t>Pensiile speciale se calculează în prezent pe baza principiului contributivității, a vechimii în profesie și a reajustării procentului legat de veniturile obținute. Perioada minimă de cotizare este similară cu cea aplicată în fondul public de pensii.</w:t>
            </w:r>
          </w:p>
          <w:p w14:paraId="758FC599" w14:textId="77777777" w:rsidR="00500CF9" w:rsidRPr="000A27B3" w:rsidRDefault="00500CF9" w:rsidP="00CA23DD">
            <w:pPr>
              <w:numPr>
                <w:ilvl w:val="0"/>
                <w:numId w:val="241"/>
              </w:numPr>
              <w:spacing w:before="120" w:after="0" w:line="240" w:lineRule="auto"/>
              <w:contextualSpacing/>
              <w:jc w:val="both"/>
              <w:rPr>
                <w:rFonts w:ascii="Times New Roman" w:hAnsi="Times New Roman" w:cs="Times New Roman"/>
                <w:noProof/>
                <w:sz w:val="24"/>
                <w:szCs w:val="24"/>
              </w:rPr>
            </w:pPr>
            <w:r>
              <w:rPr>
                <w:rFonts w:ascii="Times New Roman" w:hAnsi="Times New Roman"/>
                <w:noProof/>
                <w:sz w:val="24"/>
              </w:rPr>
              <w:t xml:space="preserve">Protecția deciziilor Curții Constituționale se va referi numai la pensiile magistraților, nu și la alte categorii, și se va referi numai la limitele explicite din argumentele Curții. </w:t>
            </w:r>
          </w:p>
          <w:p w14:paraId="279C718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Nicio pensie specială nu poate depăși venitul obținut în cursul perioadei de cotizare. </w:t>
            </w:r>
          </w:p>
        </w:tc>
      </w:tr>
      <w:tr w:rsidR="000A27B3" w:rsidRPr="000A27B3" w14:paraId="47C730F7"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hideMark/>
          </w:tcPr>
          <w:p w14:paraId="3F9C06C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216</w:t>
            </w:r>
          </w:p>
        </w:tc>
        <w:tc>
          <w:tcPr>
            <w:tcW w:w="1833" w:type="dxa"/>
            <w:tcBorders>
              <w:top w:val="nil"/>
              <w:left w:val="nil"/>
              <w:bottom w:val="single" w:sz="4" w:space="0" w:color="auto"/>
              <w:right w:val="single" w:sz="4" w:space="0" w:color="auto"/>
            </w:tcBorders>
            <w:shd w:val="clear" w:color="auto" w:fill="C6EFCE"/>
            <w:noWrap/>
            <w:hideMark/>
          </w:tcPr>
          <w:p w14:paraId="5FBD1D6A"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Creșterea conformării voluntare a contribuabililor prin dezvoltarea serviciilor digitale </w:t>
            </w:r>
          </w:p>
        </w:tc>
        <w:tc>
          <w:tcPr>
            <w:tcW w:w="1268" w:type="dxa"/>
            <w:tcBorders>
              <w:top w:val="nil"/>
              <w:left w:val="nil"/>
              <w:bottom w:val="single" w:sz="4" w:space="0" w:color="auto"/>
              <w:right w:val="single" w:sz="4" w:space="0" w:color="auto"/>
            </w:tcBorders>
            <w:shd w:val="clear" w:color="auto" w:fill="C6EFCE"/>
            <w:noWrap/>
            <w:hideMark/>
          </w:tcPr>
          <w:p w14:paraId="751E67E3"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hideMark/>
          </w:tcPr>
          <w:p w14:paraId="2A845D6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Serviciile digitale și sistemele electronice critice sunt operaționale </w:t>
            </w:r>
          </w:p>
          <w:p w14:paraId="32FF646D"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711" w:type="dxa"/>
            <w:gridSpan w:val="2"/>
            <w:tcBorders>
              <w:top w:val="nil"/>
              <w:left w:val="nil"/>
              <w:bottom w:val="single" w:sz="4" w:space="0" w:color="auto"/>
              <w:right w:val="single" w:sz="4" w:space="0" w:color="auto"/>
            </w:tcBorders>
            <w:shd w:val="clear" w:color="auto" w:fill="C6EFCE"/>
            <w:noWrap/>
            <w:hideMark/>
          </w:tcPr>
          <w:p w14:paraId="0ABC6BB0"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Serviciile digitale și sistemele electronice sunt operaționale </w:t>
            </w:r>
          </w:p>
        </w:tc>
        <w:tc>
          <w:tcPr>
            <w:tcW w:w="1062" w:type="dxa"/>
            <w:tcBorders>
              <w:top w:val="nil"/>
              <w:left w:val="nil"/>
              <w:bottom w:val="single" w:sz="4" w:space="0" w:color="auto"/>
              <w:right w:val="single" w:sz="4" w:space="0" w:color="auto"/>
            </w:tcBorders>
            <w:shd w:val="clear" w:color="auto" w:fill="C6EFCE"/>
            <w:noWrap/>
            <w:hideMark/>
          </w:tcPr>
          <w:p w14:paraId="797BFA5A"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129" w:type="dxa"/>
            <w:tcBorders>
              <w:top w:val="nil"/>
              <w:left w:val="nil"/>
              <w:bottom w:val="single" w:sz="4" w:space="0" w:color="auto"/>
              <w:right w:val="single" w:sz="4" w:space="0" w:color="auto"/>
            </w:tcBorders>
            <w:shd w:val="clear" w:color="auto" w:fill="C6EFCE"/>
            <w:noWrap/>
            <w:hideMark/>
          </w:tcPr>
          <w:p w14:paraId="24405079"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hideMark/>
          </w:tcPr>
          <w:p w14:paraId="525BFC83"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340" w:type="dxa"/>
            <w:tcBorders>
              <w:top w:val="nil"/>
              <w:left w:val="nil"/>
              <w:bottom w:val="single" w:sz="4" w:space="0" w:color="auto"/>
              <w:right w:val="single" w:sz="4" w:space="0" w:color="auto"/>
            </w:tcBorders>
            <w:shd w:val="clear" w:color="auto" w:fill="C6EFCE"/>
            <w:noWrap/>
            <w:hideMark/>
          </w:tcPr>
          <w:p w14:paraId="2DF2FD2A"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hideMark/>
          </w:tcPr>
          <w:p w14:paraId="5DE70A59"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hideMark/>
          </w:tcPr>
          <w:p w14:paraId="0384ED3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Vor fi create/extinse și operaționalizate următoarele servicii digitale și sisteme electronice:</w:t>
            </w:r>
          </w:p>
          <w:p w14:paraId="1D8D64F9" w14:textId="77777777" w:rsidR="00500CF9" w:rsidRPr="000A27B3" w:rsidRDefault="00500CF9" w:rsidP="00500CF9">
            <w:pPr>
              <w:numPr>
                <w:ilvl w:val="0"/>
                <w:numId w:val="62"/>
              </w:numPr>
              <w:spacing w:before="120" w:after="0"/>
              <w:ind w:left="224" w:hanging="224"/>
              <w:contextualSpacing/>
              <w:jc w:val="both"/>
              <w:rPr>
                <w:rFonts w:ascii="Times New Roman" w:hAnsi="Times New Roman" w:cs="Times New Roman"/>
                <w:noProof/>
                <w:sz w:val="24"/>
                <w:szCs w:val="24"/>
              </w:rPr>
            </w:pPr>
            <w:r>
              <w:rPr>
                <w:rFonts w:ascii="Times New Roman" w:hAnsi="Times New Roman"/>
                <w:noProof/>
                <w:sz w:val="24"/>
              </w:rPr>
              <w:t>spațiul privat virtual (SPV), care va îmbunătăți interacțiunea digitală dintre administrația fiscală și contribuabili (prin crearea posibilității de efectuare a plăților prin intermediul SPV/ghiseul.ro, a posibilității de a comunica cu contribuabilii prin intermediul SPV în ceea ce privește interacțiunea video, prin dezvoltarea formularului de contact existent în SPV, extinderea serviciului de programare online disponibil în SPV.</w:t>
            </w:r>
          </w:p>
          <w:p w14:paraId="54675FF3" w14:textId="77777777" w:rsidR="00500CF9" w:rsidRPr="000A27B3" w:rsidRDefault="00500CF9" w:rsidP="00500CF9">
            <w:pPr>
              <w:numPr>
                <w:ilvl w:val="0"/>
                <w:numId w:val="62"/>
              </w:numPr>
              <w:tabs>
                <w:tab w:val="left" w:pos="201"/>
              </w:tabs>
              <w:spacing w:before="120" w:after="0"/>
              <w:ind w:left="224" w:hanging="224"/>
              <w:contextualSpacing/>
              <w:jc w:val="both"/>
              <w:rPr>
                <w:rFonts w:ascii="Times New Roman" w:hAnsi="Times New Roman" w:cs="Times New Roman"/>
                <w:noProof/>
                <w:sz w:val="24"/>
                <w:szCs w:val="24"/>
              </w:rPr>
            </w:pPr>
            <w:r>
              <w:rPr>
                <w:rFonts w:ascii="Times New Roman" w:hAnsi="Times New Roman"/>
                <w:noProof/>
                <w:sz w:val="24"/>
              </w:rPr>
              <w:t>Centrul de apel va fi pe deplin operațional pentru a furniza servicii electronice și de telefonie contribuabililor. Va oferi funcții de e-mail, SMS și chat prin intermediul interfeței utilizatorului, prin procesare vocală a apelurilor primite/efectuate cu capacități de telefonie integrată prin intermediul interfeței utilizator; rutarea automată a apelurilor în funcție de capacități; lucru cu cozi de apel.</w:t>
            </w:r>
          </w:p>
          <w:p w14:paraId="1CD8CFA9" w14:textId="77777777" w:rsidR="00500CF9" w:rsidRPr="000A27B3" w:rsidRDefault="00500CF9" w:rsidP="00500CF9">
            <w:pPr>
              <w:numPr>
                <w:ilvl w:val="0"/>
                <w:numId w:val="62"/>
              </w:numPr>
              <w:tabs>
                <w:tab w:val="left" w:pos="201"/>
              </w:tabs>
              <w:spacing w:before="120" w:after="0"/>
              <w:ind w:left="224" w:hanging="224"/>
              <w:contextualSpacing/>
              <w:jc w:val="both"/>
              <w:rPr>
                <w:rFonts w:ascii="Times New Roman" w:hAnsi="Times New Roman" w:cs="Times New Roman"/>
                <w:noProof/>
                <w:sz w:val="24"/>
                <w:szCs w:val="24"/>
              </w:rPr>
            </w:pPr>
            <w:r>
              <w:rPr>
                <w:rFonts w:ascii="Times New Roman" w:hAnsi="Times New Roman"/>
                <w:noProof/>
                <w:sz w:val="24"/>
              </w:rPr>
              <w:t>Aplicația de ghișeu unic (One Stop Shop– OSS), care va îmbunătăți furnizarea de servicii și va reduce costurile de tranzacție pentru contribuabili, va reduce sarcina administrativă pentru întreprinderi prin simplificarea declarației privind taxa pe valoarea adăugată (TVA) și a procedurii de plată B2C (de la întreprindere la consumator), facilitând comerțul transfrontalier și combătând frauda în domeniul TVA. Acesta va facilita pentru societăți introducerea declarației electronice și plata electronică a TVA aferentă anumitor categorii de bunuri și servicii B2C.</w:t>
            </w:r>
          </w:p>
          <w:p w14:paraId="44A34CD4" w14:textId="22DA4195" w:rsidR="00500CF9" w:rsidRPr="000A27B3" w:rsidRDefault="00500CF9" w:rsidP="00500CF9">
            <w:pPr>
              <w:numPr>
                <w:ilvl w:val="0"/>
                <w:numId w:val="62"/>
              </w:numPr>
              <w:tabs>
                <w:tab w:val="left" w:pos="201"/>
              </w:tabs>
              <w:spacing w:before="120" w:after="0"/>
              <w:ind w:left="224" w:hanging="224"/>
              <w:contextualSpacing/>
              <w:jc w:val="both"/>
              <w:rPr>
                <w:rFonts w:ascii="Times New Roman" w:hAnsi="Times New Roman" w:cs="Times New Roman"/>
                <w:noProof/>
                <w:sz w:val="24"/>
                <w:szCs w:val="24"/>
              </w:rPr>
            </w:pPr>
            <w:r>
              <w:rPr>
                <w:rFonts w:ascii="Times New Roman" w:hAnsi="Times New Roman"/>
                <w:noProof/>
                <w:sz w:val="24"/>
              </w:rPr>
              <w:t xml:space="preserve">Sistemul de schimb de informații privind taxa pe valoarea adăugată – se va adapta la cele mai recente modificări legislative naționale și intracomunitare pentru a reduce sarcina administrativă asupra contribuabililor. </w:t>
            </w:r>
          </w:p>
        </w:tc>
      </w:tr>
      <w:tr w:rsidR="000A27B3" w:rsidRPr="000A27B3" w14:paraId="612FE352"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hideMark/>
          </w:tcPr>
          <w:p w14:paraId="3FAE464D"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217</w:t>
            </w:r>
          </w:p>
        </w:tc>
        <w:tc>
          <w:tcPr>
            <w:tcW w:w="1833" w:type="dxa"/>
            <w:tcBorders>
              <w:top w:val="nil"/>
              <w:left w:val="nil"/>
              <w:bottom w:val="single" w:sz="4" w:space="0" w:color="auto"/>
              <w:right w:val="single" w:sz="4" w:space="0" w:color="auto"/>
            </w:tcBorders>
            <w:shd w:val="clear" w:color="auto" w:fill="C6EFCE"/>
            <w:noWrap/>
            <w:hideMark/>
          </w:tcPr>
          <w:p w14:paraId="1BCBD842"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1. Creșterea conformării voluntare a contribuabililor prin dezvoltarea serviciilor digitale </w:t>
            </w:r>
          </w:p>
        </w:tc>
        <w:tc>
          <w:tcPr>
            <w:tcW w:w="1268" w:type="dxa"/>
            <w:tcBorders>
              <w:top w:val="nil"/>
              <w:left w:val="nil"/>
              <w:bottom w:val="single" w:sz="4" w:space="0" w:color="auto"/>
              <w:right w:val="single" w:sz="4" w:space="0" w:color="auto"/>
            </w:tcBorders>
            <w:shd w:val="clear" w:color="auto" w:fill="C6EFCE"/>
            <w:noWrap/>
            <w:hideMark/>
          </w:tcPr>
          <w:p w14:paraId="76341F1C"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hideMark/>
          </w:tcPr>
          <w:p w14:paraId="489A6BC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Servicii disponibile online pentru contribuabilii persoane juridice</w:t>
            </w:r>
          </w:p>
          <w:p w14:paraId="6725C62C"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711" w:type="dxa"/>
            <w:gridSpan w:val="2"/>
            <w:tcBorders>
              <w:top w:val="nil"/>
              <w:left w:val="nil"/>
              <w:bottom w:val="single" w:sz="4" w:space="0" w:color="auto"/>
              <w:right w:val="single" w:sz="4" w:space="0" w:color="auto"/>
            </w:tcBorders>
            <w:shd w:val="clear" w:color="auto" w:fill="C6EFCE"/>
            <w:noWrap/>
            <w:hideMark/>
          </w:tcPr>
          <w:p w14:paraId="2F30831E"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62" w:type="dxa"/>
            <w:tcBorders>
              <w:top w:val="nil"/>
              <w:left w:val="nil"/>
              <w:bottom w:val="single" w:sz="4" w:space="0" w:color="auto"/>
              <w:right w:val="single" w:sz="4" w:space="0" w:color="auto"/>
            </w:tcBorders>
            <w:shd w:val="clear" w:color="auto" w:fill="C6EFCE"/>
            <w:noWrap/>
            <w:hideMark/>
          </w:tcPr>
          <w:p w14:paraId="7322D669"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1A88630C" w14:textId="77777777" w:rsidR="00500CF9" w:rsidRPr="000A27B3" w:rsidRDefault="00500CF9">
            <w:pPr>
              <w:spacing w:after="0" w:line="240" w:lineRule="auto"/>
              <w:rPr>
                <w:rFonts w:ascii="Times New Roman" w:eastAsia="Times New Roman" w:hAnsi="Times New Roman" w:cs="Times New Roman"/>
                <w:noProof/>
                <w:sz w:val="24"/>
                <w:lang w:val="en-GB" w:eastAsia="en-GB"/>
              </w:rPr>
            </w:pPr>
          </w:p>
        </w:tc>
        <w:tc>
          <w:tcPr>
            <w:tcW w:w="1129" w:type="dxa"/>
            <w:tcBorders>
              <w:top w:val="nil"/>
              <w:left w:val="nil"/>
              <w:bottom w:val="single" w:sz="4" w:space="0" w:color="auto"/>
              <w:right w:val="single" w:sz="4" w:space="0" w:color="auto"/>
            </w:tcBorders>
            <w:shd w:val="clear" w:color="auto" w:fill="C6EFCE"/>
            <w:noWrap/>
            <w:hideMark/>
          </w:tcPr>
          <w:p w14:paraId="7D4C8239"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45</w:t>
            </w:r>
          </w:p>
        </w:tc>
        <w:tc>
          <w:tcPr>
            <w:tcW w:w="1269" w:type="dxa"/>
            <w:tcBorders>
              <w:top w:val="nil"/>
              <w:left w:val="nil"/>
              <w:bottom w:val="single" w:sz="4" w:space="0" w:color="auto"/>
              <w:right w:val="single" w:sz="4" w:space="0" w:color="auto"/>
            </w:tcBorders>
            <w:shd w:val="clear" w:color="auto" w:fill="C6EFCE"/>
            <w:noWrap/>
            <w:hideMark/>
          </w:tcPr>
          <w:p w14:paraId="7B2CADC1"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60</w:t>
            </w:r>
          </w:p>
        </w:tc>
        <w:tc>
          <w:tcPr>
            <w:tcW w:w="1340" w:type="dxa"/>
            <w:tcBorders>
              <w:top w:val="nil"/>
              <w:left w:val="nil"/>
              <w:bottom w:val="single" w:sz="4" w:space="0" w:color="auto"/>
              <w:right w:val="single" w:sz="4" w:space="0" w:color="auto"/>
            </w:tcBorders>
            <w:shd w:val="clear" w:color="auto" w:fill="C6EFCE"/>
            <w:noWrap/>
            <w:hideMark/>
          </w:tcPr>
          <w:p w14:paraId="7C12B86D"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hideMark/>
          </w:tcPr>
          <w:p w14:paraId="753A1C6A"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hideMark/>
          </w:tcPr>
          <w:p w14:paraId="51610139" w14:textId="77777777" w:rsidR="00500CF9" w:rsidRPr="000A27B3" w:rsidRDefault="00500CF9">
            <w:pPr>
              <w:spacing w:after="0"/>
              <w:contextualSpacing/>
              <w:jc w:val="both"/>
              <w:rPr>
                <w:rFonts w:ascii="Times New Roman" w:hAnsi="Times New Roman" w:cs="Times New Roman"/>
                <w:noProof/>
                <w:sz w:val="24"/>
                <w:szCs w:val="24"/>
              </w:rPr>
            </w:pPr>
            <w:r>
              <w:rPr>
                <w:rFonts w:ascii="Times New Roman" w:hAnsi="Times New Roman"/>
                <w:noProof/>
                <w:sz w:val="24"/>
              </w:rPr>
              <w:t>60 % din totalul serviciilor destinate contribuabililor persoane juridice disponibile la sfârșitul anului 2024 vor fi accesibile online prin intermediul site-ului Agenției Naționale de Administrare Fiscală sau prin intermediul SPV. Începând din 2021, doar 45 % din aceste servicii sunt disponibile online.</w:t>
            </w:r>
          </w:p>
          <w:p w14:paraId="1178C525" w14:textId="77777777" w:rsidR="00500CF9" w:rsidRPr="000A27B3" w:rsidRDefault="00500CF9">
            <w:pPr>
              <w:spacing w:after="0"/>
              <w:contextualSpacing/>
              <w:jc w:val="both"/>
              <w:rPr>
                <w:rFonts w:ascii="Times New Roman" w:hAnsi="Times New Roman" w:cs="Times New Roman"/>
                <w:noProof/>
                <w:sz w:val="24"/>
                <w:szCs w:val="24"/>
              </w:rPr>
            </w:pPr>
            <w:r>
              <w:rPr>
                <w:rFonts w:ascii="Times New Roman" w:hAnsi="Times New Roman"/>
                <w:noProof/>
                <w:sz w:val="24"/>
              </w:rPr>
              <w:t>Numărul de servicii oferite de ANAF contribuabililor este de 65 de servicii, atât servicii electronice, cât și servicii la sediul unităților fiscale. Serviciile disponibile includ: facilitățile de interacțiune cu contribuabilii la sediul unităților fiscale și o serie de soluții pentru cunoașterea contribuabililor/clienților.</w:t>
            </w:r>
          </w:p>
        </w:tc>
      </w:tr>
      <w:tr w:rsidR="000A27B3" w:rsidRPr="000A27B3" w14:paraId="4E1F93BB"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530BA8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218</w:t>
            </w:r>
          </w:p>
        </w:tc>
        <w:tc>
          <w:tcPr>
            <w:tcW w:w="1833" w:type="dxa"/>
            <w:tcBorders>
              <w:top w:val="nil"/>
              <w:left w:val="nil"/>
              <w:bottom w:val="single" w:sz="4" w:space="0" w:color="auto"/>
              <w:right w:val="single" w:sz="4" w:space="0" w:color="auto"/>
            </w:tcBorders>
            <w:shd w:val="clear" w:color="auto" w:fill="C6EFCE"/>
            <w:noWrap/>
          </w:tcPr>
          <w:p w14:paraId="39716D1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Creșterea conformării voluntare a contribuabililor prin dezvoltarea serviciilor digitale </w:t>
            </w:r>
          </w:p>
        </w:tc>
        <w:tc>
          <w:tcPr>
            <w:tcW w:w="1268" w:type="dxa"/>
            <w:tcBorders>
              <w:top w:val="nil"/>
              <w:left w:val="nil"/>
              <w:bottom w:val="single" w:sz="4" w:space="0" w:color="auto"/>
              <w:right w:val="single" w:sz="4" w:space="0" w:color="auto"/>
            </w:tcBorders>
            <w:shd w:val="clear" w:color="auto" w:fill="C6EFCE"/>
            <w:noWrap/>
          </w:tcPr>
          <w:p w14:paraId="4F7207B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649E7F1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Operaționalizarea platformei de licitații online pentru evaluarea bunurilor imobile și mobile cu o valoare semnificativă (în funcție de tipul de activ) </w:t>
            </w:r>
          </w:p>
          <w:p w14:paraId="2F7FB655" w14:textId="77777777" w:rsidR="00500CF9" w:rsidRPr="009F1DC7" w:rsidRDefault="00500CF9">
            <w:pPr>
              <w:spacing w:after="0" w:line="240" w:lineRule="auto"/>
              <w:jc w:val="both"/>
              <w:rPr>
                <w:rFonts w:ascii="Times New Roman" w:hAnsi="Times New Roman" w:cs="Times New Roman"/>
                <w:noProof/>
                <w:sz w:val="24"/>
                <w:szCs w:val="24"/>
              </w:rPr>
            </w:pPr>
          </w:p>
        </w:tc>
        <w:tc>
          <w:tcPr>
            <w:tcW w:w="1711" w:type="dxa"/>
            <w:gridSpan w:val="2"/>
            <w:tcBorders>
              <w:top w:val="nil"/>
              <w:left w:val="nil"/>
              <w:bottom w:val="single" w:sz="4" w:space="0" w:color="auto"/>
              <w:right w:val="single" w:sz="4" w:space="0" w:color="auto"/>
            </w:tcBorders>
            <w:shd w:val="clear" w:color="auto" w:fill="C6EFCE"/>
            <w:noWrap/>
          </w:tcPr>
          <w:p w14:paraId="5182AE3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Platforma online operaționalizată</w:t>
            </w:r>
          </w:p>
        </w:tc>
        <w:tc>
          <w:tcPr>
            <w:tcW w:w="1062" w:type="dxa"/>
            <w:tcBorders>
              <w:top w:val="nil"/>
              <w:left w:val="nil"/>
              <w:bottom w:val="single" w:sz="4" w:space="0" w:color="auto"/>
              <w:right w:val="single" w:sz="4" w:space="0" w:color="auto"/>
            </w:tcBorders>
            <w:shd w:val="clear" w:color="auto" w:fill="C6EFCE"/>
            <w:noWrap/>
          </w:tcPr>
          <w:p w14:paraId="1D61B3C5"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483A4CDB"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7FA3418D"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3516AFD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4263A67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tcPr>
          <w:p w14:paraId="03F6E0C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Va fi operaționalizată o platformă online pentru organizarea de licitații pentru vânzarea activelor deținute de stat și a celor confiscate în urma executării silite.</w:t>
            </w:r>
          </w:p>
          <w:p w14:paraId="311A043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În cazul în care autoritățile publice române decid să vândă active imobiliare, bunuri mobile și obiecte rare și valoroase, cum ar fi metale prețioase, opere de artă, autoturisme, avioane, ambarcațiuni aflate în posesia lor, activele vor fi oferite spre vânzare pe noua platformă de licitație [utilizând datele din bazele de date ale Centrului Național pentru Informații Financiare (CNIF) și informațiile furnizate de Agenția Națională de Administrare Fiscală].</w:t>
            </w:r>
          </w:p>
        </w:tc>
      </w:tr>
      <w:tr w:rsidR="000A27B3" w:rsidRPr="000A27B3" w14:paraId="7417D24F"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C73552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219</w:t>
            </w:r>
          </w:p>
        </w:tc>
        <w:tc>
          <w:tcPr>
            <w:tcW w:w="1833" w:type="dxa"/>
            <w:tcBorders>
              <w:top w:val="nil"/>
              <w:left w:val="nil"/>
              <w:bottom w:val="single" w:sz="4" w:space="0" w:color="auto"/>
              <w:right w:val="single" w:sz="4" w:space="0" w:color="auto"/>
            </w:tcBorders>
            <w:shd w:val="clear" w:color="auto" w:fill="C6EFCE"/>
            <w:noWrap/>
          </w:tcPr>
          <w:p w14:paraId="5F96D2C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Îmbunătățirea proceselor de administrare a impozitelor și taxelor, inclusiv prin implementarea managementului integrat al riscurilor </w:t>
            </w:r>
          </w:p>
        </w:tc>
        <w:tc>
          <w:tcPr>
            <w:tcW w:w="1268" w:type="dxa"/>
            <w:tcBorders>
              <w:top w:val="nil"/>
              <w:left w:val="nil"/>
              <w:bottom w:val="single" w:sz="4" w:space="0" w:color="auto"/>
              <w:right w:val="single" w:sz="4" w:space="0" w:color="auto"/>
            </w:tcBorders>
            <w:shd w:val="clear" w:color="auto" w:fill="C6EFCE"/>
            <w:noWrap/>
          </w:tcPr>
          <w:p w14:paraId="3820B75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5A26746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Formarea personalului cu privire la sistemul de management al riscurilor </w:t>
            </w:r>
          </w:p>
        </w:tc>
        <w:tc>
          <w:tcPr>
            <w:tcW w:w="1711" w:type="dxa"/>
            <w:gridSpan w:val="2"/>
            <w:tcBorders>
              <w:top w:val="nil"/>
              <w:left w:val="nil"/>
              <w:bottom w:val="single" w:sz="4" w:space="0" w:color="auto"/>
              <w:right w:val="single" w:sz="4" w:space="0" w:color="auto"/>
            </w:tcBorders>
            <w:shd w:val="clear" w:color="auto" w:fill="C6EFCE"/>
            <w:noWrap/>
          </w:tcPr>
          <w:p w14:paraId="104C4732"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59541058"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129" w:type="dxa"/>
            <w:tcBorders>
              <w:top w:val="nil"/>
              <w:left w:val="nil"/>
              <w:bottom w:val="single" w:sz="4" w:space="0" w:color="auto"/>
              <w:right w:val="single" w:sz="4" w:space="0" w:color="auto"/>
            </w:tcBorders>
            <w:shd w:val="clear" w:color="auto" w:fill="C6EFCE"/>
            <w:noWrap/>
          </w:tcPr>
          <w:p w14:paraId="0903EF3E"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269" w:type="dxa"/>
            <w:tcBorders>
              <w:top w:val="nil"/>
              <w:left w:val="nil"/>
              <w:bottom w:val="single" w:sz="4" w:space="0" w:color="auto"/>
              <w:right w:val="single" w:sz="4" w:space="0" w:color="auto"/>
            </w:tcBorders>
            <w:shd w:val="clear" w:color="auto" w:fill="C6EFCE"/>
            <w:noWrap/>
          </w:tcPr>
          <w:p w14:paraId="76FDC6E1"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40</w:t>
            </w:r>
          </w:p>
        </w:tc>
        <w:tc>
          <w:tcPr>
            <w:tcW w:w="1340" w:type="dxa"/>
            <w:tcBorders>
              <w:top w:val="nil"/>
              <w:left w:val="nil"/>
              <w:bottom w:val="single" w:sz="4" w:space="0" w:color="auto"/>
              <w:right w:val="single" w:sz="4" w:space="0" w:color="auto"/>
            </w:tcBorders>
            <w:shd w:val="clear" w:color="auto" w:fill="C6EFCE"/>
            <w:noWrap/>
          </w:tcPr>
          <w:p w14:paraId="00C3B02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6E48CEB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7A2EE51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40 de membri ai personalului care lucrează în domeniul managementului riscurilor în cadrul Ministerului Finanțelor vor fi instruiți cu privire la sistemul de management al riscurilor. </w:t>
            </w:r>
          </w:p>
        </w:tc>
      </w:tr>
      <w:tr w:rsidR="000A27B3" w:rsidRPr="000A27B3" w14:paraId="58A55CB7"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0EC25F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220</w:t>
            </w:r>
          </w:p>
        </w:tc>
        <w:tc>
          <w:tcPr>
            <w:tcW w:w="1833" w:type="dxa"/>
            <w:tcBorders>
              <w:top w:val="nil"/>
              <w:left w:val="nil"/>
              <w:bottom w:val="single" w:sz="4" w:space="0" w:color="auto"/>
              <w:right w:val="single" w:sz="4" w:space="0" w:color="auto"/>
            </w:tcBorders>
            <w:shd w:val="clear" w:color="auto" w:fill="C6EFCE"/>
            <w:noWrap/>
          </w:tcPr>
          <w:p w14:paraId="0E7A86E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2. Îmbunătățirea proceselor de administrare a impozitelor și taxelor, inclusiv prin implementarea managementului integrat al riscurilor</w:t>
            </w:r>
          </w:p>
        </w:tc>
        <w:tc>
          <w:tcPr>
            <w:tcW w:w="1268" w:type="dxa"/>
            <w:tcBorders>
              <w:top w:val="nil"/>
              <w:left w:val="nil"/>
              <w:bottom w:val="single" w:sz="4" w:space="0" w:color="auto"/>
              <w:right w:val="single" w:sz="4" w:space="0" w:color="auto"/>
            </w:tcBorders>
            <w:shd w:val="clear" w:color="auto" w:fill="C6EFCE"/>
            <w:noWrap/>
          </w:tcPr>
          <w:p w14:paraId="0D94EDA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256F0FC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Numărul de case de marcat conectate la sistemul informatic al Agenției Naționale de Administrare Fiscală </w:t>
            </w:r>
          </w:p>
        </w:tc>
        <w:tc>
          <w:tcPr>
            <w:tcW w:w="1711" w:type="dxa"/>
            <w:gridSpan w:val="2"/>
            <w:tcBorders>
              <w:top w:val="nil"/>
              <w:left w:val="nil"/>
              <w:bottom w:val="single" w:sz="4" w:space="0" w:color="auto"/>
              <w:right w:val="single" w:sz="4" w:space="0" w:color="auto"/>
            </w:tcBorders>
            <w:shd w:val="clear" w:color="auto" w:fill="C6EFCE"/>
            <w:noWrap/>
          </w:tcPr>
          <w:p w14:paraId="30BDA195"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75ECABDD"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129" w:type="dxa"/>
            <w:tcBorders>
              <w:top w:val="nil"/>
              <w:left w:val="nil"/>
              <w:bottom w:val="single" w:sz="4" w:space="0" w:color="auto"/>
              <w:right w:val="single" w:sz="4" w:space="0" w:color="auto"/>
            </w:tcBorders>
            <w:shd w:val="clear" w:color="auto" w:fill="C6EFCE"/>
            <w:noWrap/>
          </w:tcPr>
          <w:p w14:paraId="138A3C37"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269" w:type="dxa"/>
            <w:tcBorders>
              <w:top w:val="nil"/>
              <w:left w:val="nil"/>
              <w:bottom w:val="single" w:sz="4" w:space="0" w:color="auto"/>
              <w:right w:val="single" w:sz="4" w:space="0" w:color="auto"/>
            </w:tcBorders>
            <w:shd w:val="clear" w:color="auto" w:fill="C6EFCE"/>
            <w:noWrap/>
          </w:tcPr>
          <w:p w14:paraId="3934D86E"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15 0000</w:t>
            </w:r>
          </w:p>
        </w:tc>
        <w:tc>
          <w:tcPr>
            <w:tcW w:w="1340" w:type="dxa"/>
            <w:tcBorders>
              <w:top w:val="nil"/>
              <w:left w:val="nil"/>
              <w:bottom w:val="single" w:sz="4" w:space="0" w:color="auto"/>
              <w:right w:val="single" w:sz="4" w:space="0" w:color="auto"/>
            </w:tcBorders>
            <w:shd w:val="clear" w:color="auto" w:fill="C6EFCE"/>
            <w:noWrap/>
          </w:tcPr>
          <w:p w14:paraId="3B5FD49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66C97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015" w:type="dxa"/>
            <w:tcBorders>
              <w:top w:val="nil"/>
              <w:left w:val="nil"/>
              <w:bottom w:val="single" w:sz="4" w:space="0" w:color="auto"/>
              <w:right w:val="single" w:sz="4" w:space="0" w:color="auto"/>
            </w:tcBorders>
            <w:shd w:val="clear" w:color="auto" w:fill="C6EFCE"/>
            <w:noWrap/>
          </w:tcPr>
          <w:p w14:paraId="6EF81FE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150 000 de case de marcat sunt conectate la sistemul electronic al Agenției Naționale de Administrare Fiscală.</w:t>
            </w:r>
          </w:p>
          <w:p w14:paraId="3FEBEB0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Deplina conectare a caselor de marcat va aborda, în special, frauda în domeniul comerțului. Această investiție va contribui la reducerea deficitului de încasare a TVA. </w:t>
            </w:r>
          </w:p>
        </w:tc>
      </w:tr>
      <w:tr w:rsidR="000A27B3" w:rsidRPr="000A27B3" w14:paraId="03AD9117"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AE2B02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221</w:t>
            </w:r>
          </w:p>
        </w:tc>
        <w:tc>
          <w:tcPr>
            <w:tcW w:w="1833" w:type="dxa"/>
            <w:tcBorders>
              <w:top w:val="nil"/>
              <w:left w:val="nil"/>
              <w:bottom w:val="single" w:sz="4" w:space="0" w:color="auto"/>
              <w:right w:val="single" w:sz="4" w:space="0" w:color="auto"/>
            </w:tcBorders>
            <w:shd w:val="clear" w:color="auto" w:fill="C6EFCE"/>
            <w:noWrap/>
          </w:tcPr>
          <w:p w14:paraId="458C693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Îmbunătățirea proceselor de administrare a impozitelor și taxelor, inclusiv prin implementarea managementului integrat al riscurilor </w:t>
            </w:r>
          </w:p>
        </w:tc>
        <w:tc>
          <w:tcPr>
            <w:tcW w:w="1268" w:type="dxa"/>
            <w:tcBorders>
              <w:top w:val="nil"/>
              <w:left w:val="nil"/>
              <w:bottom w:val="single" w:sz="4" w:space="0" w:color="auto"/>
              <w:right w:val="single" w:sz="4" w:space="0" w:color="auto"/>
            </w:tcBorders>
            <w:shd w:val="clear" w:color="auto" w:fill="C6EFCE"/>
            <w:noWrap/>
          </w:tcPr>
          <w:p w14:paraId="36AD1A6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29DBB15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Numărul de case de marcat conectate la sistemul informatic al Agenției Naționale de Administrare Fiscală </w:t>
            </w:r>
          </w:p>
        </w:tc>
        <w:tc>
          <w:tcPr>
            <w:tcW w:w="1711" w:type="dxa"/>
            <w:gridSpan w:val="2"/>
            <w:tcBorders>
              <w:top w:val="nil"/>
              <w:left w:val="nil"/>
              <w:bottom w:val="single" w:sz="4" w:space="0" w:color="auto"/>
              <w:right w:val="single" w:sz="4" w:space="0" w:color="auto"/>
            </w:tcBorders>
            <w:shd w:val="clear" w:color="auto" w:fill="C6EFCE"/>
            <w:noWrap/>
          </w:tcPr>
          <w:p w14:paraId="6C2E7BF1"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4E55AEA2"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129" w:type="dxa"/>
            <w:tcBorders>
              <w:top w:val="nil"/>
              <w:left w:val="nil"/>
              <w:bottom w:val="single" w:sz="4" w:space="0" w:color="auto"/>
              <w:right w:val="single" w:sz="4" w:space="0" w:color="auto"/>
            </w:tcBorders>
            <w:shd w:val="clear" w:color="auto" w:fill="C6EFCE"/>
            <w:noWrap/>
          </w:tcPr>
          <w:p w14:paraId="48194DD9"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150 000</w:t>
            </w:r>
          </w:p>
        </w:tc>
        <w:tc>
          <w:tcPr>
            <w:tcW w:w="1269" w:type="dxa"/>
            <w:tcBorders>
              <w:top w:val="nil"/>
              <w:left w:val="nil"/>
              <w:bottom w:val="single" w:sz="4" w:space="0" w:color="auto"/>
              <w:right w:val="single" w:sz="4" w:space="0" w:color="auto"/>
            </w:tcBorders>
            <w:shd w:val="clear" w:color="auto" w:fill="C6EFCE"/>
            <w:noWrap/>
          </w:tcPr>
          <w:p w14:paraId="0DCC653D"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600 000</w:t>
            </w:r>
          </w:p>
        </w:tc>
        <w:tc>
          <w:tcPr>
            <w:tcW w:w="1340" w:type="dxa"/>
            <w:tcBorders>
              <w:top w:val="nil"/>
              <w:left w:val="nil"/>
              <w:bottom w:val="single" w:sz="4" w:space="0" w:color="auto"/>
              <w:right w:val="single" w:sz="4" w:space="0" w:color="auto"/>
            </w:tcBorders>
            <w:shd w:val="clear" w:color="auto" w:fill="C6EFCE"/>
            <w:noWrap/>
          </w:tcPr>
          <w:p w14:paraId="75547BB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451C3D2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676206C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600 000 de case de marcat vor fi conectate la sistemul electronic al Agenției Naționale de Administrare Fiscală.</w:t>
            </w:r>
          </w:p>
          <w:p w14:paraId="36AC1BA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Deplina conectare a caselor de marcat va aborda, în special, frauda în domeniul comerțului. Această investiție va contribui la reducerea deficitului de încasare a TVA.</w:t>
            </w:r>
          </w:p>
        </w:tc>
      </w:tr>
      <w:tr w:rsidR="000A27B3" w:rsidRPr="000A27B3" w14:paraId="4A583FB9"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4A3D46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222</w:t>
            </w:r>
          </w:p>
        </w:tc>
        <w:tc>
          <w:tcPr>
            <w:tcW w:w="1833" w:type="dxa"/>
            <w:tcBorders>
              <w:top w:val="nil"/>
              <w:left w:val="nil"/>
              <w:bottom w:val="single" w:sz="4" w:space="0" w:color="auto"/>
              <w:right w:val="single" w:sz="4" w:space="0" w:color="auto"/>
            </w:tcBorders>
            <w:shd w:val="clear" w:color="auto" w:fill="C6EFCE"/>
            <w:noWrap/>
          </w:tcPr>
          <w:p w14:paraId="0C18645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Îmbunătățirea proceselor de administrare a impozitelor și taxelor, inclusiv prin implementarea managementului integrat al riscurilor </w:t>
            </w:r>
          </w:p>
        </w:tc>
        <w:tc>
          <w:tcPr>
            <w:tcW w:w="1268" w:type="dxa"/>
            <w:tcBorders>
              <w:top w:val="nil"/>
              <w:left w:val="nil"/>
              <w:bottom w:val="single" w:sz="4" w:space="0" w:color="auto"/>
              <w:right w:val="single" w:sz="4" w:space="0" w:color="auto"/>
            </w:tcBorders>
            <w:shd w:val="clear" w:color="auto" w:fill="C6EFCE"/>
            <w:noWrap/>
          </w:tcPr>
          <w:p w14:paraId="1ECE06D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60E8560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Ponderea numărului de desk-audituri raportată la numărul total de audituri efectuate de administrația fiscală – 30 % </w:t>
            </w:r>
          </w:p>
        </w:tc>
        <w:tc>
          <w:tcPr>
            <w:tcW w:w="1711" w:type="dxa"/>
            <w:gridSpan w:val="2"/>
            <w:tcBorders>
              <w:top w:val="nil"/>
              <w:left w:val="nil"/>
              <w:bottom w:val="single" w:sz="4" w:space="0" w:color="auto"/>
              <w:right w:val="single" w:sz="4" w:space="0" w:color="auto"/>
            </w:tcBorders>
            <w:shd w:val="clear" w:color="auto" w:fill="C6EFCE"/>
            <w:noWrap/>
          </w:tcPr>
          <w:p w14:paraId="4C38CC57"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3A040D3B"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487C724A"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69396343"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269" w:type="dxa"/>
            <w:tcBorders>
              <w:top w:val="nil"/>
              <w:left w:val="nil"/>
              <w:bottom w:val="single" w:sz="4" w:space="0" w:color="auto"/>
              <w:right w:val="single" w:sz="4" w:space="0" w:color="auto"/>
            </w:tcBorders>
            <w:shd w:val="clear" w:color="auto" w:fill="C6EFCE"/>
            <w:noWrap/>
          </w:tcPr>
          <w:p w14:paraId="59A1EE22"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30</w:t>
            </w:r>
          </w:p>
        </w:tc>
        <w:tc>
          <w:tcPr>
            <w:tcW w:w="1340" w:type="dxa"/>
            <w:tcBorders>
              <w:top w:val="nil"/>
              <w:left w:val="nil"/>
              <w:bottom w:val="single" w:sz="4" w:space="0" w:color="auto"/>
              <w:right w:val="single" w:sz="4" w:space="0" w:color="auto"/>
            </w:tcBorders>
            <w:shd w:val="clear" w:color="auto" w:fill="C6EFCE"/>
            <w:noWrap/>
          </w:tcPr>
          <w:p w14:paraId="343984A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1DA3405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1AE7B6C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Ponderea auditurilor documentare în totalul auditurilor efectuate va crește la 30 % până în T4 2022 (de la nivelul actual, adică zero). Această țintă face parte din reforma care vizează transferarea acțiunilor de inspecție de la structurile de control fizice la cele digitale.</w:t>
            </w:r>
          </w:p>
          <w:p w14:paraId="465C999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Vor fi luate următoarele măsuri:</w:t>
            </w:r>
          </w:p>
          <w:p w14:paraId="697DC5EB" w14:textId="77777777" w:rsidR="00500CF9" w:rsidRPr="000A27B3" w:rsidRDefault="00500CF9" w:rsidP="00500CF9">
            <w:pPr>
              <w:pStyle w:val="ListParagraph"/>
              <w:numPr>
                <w:ilvl w:val="0"/>
                <w:numId w:val="68"/>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vor fi stabilite competențele organelor fiscale pentru efectuarea verificării documentare de către structurile cu atribuții de inspecție fiscală, structurile cu atribuții de control antifraudă și structurile cu atribuții de verificare a situației fiscale personale</w:t>
            </w:r>
          </w:p>
          <w:p w14:paraId="191EB6D1" w14:textId="77777777" w:rsidR="00500CF9" w:rsidRPr="000A27B3" w:rsidRDefault="00500CF9" w:rsidP="00500CF9">
            <w:pPr>
              <w:pStyle w:val="ListParagraph"/>
              <w:numPr>
                <w:ilvl w:val="0"/>
                <w:numId w:val="68"/>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 xml:space="preserve">au fost aprobate modelul și conținutul formularelor și documentelor utilizate în activitatea de desk audit </w:t>
            </w:r>
          </w:p>
        </w:tc>
      </w:tr>
      <w:tr w:rsidR="000A27B3" w:rsidRPr="000A27B3" w14:paraId="05797F64"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691873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223</w:t>
            </w:r>
          </w:p>
        </w:tc>
        <w:tc>
          <w:tcPr>
            <w:tcW w:w="1833" w:type="dxa"/>
            <w:tcBorders>
              <w:top w:val="nil"/>
              <w:left w:val="nil"/>
              <w:bottom w:val="single" w:sz="4" w:space="0" w:color="auto"/>
              <w:right w:val="single" w:sz="4" w:space="0" w:color="auto"/>
            </w:tcBorders>
            <w:shd w:val="clear" w:color="auto" w:fill="C6EFCE"/>
            <w:noWrap/>
          </w:tcPr>
          <w:p w14:paraId="07FCBE6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2. Îmbunătățirea proceselor de administrare a impozitelor și taxelor, inclusiv prin implementarea managementului integrat al riscurilor</w:t>
            </w:r>
          </w:p>
        </w:tc>
        <w:tc>
          <w:tcPr>
            <w:tcW w:w="1268" w:type="dxa"/>
            <w:tcBorders>
              <w:top w:val="nil"/>
              <w:left w:val="nil"/>
              <w:bottom w:val="single" w:sz="4" w:space="0" w:color="auto"/>
              <w:right w:val="single" w:sz="4" w:space="0" w:color="auto"/>
            </w:tcBorders>
            <w:shd w:val="clear" w:color="auto" w:fill="C6EFCE"/>
            <w:noWrap/>
          </w:tcPr>
          <w:p w14:paraId="0621D14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5A65A84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Ponderea numărului de desk-audituri raportată la numărul total de audituri efectuate de administrația fiscală – 60 % </w:t>
            </w:r>
          </w:p>
          <w:p w14:paraId="08F52A00"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711" w:type="dxa"/>
            <w:gridSpan w:val="2"/>
            <w:tcBorders>
              <w:top w:val="nil"/>
              <w:left w:val="nil"/>
              <w:bottom w:val="single" w:sz="4" w:space="0" w:color="auto"/>
              <w:right w:val="single" w:sz="4" w:space="0" w:color="auto"/>
            </w:tcBorders>
            <w:shd w:val="clear" w:color="auto" w:fill="C6EFCE"/>
            <w:noWrap/>
          </w:tcPr>
          <w:p w14:paraId="4058E7B0"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2DBD32CA"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4E523FC8"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4465B1AD"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30</w:t>
            </w:r>
          </w:p>
        </w:tc>
        <w:tc>
          <w:tcPr>
            <w:tcW w:w="1269" w:type="dxa"/>
            <w:tcBorders>
              <w:top w:val="nil"/>
              <w:left w:val="nil"/>
              <w:bottom w:val="single" w:sz="4" w:space="0" w:color="auto"/>
              <w:right w:val="single" w:sz="4" w:space="0" w:color="auto"/>
            </w:tcBorders>
            <w:shd w:val="clear" w:color="auto" w:fill="C6EFCE"/>
            <w:noWrap/>
          </w:tcPr>
          <w:p w14:paraId="0C5E0168"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60</w:t>
            </w:r>
          </w:p>
        </w:tc>
        <w:tc>
          <w:tcPr>
            <w:tcW w:w="1340" w:type="dxa"/>
            <w:tcBorders>
              <w:top w:val="nil"/>
              <w:left w:val="nil"/>
              <w:bottom w:val="single" w:sz="4" w:space="0" w:color="auto"/>
              <w:right w:val="single" w:sz="4" w:space="0" w:color="auto"/>
            </w:tcBorders>
            <w:shd w:val="clear" w:color="auto" w:fill="C6EFCE"/>
            <w:noWrap/>
          </w:tcPr>
          <w:p w14:paraId="0D68B82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56E04B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68B8AC8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Ponderea auditurilor documentare în totalul auditurilor efectuate va crește la 60 % până în T4 2025.</w:t>
            </w:r>
          </w:p>
          <w:p w14:paraId="0FC0EB5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Această țintă face parte din reforma care vizează transferarea acțiunilor de inspecție de la structurile de control fizice la cele digitale.</w:t>
            </w:r>
          </w:p>
          <w:p w14:paraId="7711A9C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Vor fi luate următoarele măsuri:</w:t>
            </w:r>
          </w:p>
          <w:p w14:paraId="7BAACEBE" w14:textId="77777777" w:rsidR="00500CF9" w:rsidRPr="000A27B3" w:rsidRDefault="00500CF9" w:rsidP="00500CF9">
            <w:pPr>
              <w:pStyle w:val="ListParagraph"/>
              <w:numPr>
                <w:ilvl w:val="0"/>
                <w:numId w:val="67"/>
              </w:numPr>
              <w:spacing w:after="0" w:line="240" w:lineRule="auto"/>
              <w:ind w:left="174" w:hanging="218"/>
              <w:jc w:val="both"/>
              <w:rPr>
                <w:rFonts w:ascii="Times New Roman" w:hAnsi="Times New Roman" w:cs="Times New Roman"/>
                <w:noProof/>
                <w:sz w:val="24"/>
                <w:szCs w:val="24"/>
              </w:rPr>
            </w:pPr>
            <w:r>
              <w:rPr>
                <w:rFonts w:ascii="Times New Roman" w:hAnsi="Times New Roman"/>
                <w:noProof/>
                <w:sz w:val="24"/>
              </w:rPr>
              <w:t xml:space="preserve">vor fi stabilite competențele organelor fiscale pentru efectuarea verificării documentare de către structurile cu atribuții de inspecție fiscală, structurile cu atribuții de control antifraudă și structurile cu atribuții de verificare a situației fiscale personale </w:t>
            </w:r>
          </w:p>
          <w:p w14:paraId="62CA49AE" w14:textId="77777777" w:rsidR="00500CF9" w:rsidRPr="000A27B3" w:rsidRDefault="00500CF9" w:rsidP="00500CF9">
            <w:pPr>
              <w:pStyle w:val="ListParagraph"/>
              <w:numPr>
                <w:ilvl w:val="0"/>
                <w:numId w:val="67"/>
              </w:numPr>
              <w:spacing w:after="0" w:line="240" w:lineRule="auto"/>
              <w:ind w:left="174" w:hanging="218"/>
              <w:jc w:val="both"/>
              <w:rPr>
                <w:rFonts w:ascii="Times New Roman" w:hAnsi="Times New Roman" w:cs="Times New Roman"/>
                <w:noProof/>
                <w:sz w:val="24"/>
                <w:szCs w:val="24"/>
              </w:rPr>
            </w:pPr>
            <w:r>
              <w:rPr>
                <w:rFonts w:ascii="Times New Roman" w:hAnsi="Times New Roman"/>
                <w:noProof/>
                <w:sz w:val="24"/>
              </w:rPr>
              <w:t xml:space="preserve">au fost aprobate modelul și conținutul formularelor și documentelor utilizate în activitatea de desk audit </w:t>
            </w:r>
          </w:p>
        </w:tc>
      </w:tr>
      <w:tr w:rsidR="000A27B3" w:rsidRPr="000A27B3" w14:paraId="5E03CDC6"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118D7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224</w:t>
            </w:r>
          </w:p>
        </w:tc>
        <w:tc>
          <w:tcPr>
            <w:tcW w:w="1833" w:type="dxa"/>
            <w:tcBorders>
              <w:top w:val="nil"/>
              <w:left w:val="nil"/>
              <w:bottom w:val="single" w:sz="4" w:space="0" w:color="auto"/>
              <w:right w:val="single" w:sz="4" w:space="0" w:color="auto"/>
            </w:tcBorders>
            <w:shd w:val="clear" w:color="auto" w:fill="C6EFCE"/>
            <w:noWrap/>
          </w:tcPr>
          <w:p w14:paraId="510B529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Îmbunătățirea proceselor de administrare a impozitelor și taxelor, inclusiv prin implementarea managementului integrat al riscurilor </w:t>
            </w:r>
          </w:p>
        </w:tc>
        <w:tc>
          <w:tcPr>
            <w:tcW w:w="1268" w:type="dxa"/>
            <w:tcBorders>
              <w:top w:val="nil"/>
              <w:left w:val="nil"/>
              <w:bottom w:val="single" w:sz="4" w:space="0" w:color="auto"/>
              <w:right w:val="single" w:sz="4" w:space="0" w:color="auto"/>
            </w:tcBorders>
            <w:shd w:val="clear" w:color="auto" w:fill="C6EFCE"/>
            <w:noWrap/>
          </w:tcPr>
          <w:p w14:paraId="3A6D61F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115365FF" w14:textId="77777777" w:rsidR="00500CF9" w:rsidRPr="000A27B3" w:rsidRDefault="00500CF9">
            <w:pPr>
              <w:spacing w:after="0" w:line="240" w:lineRule="auto"/>
              <w:jc w:val="both"/>
              <w:rPr>
                <w:rFonts w:ascii="Times New Roman" w:eastAsia="SimSun" w:hAnsi="Times New Roman" w:cs="Times New Roman"/>
                <w:noProof/>
                <w:sz w:val="24"/>
                <w:szCs w:val="24"/>
              </w:rPr>
            </w:pPr>
            <w:r>
              <w:rPr>
                <w:rFonts w:ascii="Times New Roman" w:hAnsi="Times New Roman"/>
                <w:noProof/>
                <w:sz w:val="24"/>
              </w:rPr>
              <w:t xml:space="preserve">Sporirea numărului de audituri cu 10 % </w:t>
            </w:r>
          </w:p>
        </w:tc>
        <w:tc>
          <w:tcPr>
            <w:tcW w:w="1711" w:type="dxa"/>
            <w:gridSpan w:val="2"/>
            <w:tcBorders>
              <w:top w:val="nil"/>
              <w:left w:val="nil"/>
              <w:bottom w:val="single" w:sz="4" w:space="0" w:color="auto"/>
              <w:right w:val="single" w:sz="4" w:space="0" w:color="auto"/>
            </w:tcBorders>
            <w:shd w:val="clear" w:color="auto" w:fill="C6EFCE"/>
            <w:noWrap/>
          </w:tcPr>
          <w:p w14:paraId="477C9C63"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12885703"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 xml:space="preserve"> Număr</w:t>
            </w:r>
          </w:p>
        </w:tc>
        <w:tc>
          <w:tcPr>
            <w:tcW w:w="1129" w:type="dxa"/>
            <w:tcBorders>
              <w:top w:val="nil"/>
              <w:left w:val="nil"/>
              <w:bottom w:val="single" w:sz="4" w:space="0" w:color="auto"/>
              <w:right w:val="single" w:sz="4" w:space="0" w:color="auto"/>
            </w:tcBorders>
            <w:shd w:val="clear" w:color="auto" w:fill="C6EFCE"/>
            <w:noWrap/>
          </w:tcPr>
          <w:p w14:paraId="137EC7CA"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25 000</w:t>
            </w:r>
          </w:p>
        </w:tc>
        <w:tc>
          <w:tcPr>
            <w:tcW w:w="1269" w:type="dxa"/>
            <w:tcBorders>
              <w:top w:val="nil"/>
              <w:left w:val="nil"/>
              <w:bottom w:val="single" w:sz="4" w:space="0" w:color="auto"/>
              <w:right w:val="single" w:sz="4" w:space="0" w:color="auto"/>
            </w:tcBorders>
            <w:shd w:val="clear" w:color="auto" w:fill="C6EFCE"/>
            <w:noWrap/>
          </w:tcPr>
          <w:p w14:paraId="01C33E9E"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27 500</w:t>
            </w:r>
          </w:p>
        </w:tc>
        <w:tc>
          <w:tcPr>
            <w:tcW w:w="1340" w:type="dxa"/>
            <w:tcBorders>
              <w:top w:val="nil"/>
              <w:left w:val="nil"/>
              <w:bottom w:val="single" w:sz="4" w:space="0" w:color="auto"/>
              <w:right w:val="single" w:sz="4" w:space="0" w:color="auto"/>
            </w:tcBorders>
            <w:shd w:val="clear" w:color="auto" w:fill="C6EFCE"/>
            <w:noWrap/>
          </w:tcPr>
          <w:p w14:paraId="3A45E9A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27214C4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437797B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Creșterea numărului de inspecții fiscale cu 10 % față de numărul actual de inspecții până în T4 2025.</w:t>
            </w:r>
          </w:p>
        </w:tc>
      </w:tr>
      <w:tr w:rsidR="000A27B3" w:rsidRPr="000A27B3" w14:paraId="3F803B2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2FA08A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225</w:t>
            </w:r>
          </w:p>
        </w:tc>
        <w:tc>
          <w:tcPr>
            <w:tcW w:w="1833" w:type="dxa"/>
            <w:tcBorders>
              <w:top w:val="nil"/>
              <w:left w:val="nil"/>
              <w:bottom w:val="single" w:sz="4" w:space="0" w:color="auto"/>
              <w:right w:val="single" w:sz="4" w:space="0" w:color="auto"/>
            </w:tcBorders>
            <w:shd w:val="clear" w:color="auto" w:fill="C6EFCE"/>
            <w:noWrap/>
          </w:tcPr>
          <w:p w14:paraId="5D2B0C2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Îmbunătățirea proceselor de administrare a impozitelor și taxelor, inclusiv prin implementarea managementului integrat al riscurilor </w:t>
            </w:r>
          </w:p>
        </w:tc>
        <w:tc>
          <w:tcPr>
            <w:tcW w:w="1268" w:type="dxa"/>
            <w:tcBorders>
              <w:top w:val="nil"/>
              <w:left w:val="nil"/>
              <w:bottom w:val="single" w:sz="4" w:space="0" w:color="auto"/>
              <w:right w:val="single" w:sz="4" w:space="0" w:color="auto"/>
            </w:tcBorders>
            <w:shd w:val="clear" w:color="auto" w:fill="C6EFCE"/>
            <w:noWrap/>
          </w:tcPr>
          <w:p w14:paraId="577EA01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2FD17837" w14:textId="77777777" w:rsidR="00500CF9" w:rsidRPr="000A27B3" w:rsidRDefault="00500CF9">
            <w:pPr>
              <w:spacing w:after="0" w:line="240" w:lineRule="auto"/>
              <w:jc w:val="both"/>
              <w:rPr>
                <w:rFonts w:ascii="Times New Roman" w:eastAsia="SimSun" w:hAnsi="Times New Roman" w:cs="Times New Roman"/>
                <w:noProof/>
                <w:sz w:val="24"/>
              </w:rPr>
            </w:pPr>
            <w:r>
              <w:rPr>
                <w:rFonts w:ascii="Times New Roman" w:hAnsi="Times New Roman"/>
                <w:noProof/>
                <w:sz w:val="24"/>
              </w:rPr>
              <w:t>Registrul electronic al riscurilor va fi pe deplin operațional</w:t>
            </w:r>
          </w:p>
        </w:tc>
        <w:tc>
          <w:tcPr>
            <w:tcW w:w="1711" w:type="dxa"/>
            <w:gridSpan w:val="2"/>
            <w:tcBorders>
              <w:top w:val="nil"/>
              <w:left w:val="nil"/>
              <w:bottom w:val="single" w:sz="4" w:space="0" w:color="auto"/>
              <w:right w:val="single" w:sz="4" w:space="0" w:color="auto"/>
            </w:tcBorders>
            <w:shd w:val="clear" w:color="auto" w:fill="C6EFCE"/>
            <w:noWrap/>
          </w:tcPr>
          <w:p w14:paraId="11FD9D3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Registrul electronic al riscurilor este operațional și conține criteriile, indicatorii și profilurile de risc; se prezintă un prim raport după o perioadă de simulări sau după ce a devenit operațional</w:t>
            </w:r>
          </w:p>
        </w:tc>
        <w:tc>
          <w:tcPr>
            <w:tcW w:w="1062" w:type="dxa"/>
            <w:tcBorders>
              <w:top w:val="nil"/>
              <w:left w:val="nil"/>
              <w:bottom w:val="single" w:sz="4" w:space="0" w:color="auto"/>
              <w:right w:val="single" w:sz="4" w:space="0" w:color="auto"/>
            </w:tcBorders>
            <w:shd w:val="clear" w:color="auto" w:fill="C6EFCE"/>
            <w:noWrap/>
          </w:tcPr>
          <w:p w14:paraId="4985FD09" w14:textId="77777777" w:rsidR="00500CF9" w:rsidRPr="009F1DC7" w:rsidRDefault="00500CF9">
            <w:pPr>
              <w:spacing w:after="0" w:line="240" w:lineRule="auto"/>
              <w:rPr>
                <w:rFonts w:ascii="Times New Roman" w:hAnsi="Times New Roman" w:cs="Times New Roman"/>
                <w:noProof/>
                <w:sz w:val="24"/>
                <w:szCs w:val="24"/>
              </w:rPr>
            </w:pPr>
          </w:p>
        </w:tc>
        <w:tc>
          <w:tcPr>
            <w:tcW w:w="1129" w:type="dxa"/>
            <w:tcBorders>
              <w:top w:val="nil"/>
              <w:left w:val="nil"/>
              <w:bottom w:val="single" w:sz="4" w:space="0" w:color="auto"/>
              <w:right w:val="single" w:sz="4" w:space="0" w:color="auto"/>
            </w:tcBorders>
            <w:shd w:val="clear" w:color="auto" w:fill="C6EFCE"/>
            <w:noWrap/>
          </w:tcPr>
          <w:p w14:paraId="34490DE0" w14:textId="77777777" w:rsidR="00500CF9" w:rsidRPr="009F1DC7" w:rsidRDefault="00500CF9">
            <w:pPr>
              <w:spacing w:after="0" w:line="240" w:lineRule="auto"/>
              <w:rPr>
                <w:rFonts w:ascii="Times New Roman" w:hAnsi="Times New Roman" w:cs="Times New Roman"/>
                <w:noProof/>
                <w:sz w:val="24"/>
                <w:szCs w:val="24"/>
              </w:rPr>
            </w:pPr>
          </w:p>
        </w:tc>
        <w:tc>
          <w:tcPr>
            <w:tcW w:w="1269" w:type="dxa"/>
            <w:tcBorders>
              <w:top w:val="nil"/>
              <w:left w:val="nil"/>
              <w:bottom w:val="single" w:sz="4" w:space="0" w:color="auto"/>
              <w:right w:val="single" w:sz="4" w:space="0" w:color="auto"/>
            </w:tcBorders>
            <w:shd w:val="clear" w:color="auto" w:fill="C6EFCE"/>
            <w:noWrap/>
          </w:tcPr>
          <w:p w14:paraId="71A6086A" w14:textId="77777777" w:rsidR="00500CF9" w:rsidRPr="009F1DC7" w:rsidRDefault="00500CF9">
            <w:pPr>
              <w:spacing w:after="0" w:line="240" w:lineRule="auto"/>
              <w:rPr>
                <w:rFonts w:ascii="Times New Roman" w:hAnsi="Times New Roman" w:cs="Times New Roman"/>
                <w:noProof/>
                <w:sz w:val="24"/>
                <w:szCs w:val="24"/>
              </w:rPr>
            </w:pPr>
          </w:p>
        </w:tc>
        <w:tc>
          <w:tcPr>
            <w:tcW w:w="1340" w:type="dxa"/>
            <w:tcBorders>
              <w:top w:val="nil"/>
              <w:left w:val="nil"/>
              <w:bottom w:val="single" w:sz="4" w:space="0" w:color="auto"/>
              <w:right w:val="single" w:sz="4" w:space="0" w:color="auto"/>
            </w:tcBorders>
            <w:shd w:val="clear" w:color="auto" w:fill="C6EFCE"/>
            <w:noWrap/>
          </w:tcPr>
          <w:p w14:paraId="099DB3A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020121B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00768D5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registrului electronic al riscurilor:</w:t>
            </w:r>
          </w:p>
          <w:p w14:paraId="5F184C98" w14:textId="77777777" w:rsidR="00500CF9" w:rsidRPr="000A27B3" w:rsidRDefault="00500CF9" w:rsidP="00500CF9">
            <w:pPr>
              <w:pStyle w:val="ListParagraph"/>
              <w:numPr>
                <w:ilvl w:val="0"/>
                <w:numId w:val="67"/>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 xml:space="preserve">un sistem de management integrat al riscurilor fiscale complet operațional și dezvoltat, care conține analiza centralizată a riscurilor; </w:t>
            </w:r>
          </w:p>
          <w:p w14:paraId="423F50D5" w14:textId="77777777" w:rsidR="00500CF9" w:rsidRPr="000A27B3" w:rsidRDefault="00500CF9" w:rsidP="00500CF9">
            <w:pPr>
              <w:pStyle w:val="ListParagraph"/>
              <w:numPr>
                <w:ilvl w:val="0"/>
                <w:numId w:val="67"/>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 xml:space="preserve">identificarea și reducerea neconformării fiscale și a decalajelor fiscale prin utilizarea datelor și a informațiilor pentru identificarea domeniilor care comportă un risc fiscal ridicat (inclusiv, în domeniul muncii nedeclarate/subdeclarate); </w:t>
            </w:r>
          </w:p>
          <w:p w14:paraId="120CDE83" w14:textId="77777777" w:rsidR="00500CF9" w:rsidRPr="000A27B3" w:rsidRDefault="00500CF9" w:rsidP="00500CF9">
            <w:pPr>
              <w:pStyle w:val="ListParagraph"/>
              <w:numPr>
                <w:ilvl w:val="0"/>
                <w:numId w:val="67"/>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 xml:space="preserve">introducerea unor programe de conformare fiscală; </w:t>
            </w:r>
          </w:p>
          <w:p w14:paraId="12C106FB" w14:textId="77777777" w:rsidR="00500CF9" w:rsidRPr="000A27B3" w:rsidRDefault="00500CF9" w:rsidP="00500CF9">
            <w:pPr>
              <w:pStyle w:val="ListParagraph"/>
              <w:numPr>
                <w:ilvl w:val="0"/>
                <w:numId w:val="67"/>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 xml:space="preserve">utilizarea unei abordări bazate pe risc în administrarea marilor contribuabili, inclusiv în ceea ce privește tratarea schemelor de optimizare fiscală; </w:t>
            </w:r>
          </w:p>
          <w:p w14:paraId="1235984A" w14:textId="77777777" w:rsidR="00500CF9" w:rsidRPr="000A27B3" w:rsidRDefault="00500CF9" w:rsidP="00500CF9">
            <w:pPr>
              <w:pStyle w:val="ListParagraph"/>
              <w:numPr>
                <w:ilvl w:val="0"/>
                <w:numId w:val="67"/>
              </w:numPr>
              <w:spacing w:after="0" w:line="240" w:lineRule="auto"/>
              <w:ind w:left="174" w:hanging="218"/>
              <w:jc w:val="both"/>
              <w:rPr>
                <w:rFonts w:ascii="Times New Roman" w:eastAsia="Times New Roman" w:hAnsi="Times New Roman" w:cs="Times New Roman"/>
                <w:noProof/>
                <w:sz w:val="24"/>
              </w:rPr>
            </w:pPr>
            <w:r>
              <w:rPr>
                <w:rFonts w:ascii="Times New Roman" w:hAnsi="Times New Roman"/>
                <w:noProof/>
                <w:sz w:val="24"/>
              </w:rPr>
              <w:t xml:space="preserve">consolidarea capacității instituționale a structurilor de control fiscal în vederea prevenirii fenomenelor de fraudă fiscală și evaziune fiscală națională și transfrontalieră prin identificarea timpurie și țintită a riscurilor fiscale majore; </w:t>
            </w:r>
          </w:p>
          <w:p w14:paraId="2D1FFED7" w14:textId="77777777" w:rsidR="00500CF9" w:rsidRPr="000A27B3" w:rsidRDefault="00500CF9" w:rsidP="00500CF9">
            <w:pPr>
              <w:pStyle w:val="ListParagraph"/>
              <w:numPr>
                <w:ilvl w:val="0"/>
                <w:numId w:val="67"/>
              </w:numPr>
              <w:spacing w:after="0" w:line="240" w:lineRule="auto"/>
              <w:ind w:left="174" w:hanging="218"/>
              <w:jc w:val="both"/>
              <w:rPr>
                <w:rFonts w:ascii="Times New Roman" w:hAnsi="Times New Roman" w:cs="Times New Roman"/>
                <w:noProof/>
                <w:sz w:val="24"/>
                <w:szCs w:val="24"/>
              </w:rPr>
            </w:pPr>
            <w:r>
              <w:rPr>
                <w:rFonts w:ascii="Times New Roman" w:hAnsi="Times New Roman"/>
                <w:noProof/>
                <w:sz w:val="24"/>
              </w:rPr>
              <w:t>realocarea resurselor umane în contextul digitalizării progresive a proceselor de activitate.</w:t>
            </w:r>
          </w:p>
        </w:tc>
      </w:tr>
      <w:tr w:rsidR="000A27B3" w:rsidRPr="000A27B3" w14:paraId="4149716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56AE23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226</w:t>
            </w:r>
          </w:p>
        </w:tc>
        <w:tc>
          <w:tcPr>
            <w:tcW w:w="1833" w:type="dxa"/>
            <w:tcBorders>
              <w:top w:val="nil"/>
              <w:left w:val="nil"/>
              <w:bottom w:val="single" w:sz="4" w:space="0" w:color="auto"/>
              <w:right w:val="single" w:sz="4" w:space="0" w:color="auto"/>
            </w:tcBorders>
            <w:shd w:val="clear" w:color="auto" w:fill="C6EFCE"/>
            <w:noWrap/>
          </w:tcPr>
          <w:p w14:paraId="60766DD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Îmbunătățirea proceselor de administrare a impozitelor și taxelor, inclusiv prin implementarea managementului integrat al riscurilor </w:t>
            </w:r>
          </w:p>
        </w:tc>
        <w:tc>
          <w:tcPr>
            <w:tcW w:w="1268" w:type="dxa"/>
            <w:tcBorders>
              <w:top w:val="nil"/>
              <w:left w:val="nil"/>
              <w:bottom w:val="single" w:sz="4" w:space="0" w:color="auto"/>
              <w:right w:val="single" w:sz="4" w:space="0" w:color="auto"/>
            </w:tcBorders>
            <w:shd w:val="clear" w:color="auto" w:fill="C6EFCE"/>
            <w:noWrap/>
          </w:tcPr>
          <w:p w14:paraId="3A61B57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517B6B9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S-a instituit și este operațională platforma de tip big data/analiză </w:t>
            </w:r>
          </w:p>
        </w:tc>
        <w:tc>
          <w:tcPr>
            <w:tcW w:w="1711" w:type="dxa"/>
            <w:gridSpan w:val="2"/>
            <w:tcBorders>
              <w:top w:val="nil"/>
              <w:left w:val="nil"/>
              <w:bottom w:val="single" w:sz="4" w:space="0" w:color="auto"/>
              <w:right w:val="single" w:sz="4" w:space="0" w:color="auto"/>
            </w:tcBorders>
            <w:shd w:val="clear" w:color="auto" w:fill="C6EFCE"/>
            <w:noWrap/>
          </w:tcPr>
          <w:p w14:paraId="06DABBF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soluției – platforma de tip big data și publicarea primului raport</w:t>
            </w:r>
          </w:p>
          <w:p w14:paraId="106A0392"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62" w:type="dxa"/>
            <w:tcBorders>
              <w:top w:val="nil"/>
              <w:left w:val="nil"/>
              <w:bottom w:val="single" w:sz="4" w:space="0" w:color="auto"/>
              <w:right w:val="single" w:sz="4" w:space="0" w:color="auto"/>
            </w:tcBorders>
            <w:shd w:val="clear" w:color="auto" w:fill="C6EFCE"/>
            <w:noWrap/>
          </w:tcPr>
          <w:p w14:paraId="4E17AFC9"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7DBF9140"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39343F48"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246C90E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3FF253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1E4467A9" w14:textId="0C307DA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Operaționalizarea platformei de tip big data pentru a analiza cu precizie și în timp util volume mari de date, pentru standardizare, interoperabilitate, securitate, protecția vieții private, precum și expertiză și finanțare pentru dezvoltarea infrastructurii și integrarea seturilor de date deja disponibile. Platforma va fi: </w:t>
            </w:r>
            <w:r>
              <w:rPr>
                <w:noProof/>
              </w:rPr>
              <w:br/>
            </w:r>
            <w:r>
              <w:rPr>
                <w:rFonts w:ascii="Times New Roman" w:hAnsi="Times New Roman"/>
                <w:noProof/>
                <w:sz w:val="24"/>
              </w:rPr>
              <w:t>completă – toate sursele relevante de informații (interne și externe)</w:t>
            </w:r>
            <w:r>
              <w:rPr>
                <w:noProof/>
              </w:rPr>
              <w:t xml:space="preserve"> </w:t>
            </w:r>
            <w:r>
              <w:rPr>
                <w:noProof/>
              </w:rPr>
              <w:br/>
            </w:r>
            <w:r>
              <w:rPr>
                <w:rFonts w:ascii="Times New Roman" w:hAnsi="Times New Roman"/>
                <w:noProof/>
                <w:sz w:val="24"/>
              </w:rPr>
              <w:t xml:space="preserve">validată – integritatea datelor: datele sunt complete și coerente </w:t>
            </w:r>
            <w:r>
              <w:rPr>
                <w:noProof/>
              </w:rPr>
              <w:br/>
            </w:r>
            <w:r>
              <w:rPr>
                <w:rFonts w:ascii="Times New Roman" w:hAnsi="Times New Roman"/>
                <w:noProof/>
                <w:sz w:val="24"/>
              </w:rPr>
              <w:t>analizată – datele pot fi „comandate” și pot furniza informații (informații generale); Procesele sunt repetitive. Rezultate – date corelate pentru a furniza informații privind performanța.</w:t>
            </w:r>
          </w:p>
        </w:tc>
      </w:tr>
      <w:tr w:rsidR="000A27B3" w:rsidRPr="000A27B3" w14:paraId="6D4DFD3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9910A76" w14:textId="77777777" w:rsidR="00500CF9" w:rsidRPr="000A27B3" w:rsidRDefault="00500CF9">
            <w:pPr>
              <w:spacing w:after="0" w:line="240" w:lineRule="auto"/>
              <w:jc w:val="center"/>
              <w:rPr>
                <w:rFonts w:ascii="Times New Roman" w:hAnsi="Times New Roman" w:cs="Times New Roman"/>
                <w:noProof/>
                <w:sz w:val="24"/>
                <w:szCs w:val="24"/>
              </w:rPr>
            </w:pPr>
            <w:r>
              <w:rPr>
                <w:rStyle w:val="normaltextrun"/>
                <w:rFonts w:ascii="Times New Roman" w:hAnsi="Times New Roman"/>
                <w:noProof/>
                <w:sz w:val="24"/>
              </w:rPr>
              <w:t>226a</w:t>
            </w:r>
            <w:r>
              <w:rPr>
                <w:rStyle w:val="eop"/>
                <w:rFonts w:ascii="Times New Roman" w:hAnsi="Times New Roman"/>
                <w:noProof/>
                <w:sz w:val="24"/>
              </w:rPr>
              <w:t xml:space="preserve"> </w:t>
            </w:r>
          </w:p>
        </w:tc>
        <w:tc>
          <w:tcPr>
            <w:tcW w:w="1833" w:type="dxa"/>
            <w:tcBorders>
              <w:top w:val="nil"/>
              <w:left w:val="nil"/>
              <w:bottom w:val="single" w:sz="4" w:space="0" w:color="auto"/>
              <w:right w:val="single" w:sz="4" w:space="0" w:color="auto"/>
            </w:tcBorders>
            <w:shd w:val="clear" w:color="auto" w:fill="C6EFCE"/>
            <w:noWrap/>
          </w:tcPr>
          <w:p w14:paraId="0C4B1CA0" w14:textId="77777777" w:rsidR="00500CF9" w:rsidRPr="000A27B3" w:rsidRDefault="00500CF9">
            <w:pPr>
              <w:spacing w:after="0" w:line="240" w:lineRule="auto"/>
              <w:jc w:val="both"/>
              <w:rPr>
                <w:rFonts w:ascii="Times New Roman" w:hAnsi="Times New Roman" w:cs="Times New Roman"/>
                <w:noProof/>
                <w:sz w:val="24"/>
                <w:szCs w:val="24"/>
              </w:rPr>
            </w:pPr>
            <w:r>
              <w:rPr>
                <w:rStyle w:val="normaltextrun"/>
                <w:rFonts w:ascii="Times New Roman" w:hAnsi="Times New Roman"/>
                <w:noProof/>
                <w:sz w:val="24"/>
              </w:rPr>
              <w:t>Investiția 2. Îmbunătățirea proceselor de administrare a impozitelor și taxelor, inclusiv prin implementarea managementului integrat al riscurilor</w:t>
            </w:r>
            <w:r>
              <w:rPr>
                <w:rStyle w:val="eop"/>
                <w:rFonts w:ascii="Times New Roman" w:hAnsi="Times New Roman"/>
                <w:noProof/>
                <w:sz w:val="24"/>
              </w:rPr>
              <w:t xml:space="preserve"> </w:t>
            </w:r>
          </w:p>
        </w:tc>
        <w:tc>
          <w:tcPr>
            <w:tcW w:w="1268" w:type="dxa"/>
            <w:tcBorders>
              <w:top w:val="nil"/>
              <w:left w:val="nil"/>
              <w:bottom w:val="single" w:sz="4" w:space="0" w:color="auto"/>
              <w:right w:val="single" w:sz="4" w:space="0" w:color="auto"/>
            </w:tcBorders>
            <w:shd w:val="clear" w:color="auto" w:fill="C6EFCE"/>
            <w:noWrap/>
          </w:tcPr>
          <w:p w14:paraId="3895CBBD" w14:textId="77777777" w:rsidR="00500CF9" w:rsidRPr="000A27B3" w:rsidRDefault="00500CF9">
            <w:pPr>
              <w:spacing w:after="0" w:line="240" w:lineRule="auto"/>
              <w:jc w:val="center"/>
              <w:rPr>
                <w:rFonts w:ascii="Times New Roman" w:hAnsi="Times New Roman" w:cs="Times New Roman"/>
                <w:noProof/>
                <w:sz w:val="24"/>
                <w:szCs w:val="24"/>
              </w:rPr>
            </w:pPr>
            <w:r>
              <w:rPr>
                <w:rStyle w:val="normaltextrun"/>
                <w:rFonts w:ascii="Times New Roman" w:hAnsi="Times New Roman"/>
                <w:noProof/>
                <w:sz w:val="24"/>
              </w:rPr>
              <w:t>Jalon</w:t>
            </w:r>
            <w:r>
              <w:rPr>
                <w:rStyle w:val="eop"/>
                <w:rFonts w:ascii="Times New Roman" w:hAnsi="Times New Roman"/>
                <w:noProof/>
                <w:sz w:val="24"/>
              </w:rPr>
              <w:t xml:space="preserve"> </w:t>
            </w:r>
          </w:p>
        </w:tc>
        <w:tc>
          <w:tcPr>
            <w:tcW w:w="1552" w:type="dxa"/>
            <w:gridSpan w:val="2"/>
            <w:tcBorders>
              <w:top w:val="nil"/>
              <w:left w:val="nil"/>
              <w:bottom w:val="single" w:sz="4" w:space="0" w:color="auto"/>
              <w:right w:val="single" w:sz="4" w:space="0" w:color="auto"/>
            </w:tcBorders>
            <w:shd w:val="clear" w:color="auto" w:fill="C6EFCE"/>
            <w:noWrap/>
          </w:tcPr>
          <w:p w14:paraId="65B5F28A" w14:textId="05F3DF4A" w:rsidR="00500CF9" w:rsidRPr="000A27B3" w:rsidRDefault="00500CF9">
            <w:pPr>
              <w:spacing w:after="0" w:line="240" w:lineRule="auto"/>
              <w:jc w:val="both"/>
              <w:rPr>
                <w:rFonts w:ascii="Times New Roman" w:hAnsi="Times New Roman" w:cs="Times New Roman"/>
                <w:noProof/>
                <w:sz w:val="24"/>
                <w:szCs w:val="24"/>
              </w:rPr>
            </w:pPr>
            <w:r>
              <w:rPr>
                <w:rStyle w:val="normaltextrun"/>
                <w:rFonts w:ascii="Times New Roman" w:hAnsi="Times New Roman"/>
                <w:noProof/>
                <w:sz w:val="24"/>
              </w:rPr>
              <w:t>Operaționalizarea sistemelor de administrare fiscală</w:t>
            </w:r>
            <w:r w:rsidR="004C4C72">
              <w:rPr>
                <w:rStyle w:val="normaltextrun"/>
                <w:rFonts w:ascii="Times New Roman" w:hAnsi="Times New Roman"/>
                <w:noProof/>
                <w:sz w:val="24"/>
              </w:rPr>
              <w:t xml:space="preserve"> </w:t>
            </w:r>
          </w:p>
        </w:tc>
        <w:tc>
          <w:tcPr>
            <w:tcW w:w="1700" w:type="dxa"/>
            <w:tcBorders>
              <w:top w:val="nil"/>
              <w:left w:val="nil"/>
              <w:bottom w:val="single" w:sz="4" w:space="0" w:color="auto"/>
              <w:right w:val="single" w:sz="4" w:space="0" w:color="auto"/>
            </w:tcBorders>
            <w:shd w:val="clear" w:color="auto" w:fill="C6EFCE"/>
            <w:noWrap/>
          </w:tcPr>
          <w:p w14:paraId="10269305" w14:textId="77777777" w:rsidR="00500CF9" w:rsidRPr="000A27B3" w:rsidRDefault="00500CF9">
            <w:pPr>
              <w:spacing w:after="0" w:line="240" w:lineRule="auto"/>
              <w:jc w:val="both"/>
              <w:rPr>
                <w:rFonts w:ascii="Times New Roman" w:hAnsi="Times New Roman" w:cs="Times New Roman"/>
                <w:noProof/>
                <w:sz w:val="24"/>
                <w:szCs w:val="24"/>
              </w:rPr>
            </w:pPr>
            <w:r>
              <w:rPr>
                <w:rStyle w:val="normaltextrun"/>
                <w:rFonts w:ascii="Times New Roman" w:hAnsi="Times New Roman"/>
                <w:noProof/>
                <w:sz w:val="24"/>
              </w:rPr>
              <w:t>Sistemele de administrare fiscală sunt operaționale</w:t>
            </w:r>
            <w:r>
              <w:rPr>
                <w:rStyle w:val="eop"/>
                <w:rFonts w:ascii="Times New Roman" w:hAnsi="Times New Roman"/>
                <w:noProof/>
                <w:sz w:val="24"/>
              </w:rPr>
              <w:t xml:space="preserve"> </w:t>
            </w:r>
          </w:p>
        </w:tc>
        <w:tc>
          <w:tcPr>
            <w:tcW w:w="1062" w:type="dxa"/>
            <w:tcBorders>
              <w:top w:val="nil"/>
              <w:left w:val="nil"/>
              <w:bottom w:val="single" w:sz="4" w:space="0" w:color="auto"/>
              <w:right w:val="single" w:sz="4" w:space="0" w:color="auto"/>
            </w:tcBorders>
            <w:shd w:val="clear" w:color="auto" w:fill="C6EFCE"/>
            <w:noWrap/>
          </w:tcPr>
          <w:p w14:paraId="32E2D619" w14:textId="77777777" w:rsidR="00500CF9" w:rsidRPr="000A27B3" w:rsidRDefault="00500CF9">
            <w:pPr>
              <w:spacing w:after="0" w:line="240" w:lineRule="auto"/>
              <w:rPr>
                <w:rFonts w:ascii="Times New Roman" w:hAnsi="Times New Roman" w:cs="Times New Roman"/>
                <w:noProof/>
                <w:sz w:val="24"/>
                <w:szCs w:val="24"/>
              </w:rPr>
            </w:pPr>
            <w:r>
              <w:rPr>
                <w:rStyle w:val="eop"/>
                <w:rFonts w:ascii="Times New Roman" w:hAnsi="Times New Roman"/>
                <w:noProof/>
                <w:sz w:val="24"/>
              </w:rPr>
              <w:t xml:space="preserve"> </w:t>
            </w:r>
          </w:p>
        </w:tc>
        <w:tc>
          <w:tcPr>
            <w:tcW w:w="1129" w:type="dxa"/>
            <w:tcBorders>
              <w:top w:val="nil"/>
              <w:left w:val="nil"/>
              <w:bottom w:val="single" w:sz="4" w:space="0" w:color="auto"/>
              <w:right w:val="single" w:sz="4" w:space="0" w:color="auto"/>
            </w:tcBorders>
            <w:shd w:val="clear" w:color="auto" w:fill="C6EFCE"/>
            <w:noWrap/>
          </w:tcPr>
          <w:p w14:paraId="433C4829" w14:textId="77777777" w:rsidR="00500CF9" w:rsidRPr="000A27B3" w:rsidRDefault="00500CF9">
            <w:pPr>
              <w:spacing w:after="0" w:line="240" w:lineRule="auto"/>
              <w:rPr>
                <w:rFonts w:ascii="Times New Roman" w:hAnsi="Times New Roman" w:cs="Times New Roman"/>
                <w:noProof/>
                <w:sz w:val="24"/>
                <w:szCs w:val="24"/>
              </w:rPr>
            </w:pPr>
            <w:r>
              <w:rPr>
                <w:rStyle w:val="eop"/>
                <w:rFonts w:ascii="Times New Roman" w:hAnsi="Times New Roman"/>
                <w:noProof/>
                <w:sz w:val="24"/>
              </w:rPr>
              <w:t xml:space="preserve"> </w:t>
            </w:r>
          </w:p>
        </w:tc>
        <w:tc>
          <w:tcPr>
            <w:tcW w:w="1269" w:type="dxa"/>
            <w:tcBorders>
              <w:top w:val="nil"/>
              <w:left w:val="nil"/>
              <w:bottom w:val="single" w:sz="4" w:space="0" w:color="auto"/>
              <w:right w:val="single" w:sz="4" w:space="0" w:color="auto"/>
            </w:tcBorders>
            <w:shd w:val="clear" w:color="auto" w:fill="C6EFCE"/>
            <w:noWrap/>
          </w:tcPr>
          <w:p w14:paraId="7AA926E1" w14:textId="77777777" w:rsidR="00500CF9" w:rsidRPr="000A27B3" w:rsidRDefault="00500CF9">
            <w:pPr>
              <w:spacing w:after="0" w:line="240" w:lineRule="auto"/>
              <w:rPr>
                <w:rFonts w:ascii="Times New Roman" w:hAnsi="Times New Roman" w:cs="Times New Roman"/>
                <w:noProof/>
                <w:sz w:val="24"/>
                <w:szCs w:val="24"/>
              </w:rPr>
            </w:pPr>
            <w:r>
              <w:rPr>
                <w:rStyle w:val="eop"/>
                <w:rFonts w:ascii="Times New Roman" w:hAnsi="Times New Roman"/>
                <w:noProof/>
                <w:sz w:val="24"/>
              </w:rPr>
              <w:t xml:space="preserve"> </w:t>
            </w:r>
          </w:p>
        </w:tc>
        <w:tc>
          <w:tcPr>
            <w:tcW w:w="1340" w:type="dxa"/>
            <w:tcBorders>
              <w:top w:val="nil"/>
              <w:left w:val="nil"/>
              <w:bottom w:val="single" w:sz="4" w:space="0" w:color="auto"/>
              <w:right w:val="single" w:sz="4" w:space="0" w:color="auto"/>
            </w:tcBorders>
            <w:shd w:val="clear" w:color="auto" w:fill="C6EFCE"/>
            <w:noWrap/>
          </w:tcPr>
          <w:p w14:paraId="46458BB6" w14:textId="77777777" w:rsidR="00500CF9" w:rsidRPr="000A27B3" w:rsidRDefault="00500CF9">
            <w:pPr>
              <w:spacing w:after="0" w:line="240" w:lineRule="auto"/>
              <w:jc w:val="center"/>
              <w:rPr>
                <w:rFonts w:ascii="Times New Roman" w:hAnsi="Times New Roman" w:cs="Times New Roman"/>
                <w:noProof/>
                <w:sz w:val="24"/>
                <w:szCs w:val="24"/>
              </w:rPr>
            </w:pPr>
            <w:r>
              <w:rPr>
                <w:rStyle w:val="normaltextrun"/>
                <w:rFonts w:ascii="Times New Roman" w:hAnsi="Times New Roman"/>
                <w:noProof/>
                <w:sz w:val="24"/>
              </w:rPr>
              <w:t>T4</w:t>
            </w:r>
            <w:r>
              <w:rPr>
                <w:rStyle w:val="eop"/>
                <w:rFonts w:ascii="Times New Roman" w:hAnsi="Times New Roman"/>
                <w:noProof/>
                <w:sz w:val="24"/>
              </w:rPr>
              <w:t xml:space="preserve"> </w:t>
            </w:r>
          </w:p>
        </w:tc>
        <w:tc>
          <w:tcPr>
            <w:tcW w:w="720" w:type="dxa"/>
            <w:tcBorders>
              <w:top w:val="nil"/>
              <w:left w:val="nil"/>
              <w:bottom w:val="single" w:sz="4" w:space="0" w:color="auto"/>
              <w:right w:val="single" w:sz="4" w:space="0" w:color="auto"/>
            </w:tcBorders>
            <w:shd w:val="clear" w:color="auto" w:fill="C6EFCE"/>
            <w:noWrap/>
          </w:tcPr>
          <w:p w14:paraId="750D9643" w14:textId="77777777" w:rsidR="00500CF9" w:rsidRPr="000A27B3" w:rsidRDefault="00500CF9">
            <w:pPr>
              <w:spacing w:after="0" w:line="240" w:lineRule="auto"/>
              <w:jc w:val="center"/>
              <w:rPr>
                <w:rFonts w:ascii="Times New Roman" w:hAnsi="Times New Roman" w:cs="Times New Roman"/>
                <w:noProof/>
                <w:sz w:val="24"/>
                <w:szCs w:val="24"/>
              </w:rPr>
            </w:pPr>
            <w:r>
              <w:rPr>
                <w:rStyle w:val="normaltextrun"/>
                <w:rFonts w:ascii="Times New Roman" w:hAnsi="Times New Roman"/>
                <w:noProof/>
                <w:sz w:val="24"/>
              </w:rPr>
              <w:t>2025</w:t>
            </w:r>
            <w:r>
              <w:rPr>
                <w:rStyle w:val="eop"/>
                <w:rFonts w:ascii="Times New Roman" w:hAnsi="Times New Roman"/>
                <w:noProof/>
                <w:sz w:val="24"/>
              </w:rPr>
              <w:t xml:space="preserve"> </w:t>
            </w:r>
          </w:p>
        </w:tc>
        <w:tc>
          <w:tcPr>
            <w:tcW w:w="3015" w:type="dxa"/>
            <w:tcBorders>
              <w:top w:val="nil"/>
              <w:left w:val="nil"/>
              <w:bottom w:val="single" w:sz="4" w:space="0" w:color="auto"/>
              <w:right w:val="single" w:sz="4" w:space="0" w:color="auto"/>
            </w:tcBorders>
            <w:shd w:val="clear" w:color="auto" w:fill="C6EFCE"/>
            <w:noWrap/>
          </w:tcPr>
          <w:p w14:paraId="254A7DAE" w14:textId="77777777" w:rsidR="00500CF9" w:rsidRPr="000A27B3" w:rsidRDefault="00500CF9">
            <w:pPr>
              <w:pStyle w:val="paragraph"/>
              <w:spacing w:before="0" w:beforeAutospacing="0" w:after="0" w:afterAutospacing="0"/>
              <w:jc w:val="both"/>
              <w:textAlignment w:val="baseline"/>
              <w:divId w:val="923533831"/>
              <w:rPr>
                <w:noProof/>
              </w:rPr>
            </w:pPr>
            <w:r>
              <w:rPr>
                <w:rStyle w:val="normaltextrun"/>
                <w:noProof/>
              </w:rPr>
              <w:t>Sunt operaționale următoarele sisteme:</w:t>
            </w:r>
            <w:r>
              <w:rPr>
                <w:rStyle w:val="eop"/>
                <w:noProof/>
              </w:rPr>
              <w:t xml:space="preserve"> </w:t>
            </w:r>
          </w:p>
          <w:p w14:paraId="35C44112" w14:textId="31DDDE34" w:rsidR="00500CF9" w:rsidRPr="000A27B3" w:rsidRDefault="00500CF9">
            <w:pPr>
              <w:pStyle w:val="paragraph"/>
              <w:spacing w:before="0" w:beforeAutospacing="0" w:after="0" w:afterAutospacing="0"/>
              <w:jc w:val="both"/>
              <w:textAlignment w:val="baseline"/>
              <w:divId w:val="1027216706"/>
              <w:rPr>
                <w:noProof/>
              </w:rPr>
            </w:pPr>
            <w:r>
              <w:rPr>
                <w:rStyle w:val="normaltextrun"/>
                <w:noProof/>
              </w:rPr>
              <w:t xml:space="preserve">- sistemul de facturare electronică; </w:t>
            </w:r>
          </w:p>
          <w:p w14:paraId="4501269B" w14:textId="77777777" w:rsidR="00500CF9" w:rsidRPr="000A27B3" w:rsidRDefault="00500CF9">
            <w:pPr>
              <w:pStyle w:val="paragraph"/>
              <w:spacing w:before="0" w:beforeAutospacing="0" w:after="0" w:afterAutospacing="0"/>
              <w:jc w:val="both"/>
              <w:textAlignment w:val="baseline"/>
              <w:divId w:val="172693679"/>
              <w:rPr>
                <w:noProof/>
              </w:rPr>
            </w:pPr>
            <w:r>
              <w:rPr>
                <w:rStyle w:val="normaltextrun"/>
                <w:noProof/>
              </w:rPr>
              <w:t>- sistemul de gestionare a contribuabililor;</w:t>
            </w:r>
            <w:r>
              <w:rPr>
                <w:rStyle w:val="eop"/>
                <w:noProof/>
              </w:rPr>
              <w:t xml:space="preserve"> </w:t>
            </w:r>
          </w:p>
          <w:p w14:paraId="5832E4B2" w14:textId="7E025714" w:rsidR="00500CF9" w:rsidRPr="000A27B3" w:rsidRDefault="00500CF9">
            <w:pPr>
              <w:pStyle w:val="paragraph"/>
              <w:spacing w:before="0" w:beforeAutospacing="0" w:after="0" w:afterAutospacing="0"/>
              <w:jc w:val="both"/>
              <w:textAlignment w:val="baseline"/>
              <w:divId w:val="1914386609"/>
              <w:rPr>
                <w:noProof/>
              </w:rPr>
            </w:pPr>
            <w:r>
              <w:rPr>
                <w:rStyle w:val="normaltextrun"/>
                <w:noProof/>
              </w:rPr>
              <w:t>- un sistem informatic centralizat al Trezoreriei statului (TREZOR); și</w:t>
            </w:r>
            <w:r>
              <w:rPr>
                <w:rStyle w:val="eop"/>
                <w:noProof/>
              </w:rPr>
              <w:t xml:space="preserve"> </w:t>
            </w:r>
          </w:p>
          <w:p w14:paraId="337C5915" w14:textId="14766383" w:rsidR="00500CF9" w:rsidRPr="000A27B3" w:rsidRDefault="00500CF9">
            <w:pPr>
              <w:pStyle w:val="paragraph"/>
              <w:spacing w:before="0" w:beforeAutospacing="0" w:after="0" w:afterAutospacing="0"/>
              <w:jc w:val="both"/>
              <w:textAlignment w:val="baseline"/>
              <w:divId w:val="2021733648"/>
              <w:rPr>
                <w:noProof/>
              </w:rPr>
            </w:pPr>
            <w:r>
              <w:rPr>
                <w:rStyle w:val="normaltextrun"/>
                <w:noProof/>
              </w:rPr>
              <w:t xml:space="preserve">- o platformă extinsă și îmbunătățită utilizată pentru schimbul internațional de informații (AEOI). </w:t>
            </w:r>
          </w:p>
          <w:p w14:paraId="44723AFE" w14:textId="77777777" w:rsidR="00500CF9" w:rsidRPr="000A27B3" w:rsidRDefault="00500CF9">
            <w:pPr>
              <w:spacing w:after="0" w:line="240" w:lineRule="auto"/>
              <w:jc w:val="both"/>
              <w:rPr>
                <w:rFonts w:ascii="Times New Roman" w:hAnsi="Times New Roman" w:cs="Times New Roman"/>
                <w:noProof/>
                <w:sz w:val="24"/>
                <w:szCs w:val="24"/>
              </w:rPr>
            </w:pPr>
            <w:r>
              <w:rPr>
                <w:rStyle w:val="eop"/>
                <w:rFonts w:ascii="Times New Roman" w:hAnsi="Times New Roman"/>
                <w:noProof/>
                <w:sz w:val="24"/>
              </w:rPr>
              <w:t xml:space="preserve"> </w:t>
            </w:r>
          </w:p>
        </w:tc>
      </w:tr>
      <w:tr w:rsidR="000A27B3" w:rsidRPr="000A27B3" w14:paraId="567965F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63F8D44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227</w:t>
            </w:r>
          </w:p>
        </w:tc>
        <w:tc>
          <w:tcPr>
            <w:tcW w:w="1833" w:type="dxa"/>
            <w:tcBorders>
              <w:top w:val="nil"/>
              <w:left w:val="nil"/>
              <w:bottom w:val="single" w:sz="4" w:space="0" w:color="auto"/>
              <w:right w:val="single" w:sz="4" w:space="0" w:color="auto"/>
            </w:tcBorders>
            <w:shd w:val="clear" w:color="auto" w:fill="C6EFCE"/>
            <w:noWrap/>
          </w:tcPr>
          <w:p w14:paraId="5BF41D1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3. Asigurarea capacității de răspuns la provocările informaționale actuale și viitoare, inclusiv în contextul pandemiei, prin transformarea digitală a Ministerului de Finanțe / Agenției Naționale de Administrare Fiscală </w:t>
            </w:r>
          </w:p>
        </w:tc>
        <w:tc>
          <w:tcPr>
            <w:tcW w:w="1268" w:type="dxa"/>
            <w:tcBorders>
              <w:top w:val="nil"/>
              <w:left w:val="nil"/>
              <w:bottom w:val="single" w:sz="4" w:space="0" w:color="auto"/>
              <w:right w:val="single" w:sz="4" w:space="0" w:color="auto"/>
            </w:tcBorders>
            <w:shd w:val="clear" w:color="auto" w:fill="C6EFCE"/>
            <w:noWrap/>
          </w:tcPr>
          <w:p w14:paraId="3F0C631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5941D5CC" w14:textId="77777777" w:rsidR="00500CF9" w:rsidRPr="000A27B3" w:rsidRDefault="00500CF9">
            <w:pPr>
              <w:spacing w:after="0" w:line="240" w:lineRule="auto"/>
              <w:jc w:val="both"/>
              <w:rPr>
                <w:rFonts w:ascii="Times New Roman" w:hAnsi="Times New Roman" w:cs="Times New Roman"/>
                <w:i/>
                <w:noProof/>
                <w:sz w:val="24"/>
              </w:rPr>
            </w:pPr>
            <w:r>
              <w:rPr>
                <w:rFonts w:ascii="Times New Roman" w:hAnsi="Times New Roman"/>
                <w:noProof/>
                <w:sz w:val="24"/>
              </w:rPr>
              <w:t>Modernizarea infrastructurii hardware și software și a infrastructurii de sprijin pentru furnizarea serviciilor electronice către</w:t>
            </w:r>
            <w:r>
              <w:rPr>
                <w:noProof/>
              </w:rPr>
              <w:t xml:space="preserve"> </w:t>
            </w:r>
            <w:r>
              <w:rPr>
                <w:noProof/>
              </w:rPr>
              <w:br/>
            </w:r>
            <w:r>
              <w:rPr>
                <w:rFonts w:ascii="Times New Roman" w:hAnsi="Times New Roman"/>
                <w:noProof/>
                <w:sz w:val="24"/>
              </w:rPr>
              <w:t>contribuabili</w:t>
            </w:r>
          </w:p>
          <w:p w14:paraId="4DB3E3A7" w14:textId="77777777" w:rsidR="00500CF9" w:rsidRPr="000A27B3" w:rsidRDefault="00500CF9">
            <w:pPr>
              <w:spacing w:line="240" w:lineRule="auto"/>
              <w:jc w:val="both"/>
              <w:rPr>
                <w:rFonts w:ascii="Times New Roman" w:hAnsi="Times New Roman" w:cs="Times New Roman"/>
                <w:noProof/>
                <w:sz w:val="24"/>
                <w:szCs w:val="24"/>
                <w:lang w:val="en-GB"/>
              </w:rPr>
            </w:pPr>
          </w:p>
          <w:p w14:paraId="093150C4"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711" w:type="dxa"/>
            <w:gridSpan w:val="2"/>
            <w:tcBorders>
              <w:top w:val="nil"/>
              <w:left w:val="nil"/>
              <w:bottom w:val="single" w:sz="4" w:space="0" w:color="auto"/>
              <w:right w:val="single" w:sz="4" w:space="0" w:color="auto"/>
            </w:tcBorders>
            <w:shd w:val="clear" w:color="auto" w:fill="C6EFCE"/>
            <w:noWrap/>
          </w:tcPr>
          <w:p w14:paraId="43F4338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Infrastructură hardware și software reînnoită și infrastructură de sprijin modernizată</w:t>
            </w:r>
          </w:p>
        </w:tc>
        <w:tc>
          <w:tcPr>
            <w:tcW w:w="1062" w:type="dxa"/>
            <w:tcBorders>
              <w:top w:val="nil"/>
              <w:left w:val="nil"/>
              <w:bottom w:val="single" w:sz="4" w:space="0" w:color="auto"/>
              <w:right w:val="single" w:sz="4" w:space="0" w:color="auto"/>
            </w:tcBorders>
            <w:shd w:val="clear" w:color="auto" w:fill="C6EFCE"/>
            <w:noWrap/>
          </w:tcPr>
          <w:p w14:paraId="0A6A01CA" w14:textId="77777777" w:rsidR="00500CF9" w:rsidRPr="009F1DC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1FD34EE4" w14:textId="77777777" w:rsidR="00500CF9" w:rsidRPr="009F1DC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088656A0" w14:textId="77777777" w:rsidR="00500CF9" w:rsidRPr="009F1DC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24B5EAC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71FCA60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047AADF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Modernizarea infrastructurii hardware și software și a infrastructurii de sprijin pentru furnizarea serviciilor electronice către contribuabili</w:t>
            </w:r>
          </w:p>
          <w:p w14:paraId="7171B38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vor aborda următoarele aspecte: </w:t>
            </w:r>
          </w:p>
          <w:p w14:paraId="32011C1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menținerea funcționării și a modernizării infrastructurii hardware-software a sistemului informatic al Ministerului Finanțelor/Agenției Naționale de Administrare Fiscală și implementarea noilor tehnologii; </w:t>
            </w:r>
          </w:p>
          <w:p w14:paraId="6FA01E88" w14:textId="1BB736E5"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menținerea funcționării și a modernizării infrastructurii de sprijin a centrelor de date (furnizare de energie electrică; climatizare; alarme și stingerea incendiilor; securitate fizică; administrare și monitorizare); </w:t>
            </w:r>
          </w:p>
          <w:p w14:paraId="6CC048B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îmbunătățirea funcției IT a Ministerului Finanțelor; </w:t>
            </w:r>
          </w:p>
          <w:p w14:paraId="27B31B8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o primirea și oferirea de date în timp real;</w:t>
            </w:r>
          </w:p>
          <w:p w14:paraId="1D34E68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gestionarea datelor și asigurarea de fluxuri optime; </w:t>
            </w:r>
          </w:p>
          <w:p w14:paraId="117CE85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asigurarea dezvoltării sustenabile a bazelor de date pentru a asigura interoperabilitatea sistemelor informatice; </w:t>
            </w:r>
          </w:p>
          <w:p w14:paraId="7FEA31E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gestionarea proceselor IT pentru a asigura respectarea standardelor internaționale relevante în domeniu (pentru transparență, măsurare și trasabilitate); </w:t>
            </w:r>
          </w:p>
          <w:p w14:paraId="5688BAF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transformarea digitală internă a Ministerului Finanțelor/Agenției Naționale de Administrare Fiscală. </w:t>
            </w:r>
          </w:p>
        </w:tc>
      </w:tr>
      <w:tr w:rsidR="000A27B3" w:rsidRPr="000A27B3" w14:paraId="731F9BA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A4A164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228</w:t>
            </w:r>
          </w:p>
        </w:tc>
        <w:tc>
          <w:tcPr>
            <w:tcW w:w="1833" w:type="dxa"/>
            <w:tcBorders>
              <w:top w:val="nil"/>
              <w:left w:val="nil"/>
              <w:bottom w:val="single" w:sz="4" w:space="0" w:color="auto"/>
              <w:right w:val="single" w:sz="4" w:space="0" w:color="auto"/>
            </w:tcBorders>
            <w:shd w:val="clear" w:color="auto" w:fill="C6EFCE"/>
            <w:noWrap/>
          </w:tcPr>
          <w:p w14:paraId="5744FE8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3. Asigurarea capacității de răspuns la provocările informaționale actuale și viitoare, inclusiv în contextul pandemiei, prin transformarea digitală a Ministerului de Finanțe / Agenției Naționale de Administrare Fiscală </w:t>
            </w:r>
          </w:p>
        </w:tc>
        <w:tc>
          <w:tcPr>
            <w:tcW w:w="1268" w:type="dxa"/>
            <w:tcBorders>
              <w:top w:val="nil"/>
              <w:left w:val="nil"/>
              <w:bottom w:val="single" w:sz="4" w:space="0" w:color="auto"/>
              <w:right w:val="single" w:sz="4" w:space="0" w:color="auto"/>
            </w:tcBorders>
            <w:shd w:val="clear" w:color="auto" w:fill="C6EFCE"/>
            <w:noWrap/>
          </w:tcPr>
          <w:p w14:paraId="0CE45F8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303073A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Sporirea securității cibernetice a sistemului informatic al Ministerului de Finanțe și al ANAF</w:t>
            </w:r>
          </w:p>
        </w:tc>
        <w:tc>
          <w:tcPr>
            <w:tcW w:w="1711" w:type="dxa"/>
            <w:gridSpan w:val="2"/>
            <w:tcBorders>
              <w:top w:val="nil"/>
              <w:left w:val="nil"/>
              <w:bottom w:val="single" w:sz="4" w:space="0" w:color="auto"/>
              <w:right w:val="single" w:sz="4" w:space="0" w:color="auto"/>
            </w:tcBorders>
            <w:shd w:val="clear" w:color="auto" w:fill="C6EFCE"/>
            <w:noWrap/>
          </w:tcPr>
          <w:p w14:paraId="4DD2032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sistemului de securitate cibernetică</w:t>
            </w:r>
          </w:p>
        </w:tc>
        <w:tc>
          <w:tcPr>
            <w:tcW w:w="1062" w:type="dxa"/>
            <w:tcBorders>
              <w:top w:val="nil"/>
              <w:left w:val="nil"/>
              <w:bottom w:val="single" w:sz="4" w:space="0" w:color="auto"/>
              <w:right w:val="single" w:sz="4" w:space="0" w:color="auto"/>
            </w:tcBorders>
            <w:shd w:val="clear" w:color="auto" w:fill="C6EFCE"/>
            <w:noWrap/>
          </w:tcPr>
          <w:p w14:paraId="0CCF79BC"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0E7DEC3B"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0FDC3920"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0E88421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1C5D22F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3C1200D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 va consolida securitatea la nivelul Ministerului de Finanțe/Agenției Naționale de Administrare Fiscală în ceea ce privește rețeaua de internet. În acest sens, se are în vedere achiziționarea de componente firewall pentru aplicații web, a unui controlor de distribuție a aplicațiilor, centrul de operațiuni de securitate, detectarea și răspunsul rețelei, echipamentele firewall – OSI LAYER 3 cu serviciile IPS IDS incluse, modernizarea infrastructurii Active Directory existente pentru gestionarea centralizată a utilizatorilor, hardware-ul și software-ul pentru actualizări automate pentru corecțiile de securitate ale aplicațiilor utilizate.</w:t>
            </w:r>
          </w:p>
          <w:p w14:paraId="19B7260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 vor aborda următoarele aspecte:</w:t>
            </w:r>
          </w:p>
          <w:p w14:paraId="223A9FE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gestionarea securității cibernetice și a rezilienței platformelor informatice; </w:t>
            </w:r>
          </w:p>
          <w:p w14:paraId="3E16289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gestionarea confidențialității și securității datelor și informațiilor; </w:t>
            </w:r>
          </w:p>
        </w:tc>
      </w:tr>
      <w:tr w:rsidR="000A27B3" w:rsidRPr="000A27B3" w14:paraId="3A58186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1EA3CA2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229</w:t>
            </w:r>
          </w:p>
        </w:tc>
        <w:tc>
          <w:tcPr>
            <w:tcW w:w="1833" w:type="dxa"/>
            <w:tcBorders>
              <w:top w:val="nil"/>
              <w:left w:val="nil"/>
              <w:bottom w:val="single" w:sz="4" w:space="0" w:color="auto"/>
              <w:right w:val="single" w:sz="4" w:space="0" w:color="auto"/>
            </w:tcBorders>
            <w:shd w:val="clear" w:color="auto" w:fill="C6EFCE"/>
            <w:noWrap/>
          </w:tcPr>
          <w:p w14:paraId="0C8F550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3. Asigurarea capacității de răspuns la provocările informaționale actuale și viitoare, inclusiv în contextul pandemiei, prin transformarea digitală a Ministerului de Finanțe / Agenției Naționale de Administrare Fiscală </w:t>
            </w:r>
          </w:p>
        </w:tc>
        <w:tc>
          <w:tcPr>
            <w:tcW w:w="1268" w:type="dxa"/>
            <w:tcBorders>
              <w:top w:val="nil"/>
              <w:left w:val="nil"/>
              <w:bottom w:val="single" w:sz="4" w:space="0" w:color="auto"/>
              <w:right w:val="single" w:sz="4" w:space="0" w:color="auto"/>
            </w:tcBorders>
            <w:shd w:val="clear" w:color="auto" w:fill="C6EFCE"/>
            <w:noWrap/>
          </w:tcPr>
          <w:p w14:paraId="71BE722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322DC58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80 % din infrastructura IT hardware și software nu are o vechime mai mare de 4 ani </w:t>
            </w:r>
          </w:p>
          <w:p w14:paraId="21001FB8"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711" w:type="dxa"/>
            <w:gridSpan w:val="2"/>
            <w:tcBorders>
              <w:top w:val="nil"/>
              <w:left w:val="nil"/>
              <w:bottom w:val="single" w:sz="4" w:space="0" w:color="auto"/>
              <w:right w:val="single" w:sz="4" w:space="0" w:color="auto"/>
            </w:tcBorders>
            <w:shd w:val="clear" w:color="auto" w:fill="C6EFCE"/>
            <w:noWrap/>
          </w:tcPr>
          <w:p w14:paraId="1CCD8E7E"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62" w:type="dxa"/>
            <w:tcBorders>
              <w:top w:val="nil"/>
              <w:left w:val="nil"/>
              <w:bottom w:val="single" w:sz="4" w:space="0" w:color="auto"/>
              <w:right w:val="single" w:sz="4" w:space="0" w:color="auto"/>
            </w:tcBorders>
            <w:shd w:val="clear" w:color="auto" w:fill="C6EFCE"/>
            <w:noWrap/>
          </w:tcPr>
          <w:p w14:paraId="14E0378A"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8BF72B6"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63A09831"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30,67</w:t>
            </w:r>
          </w:p>
        </w:tc>
        <w:tc>
          <w:tcPr>
            <w:tcW w:w="1269" w:type="dxa"/>
            <w:tcBorders>
              <w:top w:val="nil"/>
              <w:left w:val="nil"/>
              <w:bottom w:val="single" w:sz="4" w:space="0" w:color="auto"/>
              <w:right w:val="single" w:sz="4" w:space="0" w:color="auto"/>
            </w:tcBorders>
            <w:shd w:val="clear" w:color="auto" w:fill="C6EFCE"/>
            <w:noWrap/>
          </w:tcPr>
          <w:p w14:paraId="22FB752E"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80</w:t>
            </w:r>
          </w:p>
        </w:tc>
        <w:tc>
          <w:tcPr>
            <w:tcW w:w="1340" w:type="dxa"/>
            <w:tcBorders>
              <w:top w:val="nil"/>
              <w:left w:val="nil"/>
              <w:bottom w:val="single" w:sz="4" w:space="0" w:color="auto"/>
              <w:right w:val="single" w:sz="4" w:space="0" w:color="auto"/>
            </w:tcBorders>
            <w:shd w:val="clear" w:color="auto" w:fill="C6EFCE"/>
            <w:noWrap/>
          </w:tcPr>
          <w:p w14:paraId="23CB3656"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45F045CD" w14:textId="77777777" w:rsidR="00500CF9" w:rsidRPr="000A27B3" w:rsidRDefault="00500CF9">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2DB2AB0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Modernizarea infrastructurii hardware și software și a infrastructurii de sprijin pentru furnizarea serviciilor electronice către contribuabili Modernizarea infrastructurii se va reflecta în inventarul activelor fixe din sectorul public, în care software-ul și hardware-ul sunt înregistrate ca active fixe în conformitate cu legislația națională.</w:t>
            </w:r>
          </w:p>
        </w:tc>
      </w:tr>
      <w:tr w:rsidR="000A27B3" w:rsidRPr="000A27B3" w14:paraId="2F5A4C7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60AD716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230</w:t>
            </w:r>
          </w:p>
        </w:tc>
        <w:tc>
          <w:tcPr>
            <w:tcW w:w="1833" w:type="dxa"/>
            <w:tcBorders>
              <w:top w:val="nil"/>
              <w:left w:val="nil"/>
              <w:bottom w:val="single" w:sz="4" w:space="0" w:color="auto"/>
              <w:right w:val="single" w:sz="4" w:space="0" w:color="auto"/>
            </w:tcBorders>
            <w:shd w:val="clear" w:color="auto" w:fill="C6EFCE"/>
            <w:noWrap/>
          </w:tcPr>
          <w:p w14:paraId="78E5310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Implementarea vămii electronice </w:t>
            </w:r>
          </w:p>
        </w:tc>
        <w:tc>
          <w:tcPr>
            <w:tcW w:w="1268" w:type="dxa"/>
            <w:tcBorders>
              <w:top w:val="nil"/>
              <w:left w:val="nil"/>
              <w:bottom w:val="single" w:sz="4" w:space="0" w:color="auto"/>
              <w:right w:val="single" w:sz="4" w:space="0" w:color="auto"/>
            </w:tcBorders>
            <w:shd w:val="clear" w:color="auto" w:fill="C6EFCE"/>
            <w:noWrap/>
          </w:tcPr>
          <w:p w14:paraId="0B977A0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4D30D19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Infrastructură hardware și software modernizată</w:t>
            </w:r>
          </w:p>
          <w:p w14:paraId="64E50AB5"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711" w:type="dxa"/>
            <w:gridSpan w:val="2"/>
            <w:tcBorders>
              <w:top w:val="nil"/>
              <w:left w:val="nil"/>
              <w:bottom w:val="single" w:sz="4" w:space="0" w:color="auto"/>
              <w:right w:val="single" w:sz="4" w:space="0" w:color="auto"/>
            </w:tcBorders>
            <w:shd w:val="clear" w:color="auto" w:fill="C6EFCE"/>
            <w:noWrap/>
          </w:tcPr>
          <w:p w14:paraId="41D8A9D4"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62" w:type="dxa"/>
            <w:tcBorders>
              <w:top w:val="nil"/>
              <w:left w:val="nil"/>
              <w:bottom w:val="single" w:sz="4" w:space="0" w:color="auto"/>
              <w:right w:val="single" w:sz="4" w:space="0" w:color="auto"/>
            </w:tcBorders>
            <w:shd w:val="clear" w:color="auto" w:fill="C6EFCE"/>
            <w:noWrap/>
          </w:tcPr>
          <w:p w14:paraId="2FF80F52"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5A708671"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29E28C19"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269" w:type="dxa"/>
            <w:tcBorders>
              <w:top w:val="nil"/>
              <w:left w:val="nil"/>
              <w:bottom w:val="single" w:sz="4" w:space="0" w:color="auto"/>
              <w:right w:val="single" w:sz="4" w:space="0" w:color="auto"/>
            </w:tcBorders>
            <w:shd w:val="clear" w:color="auto" w:fill="C6EFCE"/>
            <w:noWrap/>
          </w:tcPr>
          <w:p w14:paraId="732555E6"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100</w:t>
            </w:r>
          </w:p>
        </w:tc>
        <w:tc>
          <w:tcPr>
            <w:tcW w:w="1340" w:type="dxa"/>
            <w:tcBorders>
              <w:top w:val="nil"/>
              <w:left w:val="nil"/>
              <w:bottom w:val="single" w:sz="4" w:space="0" w:color="auto"/>
              <w:right w:val="single" w:sz="4" w:space="0" w:color="auto"/>
            </w:tcBorders>
            <w:shd w:val="clear" w:color="auto" w:fill="C6EFCE"/>
            <w:noWrap/>
          </w:tcPr>
          <w:p w14:paraId="7A5D48F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67C4576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15" w:type="dxa"/>
            <w:tcBorders>
              <w:top w:val="nil"/>
              <w:left w:val="nil"/>
              <w:bottom w:val="single" w:sz="4" w:space="0" w:color="auto"/>
              <w:right w:val="single" w:sz="4" w:space="0" w:color="auto"/>
            </w:tcBorders>
            <w:shd w:val="clear" w:color="auto" w:fill="C6EFCE"/>
            <w:noWrap/>
          </w:tcPr>
          <w:p w14:paraId="725B305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Infrastructura software și hardware modernizată. Aceste proiecte se referă la infrastructura IT, prin investiții în infrastructura software și hardware, care oferă sprijinul necesar pentru funcționarea generală a sistemului informatic vamal. Astfel, această țintă este utilizată pentru a determina gradul de modernizare a infrastructurii (software și hardware) și implică investiții în: soluții de rețea programabile, actualizări ale codurilor de software VMware și licențe, cu sprijin/abonament inclus, soluții de securitate a infrastructurii pentru Sistemul informatic integrat vamal, inclusiv servicii de asistență, licențe și abonamente, licențe de editare a datelor Oracle Database Enterprise pentru bazele de date necesare pentru funcționarea componentelor Sistemului informatic integrat vamal, Soluție pentru gestionarea centralizată a utilizatorilor, stații de lucru și servicii de actualizare pentru sistemele de operare ale Sistemului informatic integrat vamal.</w:t>
            </w:r>
          </w:p>
        </w:tc>
      </w:tr>
      <w:tr w:rsidR="000A27B3" w:rsidRPr="000A27B3" w14:paraId="32F40314"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634BA4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231</w:t>
            </w:r>
          </w:p>
        </w:tc>
        <w:tc>
          <w:tcPr>
            <w:tcW w:w="1833" w:type="dxa"/>
            <w:tcBorders>
              <w:top w:val="nil"/>
              <w:left w:val="nil"/>
              <w:bottom w:val="single" w:sz="4" w:space="0" w:color="auto"/>
              <w:right w:val="single" w:sz="4" w:space="0" w:color="auto"/>
            </w:tcBorders>
            <w:shd w:val="clear" w:color="auto" w:fill="C6EFCE"/>
            <w:noWrap/>
          </w:tcPr>
          <w:p w14:paraId="1FDA834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Implementarea vămii electronice </w:t>
            </w:r>
          </w:p>
        </w:tc>
        <w:tc>
          <w:tcPr>
            <w:tcW w:w="1268" w:type="dxa"/>
            <w:tcBorders>
              <w:top w:val="nil"/>
              <w:left w:val="nil"/>
              <w:bottom w:val="single" w:sz="4" w:space="0" w:color="auto"/>
              <w:right w:val="single" w:sz="4" w:space="0" w:color="auto"/>
            </w:tcBorders>
            <w:shd w:val="clear" w:color="auto" w:fill="C6EFCE"/>
            <w:noWrap/>
          </w:tcPr>
          <w:p w14:paraId="1CEB9DC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160FAFD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Atribuirea contractelor pentru noi sisteme informatice destinate vămilor </w:t>
            </w:r>
          </w:p>
        </w:tc>
        <w:tc>
          <w:tcPr>
            <w:tcW w:w="1711" w:type="dxa"/>
            <w:gridSpan w:val="2"/>
            <w:tcBorders>
              <w:top w:val="nil"/>
              <w:left w:val="nil"/>
              <w:bottom w:val="single" w:sz="4" w:space="0" w:color="auto"/>
              <w:right w:val="single" w:sz="4" w:space="0" w:color="auto"/>
            </w:tcBorders>
            <w:shd w:val="clear" w:color="auto" w:fill="C6EFCE"/>
            <w:noWrap/>
          </w:tcPr>
          <w:p w14:paraId="72DA4DF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Contracte semnate</w:t>
            </w:r>
          </w:p>
        </w:tc>
        <w:tc>
          <w:tcPr>
            <w:tcW w:w="1062" w:type="dxa"/>
            <w:tcBorders>
              <w:top w:val="nil"/>
              <w:left w:val="nil"/>
              <w:bottom w:val="single" w:sz="4" w:space="0" w:color="auto"/>
              <w:right w:val="single" w:sz="4" w:space="0" w:color="auto"/>
            </w:tcBorders>
            <w:shd w:val="clear" w:color="auto" w:fill="C6EFCE"/>
            <w:noWrap/>
          </w:tcPr>
          <w:p w14:paraId="3BEE85D4"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4890E25E"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79490D82"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02981A8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203D9E7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76F4AEF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Contractarea serviciilor pentru dezvoltarea de noi sisteme IT pentru vamă: </w:t>
            </w:r>
          </w:p>
          <w:p w14:paraId="23E84C7D" w14:textId="77777777" w:rsidR="00500CF9" w:rsidRPr="000A27B3" w:rsidRDefault="00500CF9" w:rsidP="00500CF9">
            <w:pPr>
              <w:numPr>
                <w:ilvl w:val="0"/>
                <w:numId w:val="64"/>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Implementarea sistemului informatic privind declarația vamală cu un set redus de date pentru expedierile cu valoare redusă</w:t>
            </w:r>
          </w:p>
          <w:p w14:paraId="21CB117B" w14:textId="77777777" w:rsidR="00500CF9" w:rsidRPr="000A27B3" w:rsidRDefault="00500CF9" w:rsidP="00500CF9">
            <w:pPr>
              <w:numPr>
                <w:ilvl w:val="0"/>
                <w:numId w:val="64"/>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Alinierea la sistemul ICS2 (Sistemul de control al importurilor) – faza 1, respectiv interconectarea sistemului național de analiză de risc RMF-RO cu sistemul transeuropean ICS2 în vederea efectuării unei analize de risc complete în domeniul siguranței și securității pentru mărfurile transportate pe cale aeriană de către operatorii poștali și transportatorii expres.</w:t>
            </w:r>
          </w:p>
          <w:p w14:paraId="066A6CC3" w14:textId="77777777"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alinierea sistemului EMCS_RO (Sistemul pentru monitorizarea circulației produselor supuse accizelor) la EMCS faza 4, respectiv alinierea la versiunile actuale ale sistemului EMCS</w:t>
            </w:r>
          </w:p>
          <w:p w14:paraId="3BDB167C" w14:textId="77777777"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Implementarea NCTS_RO faza 5 și AES_RO</w:t>
            </w:r>
          </w:p>
          <w:p w14:paraId="5EFA5BE0" w14:textId="77777777"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Modernizarea Sistemului național de import în cadrul Codului vamal al Uniunii, respectiv modernizarea sistemului național de import și implicit actualizările aplicațiilor conexe.</w:t>
            </w:r>
          </w:p>
          <w:p w14:paraId="45A38F7E" w14:textId="77777777"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 xml:space="preserve"> Investiții în gestionarea uniformă a utilizatorilor și semnătura digitală (UUM &amp; DS), și anume dezvoltarea și implementarea sistemului de gestionare uniformă a utilizatorilor și de semnătură digitală</w:t>
            </w:r>
          </w:p>
          <w:p w14:paraId="4C909601" w14:textId="5B860636"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Alinierea la sistemul ICS2 – faza 2 și alinierea la sistemul ICS2 – faza 3</w:t>
            </w:r>
          </w:p>
          <w:p w14:paraId="61D79042" w14:textId="77777777"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Sistemul de monitorizare a activității de supraveghere și control vamal</w:t>
            </w:r>
          </w:p>
          <w:p w14:paraId="25C62366" w14:textId="77777777"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rPr>
            </w:pPr>
            <w:r>
              <w:rPr>
                <w:rFonts w:ascii="Times New Roman" w:hAnsi="Times New Roman"/>
                <w:noProof/>
                <w:sz w:val="24"/>
              </w:rPr>
              <w:t>Aplicația de autorizare și gestionare a activităților din Zona liberă;</w:t>
            </w:r>
          </w:p>
          <w:p w14:paraId="3D48B75A" w14:textId="3FA91AE3" w:rsidR="00500CF9" w:rsidRPr="000A27B3" w:rsidRDefault="00500CF9" w:rsidP="00500CF9">
            <w:pPr>
              <w:numPr>
                <w:ilvl w:val="0"/>
                <w:numId w:val="64"/>
              </w:numPr>
              <w:spacing w:before="120" w:after="0" w:line="240" w:lineRule="auto"/>
              <w:ind w:left="224" w:hanging="218"/>
              <w:jc w:val="both"/>
              <w:rPr>
                <w:rFonts w:ascii="Times New Roman" w:hAnsi="Times New Roman" w:cs="Times New Roman"/>
                <w:noProof/>
                <w:sz w:val="24"/>
                <w:szCs w:val="24"/>
              </w:rPr>
            </w:pPr>
            <w:r>
              <w:rPr>
                <w:rFonts w:ascii="Times New Roman" w:hAnsi="Times New Roman"/>
                <w:noProof/>
                <w:sz w:val="24"/>
              </w:rPr>
              <w:t>Aplicația pentru gestionarea deciziilor (autorizațiilor) naționale</w:t>
            </w:r>
          </w:p>
          <w:p w14:paraId="29AED37C" w14:textId="285B6569" w:rsidR="00500CF9" w:rsidRPr="000A27B3" w:rsidRDefault="00500CF9" w:rsidP="00ED6412">
            <w:pPr>
              <w:spacing w:before="120" w:after="0" w:line="240" w:lineRule="auto"/>
              <w:ind w:left="224"/>
              <w:jc w:val="both"/>
              <w:rPr>
                <w:rFonts w:ascii="Times New Roman" w:hAnsi="Times New Roman" w:cs="Times New Roman"/>
                <w:noProof/>
                <w:sz w:val="24"/>
                <w:szCs w:val="24"/>
                <w:lang w:val="en-GB"/>
              </w:rPr>
            </w:pPr>
          </w:p>
        </w:tc>
      </w:tr>
      <w:tr w:rsidR="000A27B3" w:rsidRPr="000A27B3" w14:paraId="42BDB033"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626F79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232</w:t>
            </w:r>
          </w:p>
        </w:tc>
        <w:tc>
          <w:tcPr>
            <w:tcW w:w="1833" w:type="dxa"/>
            <w:tcBorders>
              <w:top w:val="nil"/>
              <w:left w:val="nil"/>
              <w:bottom w:val="single" w:sz="4" w:space="0" w:color="auto"/>
              <w:right w:val="single" w:sz="4" w:space="0" w:color="auto"/>
            </w:tcBorders>
            <w:shd w:val="clear" w:color="auto" w:fill="C6EFCE"/>
            <w:noWrap/>
          </w:tcPr>
          <w:p w14:paraId="2FF5808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Implementarea vămii electronice </w:t>
            </w:r>
          </w:p>
        </w:tc>
        <w:tc>
          <w:tcPr>
            <w:tcW w:w="1268" w:type="dxa"/>
            <w:tcBorders>
              <w:top w:val="nil"/>
              <w:left w:val="nil"/>
              <w:bottom w:val="single" w:sz="4" w:space="0" w:color="auto"/>
              <w:right w:val="single" w:sz="4" w:space="0" w:color="auto"/>
            </w:tcBorders>
            <w:shd w:val="clear" w:color="auto" w:fill="C6EFCE"/>
            <w:noWrap/>
          </w:tcPr>
          <w:p w14:paraId="78515E2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6495586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Sunt operaționale sisteme informatice destinate vămilor</w:t>
            </w:r>
          </w:p>
          <w:p w14:paraId="506D52A4"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711" w:type="dxa"/>
            <w:gridSpan w:val="2"/>
            <w:tcBorders>
              <w:top w:val="nil"/>
              <w:left w:val="nil"/>
              <w:bottom w:val="single" w:sz="4" w:space="0" w:color="auto"/>
              <w:right w:val="single" w:sz="4" w:space="0" w:color="auto"/>
            </w:tcBorders>
            <w:shd w:val="clear" w:color="auto" w:fill="C6EFCE"/>
            <w:noWrap/>
          </w:tcPr>
          <w:p w14:paraId="0D0834A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62" w:type="dxa"/>
            <w:tcBorders>
              <w:top w:val="nil"/>
              <w:left w:val="nil"/>
              <w:bottom w:val="single" w:sz="4" w:space="0" w:color="auto"/>
              <w:right w:val="single" w:sz="4" w:space="0" w:color="auto"/>
            </w:tcBorders>
            <w:shd w:val="clear" w:color="auto" w:fill="C6EFCE"/>
            <w:noWrap/>
          </w:tcPr>
          <w:p w14:paraId="0ED87A55"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129" w:type="dxa"/>
            <w:tcBorders>
              <w:top w:val="nil"/>
              <w:left w:val="nil"/>
              <w:bottom w:val="single" w:sz="4" w:space="0" w:color="auto"/>
              <w:right w:val="single" w:sz="4" w:space="0" w:color="auto"/>
            </w:tcBorders>
            <w:shd w:val="clear" w:color="auto" w:fill="C6EFCE"/>
            <w:noWrap/>
          </w:tcPr>
          <w:p w14:paraId="21D9C0EF"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269" w:type="dxa"/>
            <w:tcBorders>
              <w:top w:val="nil"/>
              <w:left w:val="nil"/>
              <w:bottom w:val="single" w:sz="4" w:space="0" w:color="auto"/>
              <w:right w:val="single" w:sz="4" w:space="0" w:color="auto"/>
            </w:tcBorders>
            <w:shd w:val="clear" w:color="auto" w:fill="C6EFCE"/>
            <w:noWrap/>
          </w:tcPr>
          <w:p w14:paraId="39CB5130" w14:textId="554E2484"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9</w:t>
            </w:r>
          </w:p>
        </w:tc>
        <w:tc>
          <w:tcPr>
            <w:tcW w:w="1340" w:type="dxa"/>
            <w:tcBorders>
              <w:top w:val="nil"/>
              <w:left w:val="nil"/>
              <w:bottom w:val="single" w:sz="4" w:space="0" w:color="auto"/>
              <w:right w:val="single" w:sz="4" w:space="0" w:color="auto"/>
            </w:tcBorders>
            <w:shd w:val="clear" w:color="auto" w:fill="C6EFCE"/>
            <w:noWrap/>
          </w:tcPr>
          <w:p w14:paraId="47F6796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559C2B8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633E9BFA" w14:textId="31DBBEB6"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Cele 9 sisteme informatice achiziționate sunt operaționalizate și funcționale.</w:t>
            </w:r>
          </w:p>
          <w:p w14:paraId="73F2C007" w14:textId="77777777" w:rsidR="00500CF9" w:rsidRPr="000A27B3" w:rsidRDefault="00500CF9">
            <w:pPr>
              <w:spacing w:after="0" w:line="240" w:lineRule="auto"/>
              <w:jc w:val="both"/>
              <w:rPr>
                <w:rFonts w:ascii="Times New Roman" w:hAnsi="Times New Roman" w:cs="Times New Roman"/>
                <w:noProof/>
                <w:sz w:val="24"/>
                <w:szCs w:val="24"/>
                <w:lang w:val="en-GB"/>
              </w:rPr>
            </w:pPr>
          </w:p>
        </w:tc>
      </w:tr>
      <w:tr w:rsidR="000A27B3" w:rsidRPr="000A27B3" w14:paraId="4AC95ABF"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021D5E7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233</w:t>
            </w:r>
          </w:p>
        </w:tc>
        <w:tc>
          <w:tcPr>
            <w:tcW w:w="1833" w:type="dxa"/>
            <w:tcBorders>
              <w:top w:val="nil"/>
              <w:left w:val="nil"/>
              <w:bottom w:val="single" w:sz="4" w:space="0" w:color="auto"/>
              <w:right w:val="single" w:sz="4" w:space="0" w:color="auto"/>
            </w:tcBorders>
            <w:shd w:val="clear" w:color="auto" w:fill="C6EFCE"/>
            <w:noWrap/>
          </w:tcPr>
          <w:p w14:paraId="3BBE793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Implementarea vămii electronice </w:t>
            </w:r>
          </w:p>
        </w:tc>
        <w:tc>
          <w:tcPr>
            <w:tcW w:w="1268" w:type="dxa"/>
            <w:tcBorders>
              <w:top w:val="nil"/>
              <w:left w:val="nil"/>
              <w:bottom w:val="single" w:sz="4" w:space="0" w:color="auto"/>
              <w:right w:val="single" w:sz="4" w:space="0" w:color="auto"/>
            </w:tcBorders>
            <w:shd w:val="clear" w:color="auto" w:fill="C6EFCE"/>
            <w:noWrap/>
          </w:tcPr>
          <w:p w14:paraId="153DE9D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03417F7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Procentul activității de vămuire, schimbul de informații între operatorii economici și autoritățile vamale, schimbul de informații între autoritățile vamale din statele membre efectuate pe cale electronică</w:t>
            </w:r>
          </w:p>
        </w:tc>
        <w:tc>
          <w:tcPr>
            <w:tcW w:w="1711" w:type="dxa"/>
            <w:gridSpan w:val="2"/>
            <w:tcBorders>
              <w:top w:val="nil"/>
              <w:left w:val="nil"/>
              <w:bottom w:val="single" w:sz="4" w:space="0" w:color="auto"/>
              <w:right w:val="single" w:sz="4" w:space="0" w:color="auto"/>
            </w:tcBorders>
            <w:shd w:val="clear" w:color="auto" w:fill="C6EFCE"/>
            <w:noWrap/>
          </w:tcPr>
          <w:p w14:paraId="02C35984"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62" w:type="dxa"/>
            <w:tcBorders>
              <w:top w:val="nil"/>
              <w:left w:val="nil"/>
              <w:bottom w:val="single" w:sz="4" w:space="0" w:color="auto"/>
              <w:right w:val="single" w:sz="4" w:space="0" w:color="auto"/>
            </w:tcBorders>
            <w:shd w:val="clear" w:color="auto" w:fill="C6EFCE"/>
            <w:noWrap/>
          </w:tcPr>
          <w:p w14:paraId="1B4DBE4D"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108A53EE"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25C299FE"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80</w:t>
            </w:r>
          </w:p>
        </w:tc>
        <w:tc>
          <w:tcPr>
            <w:tcW w:w="1269" w:type="dxa"/>
            <w:tcBorders>
              <w:top w:val="nil"/>
              <w:left w:val="nil"/>
              <w:bottom w:val="single" w:sz="4" w:space="0" w:color="auto"/>
              <w:right w:val="single" w:sz="4" w:space="0" w:color="auto"/>
            </w:tcBorders>
            <w:shd w:val="clear" w:color="auto" w:fill="C6EFCE"/>
            <w:noWrap/>
          </w:tcPr>
          <w:p w14:paraId="359A7885"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100</w:t>
            </w:r>
          </w:p>
        </w:tc>
        <w:tc>
          <w:tcPr>
            <w:tcW w:w="1340" w:type="dxa"/>
            <w:tcBorders>
              <w:top w:val="nil"/>
              <w:left w:val="nil"/>
              <w:bottom w:val="single" w:sz="4" w:space="0" w:color="auto"/>
              <w:right w:val="single" w:sz="4" w:space="0" w:color="auto"/>
            </w:tcBorders>
            <w:shd w:val="clear" w:color="auto" w:fill="C6EFCE"/>
            <w:noWrap/>
          </w:tcPr>
          <w:p w14:paraId="020E589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B695D4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tcPr>
          <w:p w14:paraId="142BCD5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Activitatea actuală de vămuire, schimbul de informații între operatorii economici și autoritățile vamale și schimburile între autoritățile vamale din statele membre efectuate pe cale electronică reprezintă 80 %.</w:t>
            </w:r>
          </w:p>
          <w:p w14:paraId="6F70CEF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Această investiție va aduce procentul la 100 %.</w:t>
            </w:r>
          </w:p>
          <w:p w14:paraId="55C1474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Operaționalizarea Autorității Vamale și implementarea unui cadru organizatoric și funcțional unitar al administrației vamale în vederea asigurării unei coordonări integrate a tuturor structurilor acesteia în vederea sporirii eficienței și a capacității operative în combaterea fenomenelor de fraudă vamală și fiscală; </w:t>
            </w:r>
          </w:p>
          <w:p w14:paraId="72D75AF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Modernizarea sistemului informatic al MF-ANAF în domeniul vamal, abordând problematici legate de infrastructură IT, precum și cele complementare acestora, necesare pentru funcționarea corespunzătoare a sistemelor, însoțite de proceduri de vămuire simplificate.</w:t>
            </w:r>
          </w:p>
        </w:tc>
      </w:tr>
      <w:tr w:rsidR="000A27B3" w:rsidRPr="000A27B3" w14:paraId="3560F11E"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9AB210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234</w:t>
            </w:r>
          </w:p>
        </w:tc>
        <w:tc>
          <w:tcPr>
            <w:tcW w:w="1833" w:type="dxa"/>
            <w:tcBorders>
              <w:top w:val="nil"/>
              <w:left w:val="nil"/>
              <w:bottom w:val="single" w:sz="4" w:space="0" w:color="auto"/>
              <w:right w:val="single" w:sz="4" w:space="0" w:color="auto"/>
            </w:tcBorders>
            <w:shd w:val="clear" w:color="auto" w:fill="C6EFCE"/>
            <w:noWrap/>
          </w:tcPr>
          <w:p w14:paraId="251F335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5. Îmbunătățirea mecanismului de programare bugetară </w:t>
            </w:r>
          </w:p>
        </w:tc>
        <w:tc>
          <w:tcPr>
            <w:tcW w:w="1268" w:type="dxa"/>
            <w:tcBorders>
              <w:top w:val="nil"/>
              <w:left w:val="nil"/>
              <w:bottom w:val="single" w:sz="4" w:space="0" w:color="auto"/>
              <w:right w:val="single" w:sz="4" w:space="0" w:color="auto"/>
            </w:tcBorders>
            <w:shd w:val="clear" w:color="auto" w:fill="C6EFCE"/>
            <w:noWrap/>
          </w:tcPr>
          <w:p w14:paraId="39010E4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788DC82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Actualizarea aplicației informatice BUGET_NG.</w:t>
            </w:r>
          </w:p>
        </w:tc>
        <w:tc>
          <w:tcPr>
            <w:tcW w:w="1711" w:type="dxa"/>
            <w:gridSpan w:val="2"/>
            <w:tcBorders>
              <w:top w:val="nil"/>
              <w:left w:val="nil"/>
              <w:bottom w:val="single" w:sz="4" w:space="0" w:color="auto"/>
              <w:right w:val="single" w:sz="4" w:space="0" w:color="auto"/>
            </w:tcBorders>
            <w:shd w:val="clear" w:color="auto" w:fill="C6EFCE"/>
            <w:noWrap/>
          </w:tcPr>
          <w:p w14:paraId="724484D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Aplicație Buget_NG actualizată</w:t>
            </w:r>
          </w:p>
        </w:tc>
        <w:tc>
          <w:tcPr>
            <w:tcW w:w="1062" w:type="dxa"/>
            <w:tcBorders>
              <w:top w:val="nil"/>
              <w:left w:val="nil"/>
              <w:bottom w:val="single" w:sz="4" w:space="0" w:color="auto"/>
              <w:right w:val="single" w:sz="4" w:space="0" w:color="auto"/>
            </w:tcBorders>
            <w:shd w:val="clear" w:color="auto" w:fill="C6EFCE"/>
            <w:noWrap/>
          </w:tcPr>
          <w:p w14:paraId="49AA0680"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1AC82BDA"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0C470B63"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1C8C897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568366E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0A0FE51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Actualizarea și modernizarea sistemului informatic pentru dezvoltarea și gestionarea bugetului național în următoarele scopuri:</w:t>
            </w:r>
          </w:p>
          <w:p w14:paraId="1ED390A6" w14:textId="1646478F"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gestionarea datelor și a informațiilor care reflectă cel mai bine cheltuielile bugetare, la nivel de politici și de programe (analiza procedurilor bugetare, raționalizarea timpului necesar pentru generarea rapoartelor și formatul în care sunt generate rapoartele), </w:t>
            </w:r>
            <w:r>
              <w:rPr>
                <w:noProof/>
              </w:rPr>
              <w:br/>
            </w:r>
            <w:r>
              <w:rPr>
                <w:rFonts w:ascii="Times New Roman" w:hAnsi="Times New Roman"/>
                <w:noProof/>
                <w:sz w:val="24"/>
              </w:rPr>
              <w:t>- sporirea transparenței procesului bugetar prin publicarea de analize și rapoarte pentru a simplifica procesul de cheltuieli pentru anumite programe.</w:t>
            </w:r>
            <w:r>
              <w:rPr>
                <w:noProof/>
              </w:rPr>
              <w:t xml:space="preserve"> </w:t>
            </w:r>
            <w:r>
              <w:rPr>
                <w:noProof/>
              </w:rPr>
              <w:br/>
            </w:r>
            <w:r>
              <w:rPr>
                <w:rFonts w:ascii="Times New Roman" w:hAnsi="Times New Roman"/>
                <w:noProof/>
                <w:sz w:val="24"/>
              </w:rPr>
              <w:t xml:space="preserve">- îmbunătățirea sistemului de monitorizare și raportare a programelor bugetare. </w:t>
            </w:r>
          </w:p>
        </w:tc>
      </w:tr>
      <w:tr w:rsidR="000A27B3" w:rsidRPr="000A27B3" w14:paraId="1B406B78"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630EEA4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235</w:t>
            </w:r>
          </w:p>
        </w:tc>
        <w:tc>
          <w:tcPr>
            <w:tcW w:w="1833" w:type="dxa"/>
            <w:tcBorders>
              <w:top w:val="nil"/>
              <w:left w:val="nil"/>
              <w:bottom w:val="single" w:sz="4" w:space="0" w:color="auto"/>
              <w:right w:val="single" w:sz="4" w:space="0" w:color="auto"/>
            </w:tcBorders>
            <w:shd w:val="clear" w:color="auto" w:fill="C6EFCE"/>
            <w:noWrap/>
          </w:tcPr>
          <w:p w14:paraId="4E3FAD7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6. Instrument de modelare economică (set de instrumente de simulare privind opțiunile de reformă a pensiilor) pentru îmbunătățirea capacității instituționale de a prognoza cheltuielile cu pensiile</w:t>
            </w:r>
          </w:p>
        </w:tc>
        <w:tc>
          <w:tcPr>
            <w:tcW w:w="1268" w:type="dxa"/>
            <w:tcBorders>
              <w:top w:val="nil"/>
              <w:left w:val="nil"/>
              <w:bottom w:val="single" w:sz="4" w:space="0" w:color="auto"/>
              <w:right w:val="single" w:sz="4" w:space="0" w:color="auto"/>
            </w:tcBorders>
            <w:shd w:val="clear" w:color="auto" w:fill="C6EFCE"/>
            <w:noWrap/>
          </w:tcPr>
          <w:p w14:paraId="7BEDB29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68E97CA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Instrumentul de modelare economică (modelul de set de instrumente de simulare privind opțiunile de reformă a pensiilor) este operațional </w:t>
            </w:r>
          </w:p>
        </w:tc>
        <w:tc>
          <w:tcPr>
            <w:tcW w:w="1711" w:type="dxa"/>
            <w:gridSpan w:val="2"/>
            <w:tcBorders>
              <w:top w:val="nil"/>
              <w:left w:val="nil"/>
              <w:bottom w:val="single" w:sz="4" w:space="0" w:color="auto"/>
              <w:right w:val="single" w:sz="4" w:space="0" w:color="auto"/>
            </w:tcBorders>
            <w:shd w:val="clear" w:color="auto" w:fill="C6EFCE"/>
            <w:noWrap/>
          </w:tcPr>
          <w:p w14:paraId="60603A9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Instrumentul de modelare economică (modelul de set de instrumente de simulare privind opțiunile de reformă a pensiilor) este operațional</w:t>
            </w:r>
          </w:p>
        </w:tc>
        <w:tc>
          <w:tcPr>
            <w:tcW w:w="1062" w:type="dxa"/>
            <w:tcBorders>
              <w:top w:val="nil"/>
              <w:left w:val="nil"/>
              <w:bottom w:val="single" w:sz="4" w:space="0" w:color="auto"/>
              <w:right w:val="single" w:sz="4" w:space="0" w:color="auto"/>
            </w:tcBorders>
            <w:shd w:val="clear" w:color="auto" w:fill="C6EFCE"/>
            <w:noWrap/>
          </w:tcPr>
          <w:p w14:paraId="66B44224" w14:textId="77777777" w:rsidR="00500CF9" w:rsidRPr="009F1DC7" w:rsidRDefault="00500CF9">
            <w:pPr>
              <w:spacing w:after="0" w:line="240" w:lineRule="auto"/>
              <w:rPr>
                <w:rFonts w:ascii="Times New Roman" w:hAnsi="Times New Roman" w:cs="Times New Roman"/>
                <w:noProof/>
                <w:sz w:val="24"/>
                <w:szCs w:val="24"/>
                <w:lang w:val="fr-FR"/>
              </w:rPr>
            </w:pPr>
          </w:p>
        </w:tc>
        <w:tc>
          <w:tcPr>
            <w:tcW w:w="1129" w:type="dxa"/>
            <w:tcBorders>
              <w:top w:val="nil"/>
              <w:left w:val="nil"/>
              <w:bottom w:val="single" w:sz="4" w:space="0" w:color="auto"/>
              <w:right w:val="single" w:sz="4" w:space="0" w:color="auto"/>
            </w:tcBorders>
            <w:shd w:val="clear" w:color="auto" w:fill="C6EFCE"/>
            <w:noWrap/>
          </w:tcPr>
          <w:p w14:paraId="2C5A3B04" w14:textId="77777777" w:rsidR="00500CF9" w:rsidRPr="009F1DC7" w:rsidRDefault="00500CF9">
            <w:pPr>
              <w:spacing w:after="0" w:line="240" w:lineRule="auto"/>
              <w:rPr>
                <w:rFonts w:ascii="Times New Roman" w:hAnsi="Times New Roman" w:cs="Times New Roman"/>
                <w:noProof/>
                <w:sz w:val="24"/>
                <w:szCs w:val="24"/>
                <w:lang w:val="fr-FR"/>
              </w:rPr>
            </w:pPr>
          </w:p>
        </w:tc>
        <w:tc>
          <w:tcPr>
            <w:tcW w:w="1269" w:type="dxa"/>
            <w:tcBorders>
              <w:top w:val="nil"/>
              <w:left w:val="nil"/>
              <w:bottom w:val="single" w:sz="4" w:space="0" w:color="auto"/>
              <w:right w:val="single" w:sz="4" w:space="0" w:color="auto"/>
            </w:tcBorders>
            <w:shd w:val="clear" w:color="auto" w:fill="C6EFCE"/>
            <w:noWrap/>
          </w:tcPr>
          <w:p w14:paraId="1C96DD6D" w14:textId="77777777" w:rsidR="00500CF9" w:rsidRPr="009F1DC7" w:rsidRDefault="00500CF9">
            <w:pPr>
              <w:spacing w:after="0" w:line="240" w:lineRule="auto"/>
              <w:rPr>
                <w:rFonts w:ascii="Times New Roman" w:hAnsi="Times New Roman" w:cs="Times New Roman"/>
                <w:noProof/>
                <w:sz w:val="24"/>
                <w:szCs w:val="24"/>
                <w:lang w:val="fr-FR"/>
              </w:rPr>
            </w:pPr>
          </w:p>
        </w:tc>
        <w:tc>
          <w:tcPr>
            <w:tcW w:w="1340" w:type="dxa"/>
            <w:tcBorders>
              <w:top w:val="nil"/>
              <w:left w:val="nil"/>
              <w:bottom w:val="single" w:sz="4" w:space="0" w:color="auto"/>
              <w:right w:val="single" w:sz="4" w:space="0" w:color="auto"/>
            </w:tcBorders>
            <w:shd w:val="clear" w:color="auto" w:fill="C6EFCE"/>
            <w:noWrap/>
          </w:tcPr>
          <w:p w14:paraId="62B9515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A71B5D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775AE1E2"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Instrumentul de modelare economică (modelul set de instrumente de simulare privind opțiunile de reformă a pensiilor) va fi operațional pentru a spori capacitatea de estimare a impactului (</w:t>
            </w:r>
            <w:r>
              <w:rPr>
                <w:rFonts w:ascii="Times New Roman" w:hAnsi="Times New Roman"/>
                <w:i/>
                <w:iCs/>
                <w:noProof/>
                <w:sz w:val="24"/>
              </w:rPr>
              <w:t>ex ante</w:t>
            </w:r>
            <w:r>
              <w:rPr>
                <w:rFonts w:ascii="Times New Roman" w:hAnsi="Times New Roman"/>
                <w:noProof/>
                <w:sz w:val="24"/>
              </w:rPr>
              <w:t>) al reformelor structurale ale pensiilor pe termen mediu și lung, prin îmbunătățirea semnificativă a proiecțiilor făcute și prin analizarea sustenabilității sistemului de pensii.</w:t>
            </w:r>
          </w:p>
          <w:p w14:paraId="74988C04"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 xml:space="preserve">Obținerea asistenței tehnice pentru dezvoltarea modelului set de instrumente de simulare privind opțiunile de reformă a pensiilor (Pension Reform Options Simulation Toolkit) și consolidarea capacității de utilizare a acestuia (inclusiv extinderea echipei) va contribui semnificativ la îmbunătățirea proiecțiilor realizate în ceea ce privește sistemul de pensii și a analizelor privind sustenabilitatea acestuia. </w:t>
            </w:r>
          </w:p>
        </w:tc>
      </w:tr>
      <w:tr w:rsidR="000A27B3" w:rsidRPr="000A27B3" w14:paraId="24B5A2EB"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1167915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236</w:t>
            </w:r>
          </w:p>
        </w:tc>
        <w:tc>
          <w:tcPr>
            <w:tcW w:w="1833" w:type="dxa"/>
            <w:tcBorders>
              <w:top w:val="nil"/>
              <w:left w:val="nil"/>
              <w:bottom w:val="single" w:sz="4" w:space="0" w:color="auto"/>
              <w:right w:val="single" w:sz="4" w:space="0" w:color="auto"/>
            </w:tcBorders>
            <w:shd w:val="clear" w:color="auto" w:fill="C6EFCE"/>
            <w:noWrap/>
          </w:tcPr>
          <w:p w14:paraId="4D409485" w14:textId="77777777" w:rsidR="00500CF9" w:rsidRPr="000A27B3" w:rsidRDefault="00500CF9">
            <w:pPr>
              <w:spacing w:after="0" w:line="240" w:lineRule="auto"/>
              <w:jc w:val="both"/>
              <w:rPr>
                <w:rFonts w:ascii="Times New Roman" w:hAnsi="Times New Roman" w:cs="Times New Roman"/>
                <w:noProof/>
                <w:sz w:val="24"/>
              </w:rPr>
            </w:pPr>
            <w:r>
              <w:rPr>
                <w:rFonts w:ascii="Times New Roman" w:hAnsi="Times New Roman"/>
                <w:noProof/>
                <w:sz w:val="24"/>
              </w:rPr>
              <w:t>Investiția 6. Instrument de modelare economică (set de instrumente de simulare privind opțiunile de reformă a pensiilor) pentru îmbunătățirea capacității instituționale de a prognoza cheltuielile cu pensiile</w:t>
            </w:r>
          </w:p>
        </w:tc>
        <w:tc>
          <w:tcPr>
            <w:tcW w:w="1268" w:type="dxa"/>
            <w:tcBorders>
              <w:top w:val="nil"/>
              <w:left w:val="nil"/>
              <w:bottom w:val="single" w:sz="4" w:space="0" w:color="auto"/>
              <w:right w:val="single" w:sz="4" w:space="0" w:color="auto"/>
            </w:tcBorders>
            <w:shd w:val="clear" w:color="auto" w:fill="C6EFCE"/>
            <w:noWrap/>
          </w:tcPr>
          <w:p w14:paraId="418E963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41" w:type="dxa"/>
            <w:tcBorders>
              <w:top w:val="nil"/>
              <w:left w:val="nil"/>
              <w:bottom w:val="single" w:sz="4" w:space="0" w:color="auto"/>
              <w:right w:val="single" w:sz="4" w:space="0" w:color="auto"/>
            </w:tcBorders>
            <w:shd w:val="clear" w:color="auto" w:fill="C6EFCE"/>
            <w:noWrap/>
          </w:tcPr>
          <w:p w14:paraId="1624DAE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Extinderea echipei de la 1 la 8 experți și îmbunătățirea capacității reformei structurale a pensiilor pe termen mediu și lung, oferind pentru 8 persoane cursuri de formare cu privire la utilizarea modelului de set de instrumente de simulare privind opțiunile de reformă a pensiilor</w:t>
            </w:r>
          </w:p>
        </w:tc>
        <w:tc>
          <w:tcPr>
            <w:tcW w:w="1711" w:type="dxa"/>
            <w:gridSpan w:val="2"/>
            <w:tcBorders>
              <w:top w:val="nil"/>
              <w:left w:val="nil"/>
              <w:bottom w:val="single" w:sz="4" w:space="0" w:color="auto"/>
              <w:right w:val="single" w:sz="4" w:space="0" w:color="auto"/>
            </w:tcBorders>
            <w:shd w:val="clear" w:color="auto" w:fill="C6EFCE"/>
            <w:noWrap/>
          </w:tcPr>
          <w:p w14:paraId="1EED8DA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Personal instruit</w:t>
            </w:r>
          </w:p>
        </w:tc>
        <w:tc>
          <w:tcPr>
            <w:tcW w:w="1062" w:type="dxa"/>
            <w:tcBorders>
              <w:top w:val="nil"/>
              <w:left w:val="nil"/>
              <w:bottom w:val="single" w:sz="4" w:space="0" w:color="auto"/>
              <w:right w:val="single" w:sz="4" w:space="0" w:color="auto"/>
            </w:tcBorders>
            <w:shd w:val="clear" w:color="auto" w:fill="C6EFCE"/>
            <w:noWrap/>
          </w:tcPr>
          <w:p w14:paraId="1A5F338E"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51498ECC"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1</w:t>
            </w:r>
          </w:p>
        </w:tc>
        <w:tc>
          <w:tcPr>
            <w:tcW w:w="1269" w:type="dxa"/>
            <w:tcBorders>
              <w:top w:val="nil"/>
              <w:left w:val="nil"/>
              <w:bottom w:val="single" w:sz="4" w:space="0" w:color="auto"/>
              <w:right w:val="single" w:sz="4" w:space="0" w:color="auto"/>
            </w:tcBorders>
            <w:shd w:val="clear" w:color="auto" w:fill="C6EFCE"/>
            <w:noWrap/>
          </w:tcPr>
          <w:p w14:paraId="0DF81B81" w14:textId="77777777" w:rsidR="00500CF9" w:rsidRPr="000A27B3" w:rsidRDefault="00500CF9">
            <w:pPr>
              <w:spacing w:after="0" w:line="240" w:lineRule="auto"/>
              <w:rPr>
                <w:rFonts w:ascii="Times New Roman" w:hAnsi="Times New Roman" w:cs="Times New Roman"/>
                <w:noProof/>
                <w:sz w:val="24"/>
                <w:szCs w:val="24"/>
              </w:rPr>
            </w:pPr>
            <w:r>
              <w:rPr>
                <w:rFonts w:ascii="Times New Roman" w:hAnsi="Times New Roman"/>
                <w:noProof/>
                <w:sz w:val="24"/>
              </w:rPr>
              <w:t>8</w:t>
            </w:r>
          </w:p>
        </w:tc>
        <w:tc>
          <w:tcPr>
            <w:tcW w:w="1340" w:type="dxa"/>
            <w:tcBorders>
              <w:top w:val="nil"/>
              <w:left w:val="nil"/>
              <w:bottom w:val="single" w:sz="4" w:space="0" w:color="auto"/>
              <w:right w:val="single" w:sz="4" w:space="0" w:color="auto"/>
            </w:tcBorders>
            <w:shd w:val="clear" w:color="auto" w:fill="C6EFCE"/>
            <w:noWrap/>
          </w:tcPr>
          <w:p w14:paraId="0243CCD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E16886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417AF27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Sporirea expertizei relevante privind reforma pensiilor în cadrul Ministerului Finanțelor prin formarea personalului responsabil în vederea utilizării noului set de instrumente. Obiectivul este de a suplimenta echipa până la 8 experți (personal deja existent, nu este nevoie să se recruteze noi experți) care să se ocupe de reformele pensiilor, țintă care este inclusă în planul național de redresare și reziliență. În acest moment, capacitatea actuală de modelare a Ministerului Finanțelor este foarte limitată, existând un singur expert specializat care lucrează cu modelul set de instrumente de simulare privind opțiunile de reformă a pensiilor (delegatul AWG), care nu a participat la nicio formare profesională pe această temă. După formare, experții din cadrul Ministerului Finanțelor vor fi pe deplin responsabili de acest instrument pentru a putea evalua rapid implicațiile reformelor. </w:t>
            </w:r>
          </w:p>
        </w:tc>
      </w:tr>
      <w:tr w:rsidR="000A27B3" w:rsidRPr="000A27B3" w14:paraId="3735AC4C"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6737CE5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237</w:t>
            </w:r>
          </w:p>
        </w:tc>
        <w:tc>
          <w:tcPr>
            <w:tcW w:w="1833" w:type="dxa"/>
            <w:tcBorders>
              <w:top w:val="nil"/>
              <w:left w:val="nil"/>
              <w:bottom w:val="single" w:sz="4" w:space="0" w:color="auto"/>
              <w:right w:val="single" w:sz="4" w:space="0" w:color="auto"/>
            </w:tcBorders>
            <w:shd w:val="clear" w:color="auto" w:fill="C6EFCE"/>
            <w:noWrap/>
          </w:tcPr>
          <w:p w14:paraId="62F49A1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7. Asistență tehnică pentru revizuirea cadrului fiscal </w:t>
            </w:r>
          </w:p>
        </w:tc>
        <w:tc>
          <w:tcPr>
            <w:tcW w:w="1268" w:type="dxa"/>
            <w:tcBorders>
              <w:top w:val="nil"/>
              <w:left w:val="nil"/>
              <w:bottom w:val="single" w:sz="4" w:space="0" w:color="auto"/>
              <w:right w:val="single" w:sz="4" w:space="0" w:color="auto"/>
            </w:tcBorders>
            <w:shd w:val="clear" w:color="auto" w:fill="C6EFCE"/>
            <w:noWrap/>
          </w:tcPr>
          <w:p w14:paraId="5CC7D85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79C4659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Sistem informatic care permite implementarea unui model automat de evaluare a proprietăților</w:t>
            </w:r>
          </w:p>
        </w:tc>
        <w:tc>
          <w:tcPr>
            <w:tcW w:w="1711" w:type="dxa"/>
            <w:gridSpan w:val="2"/>
            <w:tcBorders>
              <w:top w:val="nil"/>
              <w:left w:val="nil"/>
              <w:bottom w:val="single" w:sz="4" w:space="0" w:color="auto"/>
              <w:right w:val="single" w:sz="4" w:space="0" w:color="auto"/>
            </w:tcBorders>
            <w:shd w:val="clear" w:color="auto" w:fill="C6EFCE"/>
            <w:noWrap/>
          </w:tcPr>
          <w:p w14:paraId="7E7A2AB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Sistem informatic operațional</w:t>
            </w:r>
          </w:p>
        </w:tc>
        <w:tc>
          <w:tcPr>
            <w:tcW w:w="1062" w:type="dxa"/>
            <w:tcBorders>
              <w:top w:val="nil"/>
              <w:left w:val="nil"/>
              <w:bottom w:val="single" w:sz="4" w:space="0" w:color="auto"/>
              <w:right w:val="single" w:sz="4" w:space="0" w:color="auto"/>
            </w:tcBorders>
            <w:shd w:val="clear" w:color="auto" w:fill="C6EFCE"/>
            <w:noWrap/>
          </w:tcPr>
          <w:p w14:paraId="2FC5BF2B"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5043A4DE"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4E18C718"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279AB38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4E5B9F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15" w:type="dxa"/>
            <w:tcBorders>
              <w:top w:val="nil"/>
              <w:left w:val="nil"/>
              <w:bottom w:val="single" w:sz="4" w:space="0" w:color="auto"/>
              <w:right w:val="single" w:sz="4" w:space="0" w:color="auto"/>
            </w:tcBorders>
            <w:shd w:val="clear" w:color="auto" w:fill="C6EFCE"/>
            <w:noWrap/>
          </w:tcPr>
          <w:p w14:paraId="2C1B87C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Sistem informatic dezvoltat și operațional pentru evaluarea proprietăților care fac obiectul impozitelor pe proprietate. Aceste valori se vor utiliza pentru a determina baza fiscală pentru impozitarea proprietăților în cazul în care această abordare va fi disponibilă (cum ar fi suficiente tranzacții disponibile pentru modelul de evaluare automatizat). </w:t>
            </w:r>
          </w:p>
        </w:tc>
      </w:tr>
      <w:tr w:rsidR="000A27B3" w:rsidRPr="000A27B3" w14:paraId="57FD819E"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211FBDD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238</w:t>
            </w:r>
          </w:p>
        </w:tc>
        <w:tc>
          <w:tcPr>
            <w:tcW w:w="1833" w:type="dxa"/>
            <w:tcBorders>
              <w:top w:val="nil"/>
              <w:left w:val="nil"/>
              <w:bottom w:val="single" w:sz="4" w:space="0" w:color="auto"/>
              <w:right w:val="single" w:sz="4" w:space="0" w:color="auto"/>
            </w:tcBorders>
            <w:shd w:val="clear" w:color="auto" w:fill="C6EFCE"/>
            <w:noWrap/>
          </w:tcPr>
          <w:p w14:paraId="59C3DAD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8. Operaționalizarea Băncii Naționale de Dezvoltare</w:t>
            </w:r>
          </w:p>
        </w:tc>
        <w:tc>
          <w:tcPr>
            <w:tcW w:w="1268" w:type="dxa"/>
            <w:tcBorders>
              <w:top w:val="nil"/>
              <w:left w:val="nil"/>
              <w:bottom w:val="single" w:sz="4" w:space="0" w:color="auto"/>
              <w:right w:val="single" w:sz="4" w:space="0" w:color="auto"/>
            </w:tcBorders>
            <w:shd w:val="clear" w:color="auto" w:fill="C6EFCE"/>
            <w:noWrap/>
          </w:tcPr>
          <w:p w14:paraId="49AE76B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450D2EC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Achiziționarea de software (licențe) și hardware (laptopuri), servicii IT pentru personal, cursuri de formare pentru personalul Băncii Naționale de Dezvoltare și pentru personalul Ministerului Finanțelor.</w:t>
            </w:r>
          </w:p>
        </w:tc>
        <w:tc>
          <w:tcPr>
            <w:tcW w:w="1711" w:type="dxa"/>
            <w:gridSpan w:val="2"/>
            <w:tcBorders>
              <w:top w:val="nil"/>
              <w:left w:val="nil"/>
              <w:bottom w:val="single" w:sz="4" w:space="0" w:color="auto"/>
              <w:right w:val="single" w:sz="4" w:space="0" w:color="auto"/>
            </w:tcBorders>
            <w:shd w:val="clear" w:color="auto" w:fill="C6EFCE"/>
            <w:noWrap/>
          </w:tcPr>
          <w:p w14:paraId="25C99D5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Contracte de achiziție semnate</w:t>
            </w:r>
          </w:p>
        </w:tc>
        <w:tc>
          <w:tcPr>
            <w:tcW w:w="1062" w:type="dxa"/>
            <w:tcBorders>
              <w:top w:val="nil"/>
              <w:left w:val="nil"/>
              <w:bottom w:val="single" w:sz="4" w:space="0" w:color="auto"/>
              <w:right w:val="single" w:sz="4" w:space="0" w:color="auto"/>
            </w:tcBorders>
            <w:shd w:val="clear" w:color="auto" w:fill="C6EFCE"/>
            <w:noWrap/>
          </w:tcPr>
          <w:p w14:paraId="42A683F3" w14:textId="77777777" w:rsidR="00500CF9" w:rsidRPr="000A27B3" w:rsidRDefault="00500CF9">
            <w:pPr>
              <w:spacing w:after="0" w:line="240" w:lineRule="auto"/>
              <w:rPr>
                <w:rFonts w:ascii="Times New Roman" w:hAnsi="Times New Roman" w:cs="Times New Roman"/>
                <w:noProof/>
                <w:sz w:val="24"/>
                <w:szCs w:val="24"/>
                <w:lang w:val="en-GB"/>
              </w:rPr>
            </w:pPr>
          </w:p>
        </w:tc>
        <w:tc>
          <w:tcPr>
            <w:tcW w:w="1129" w:type="dxa"/>
            <w:tcBorders>
              <w:top w:val="nil"/>
              <w:left w:val="nil"/>
              <w:bottom w:val="single" w:sz="4" w:space="0" w:color="auto"/>
              <w:right w:val="single" w:sz="4" w:space="0" w:color="auto"/>
            </w:tcBorders>
            <w:shd w:val="clear" w:color="auto" w:fill="C6EFCE"/>
            <w:noWrap/>
          </w:tcPr>
          <w:p w14:paraId="0920DD98" w14:textId="77777777" w:rsidR="00500CF9" w:rsidRPr="000A27B3" w:rsidRDefault="00500CF9">
            <w:pPr>
              <w:spacing w:after="0" w:line="240" w:lineRule="auto"/>
              <w:rPr>
                <w:rFonts w:ascii="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4CE1BB4D" w14:textId="77777777" w:rsidR="00500CF9" w:rsidRPr="000A27B3" w:rsidRDefault="00500CF9">
            <w:pPr>
              <w:spacing w:after="0" w:line="240" w:lineRule="auto"/>
              <w:rPr>
                <w:rFonts w:ascii="Times New Roman" w:hAnsi="Times New Roman" w:cs="Times New Roman"/>
                <w:noProof/>
                <w:sz w:val="24"/>
                <w:szCs w:val="24"/>
                <w:lang w:val="en-GB"/>
              </w:rPr>
            </w:pPr>
          </w:p>
        </w:tc>
        <w:tc>
          <w:tcPr>
            <w:tcW w:w="1340" w:type="dxa"/>
            <w:tcBorders>
              <w:top w:val="nil"/>
              <w:left w:val="nil"/>
              <w:bottom w:val="single" w:sz="4" w:space="0" w:color="auto"/>
              <w:right w:val="single" w:sz="4" w:space="0" w:color="auto"/>
            </w:tcBorders>
            <w:shd w:val="clear" w:color="auto" w:fill="C6EFCE"/>
            <w:noWrap/>
          </w:tcPr>
          <w:p w14:paraId="0ADB63D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1D9149E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tcPr>
          <w:p w14:paraId="69CC075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Contractarea achiziționării de: </w:t>
            </w:r>
          </w:p>
          <w:p w14:paraId="534377B1" w14:textId="77777777" w:rsidR="00500CF9" w:rsidRPr="000A27B3" w:rsidRDefault="00500CF9" w:rsidP="00500CF9">
            <w:pPr>
              <w:numPr>
                <w:ilvl w:val="0"/>
                <w:numId w:val="62"/>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 xml:space="preserve">software (licențe) și hardware (laptopuri); </w:t>
            </w:r>
          </w:p>
          <w:p w14:paraId="5E539345" w14:textId="77777777" w:rsidR="00500CF9" w:rsidRPr="000A27B3" w:rsidRDefault="00500CF9" w:rsidP="00500CF9">
            <w:pPr>
              <w:numPr>
                <w:ilvl w:val="0"/>
                <w:numId w:val="62"/>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serviciile IT pentru personal au fost estimate inițial la aproximativ 165 de persoane;</w:t>
            </w:r>
          </w:p>
          <w:p w14:paraId="4745B354" w14:textId="77777777" w:rsidR="00500CF9" w:rsidRPr="000A27B3" w:rsidRDefault="00500CF9" w:rsidP="00500CF9">
            <w:pPr>
              <w:numPr>
                <w:ilvl w:val="0"/>
                <w:numId w:val="62"/>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serviciu de formare a personalului Băncii Naționale de Dezvoltare în vederea derulării operațiunilor și a personalului Ministerului Finanțelor implicat în evaluarea performanței băncii.</w:t>
            </w:r>
          </w:p>
        </w:tc>
      </w:tr>
      <w:tr w:rsidR="000A27B3" w:rsidRPr="000A27B3" w14:paraId="0F2373DF"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33627E0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239</w:t>
            </w:r>
          </w:p>
        </w:tc>
        <w:tc>
          <w:tcPr>
            <w:tcW w:w="1833" w:type="dxa"/>
            <w:tcBorders>
              <w:top w:val="nil"/>
              <w:left w:val="nil"/>
              <w:bottom w:val="single" w:sz="4" w:space="0" w:color="auto"/>
              <w:right w:val="single" w:sz="4" w:space="0" w:color="auto"/>
            </w:tcBorders>
            <w:shd w:val="clear" w:color="auto" w:fill="C6EFCE"/>
            <w:noWrap/>
          </w:tcPr>
          <w:p w14:paraId="64891D5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9. Susținerea procesului de evaluare a dosarelor de pensii aflate în plată </w:t>
            </w:r>
          </w:p>
        </w:tc>
        <w:tc>
          <w:tcPr>
            <w:tcW w:w="1268" w:type="dxa"/>
            <w:tcBorders>
              <w:top w:val="nil"/>
              <w:left w:val="nil"/>
              <w:bottom w:val="single" w:sz="4" w:space="0" w:color="auto"/>
              <w:right w:val="single" w:sz="4" w:space="0" w:color="auto"/>
            </w:tcBorders>
            <w:shd w:val="clear" w:color="auto" w:fill="C6EFCE"/>
            <w:noWrap/>
          </w:tcPr>
          <w:p w14:paraId="7B37942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1E3B9E8C"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Toate dosarele de pensii recalculate</w:t>
            </w:r>
          </w:p>
        </w:tc>
        <w:tc>
          <w:tcPr>
            <w:tcW w:w="1711" w:type="dxa"/>
            <w:gridSpan w:val="2"/>
            <w:tcBorders>
              <w:top w:val="nil"/>
              <w:left w:val="nil"/>
              <w:bottom w:val="single" w:sz="4" w:space="0" w:color="auto"/>
              <w:right w:val="single" w:sz="4" w:space="0" w:color="auto"/>
            </w:tcBorders>
            <w:shd w:val="clear" w:color="auto" w:fill="C6EFCE"/>
            <w:noWrap/>
          </w:tcPr>
          <w:p w14:paraId="703E166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Toate dosarele de pensii recalculate</w:t>
            </w:r>
          </w:p>
        </w:tc>
        <w:tc>
          <w:tcPr>
            <w:tcW w:w="1062" w:type="dxa"/>
            <w:tcBorders>
              <w:top w:val="nil"/>
              <w:left w:val="nil"/>
              <w:bottom w:val="single" w:sz="4" w:space="0" w:color="auto"/>
              <w:right w:val="single" w:sz="4" w:space="0" w:color="auto"/>
            </w:tcBorders>
            <w:shd w:val="clear" w:color="auto" w:fill="C6EFCE"/>
            <w:noWrap/>
          </w:tcPr>
          <w:p w14:paraId="18EF754C" w14:textId="77777777" w:rsidR="00500CF9" w:rsidRPr="009F1DC7" w:rsidRDefault="00500CF9">
            <w:pPr>
              <w:spacing w:after="0" w:line="240" w:lineRule="auto"/>
              <w:rPr>
                <w:rFonts w:ascii="Times New Roman" w:eastAsia="Times New Roman" w:hAnsi="Times New Roman" w:cs="Times New Roman"/>
                <w:noProof/>
                <w:sz w:val="24"/>
                <w:szCs w:val="24"/>
                <w:lang w:val="fr-FR" w:eastAsia="en-GB"/>
              </w:rPr>
            </w:pPr>
          </w:p>
        </w:tc>
        <w:tc>
          <w:tcPr>
            <w:tcW w:w="1129" w:type="dxa"/>
            <w:tcBorders>
              <w:top w:val="nil"/>
              <w:left w:val="nil"/>
              <w:bottom w:val="single" w:sz="4" w:space="0" w:color="auto"/>
              <w:right w:val="single" w:sz="4" w:space="0" w:color="auto"/>
            </w:tcBorders>
            <w:shd w:val="clear" w:color="auto" w:fill="C6EFCE"/>
            <w:noWrap/>
          </w:tcPr>
          <w:p w14:paraId="3573977D" w14:textId="77777777" w:rsidR="00500CF9" w:rsidRPr="009F1DC7" w:rsidRDefault="00500CF9">
            <w:pPr>
              <w:spacing w:after="0" w:line="240" w:lineRule="auto"/>
              <w:rPr>
                <w:rFonts w:ascii="Times New Roman" w:eastAsia="Times New Roman" w:hAnsi="Times New Roman" w:cs="Times New Roman"/>
                <w:noProof/>
                <w:sz w:val="24"/>
                <w:szCs w:val="24"/>
                <w:lang w:val="fr-FR" w:eastAsia="en-GB"/>
              </w:rPr>
            </w:pPr>
          </w:p>
        </w:tc>
        <w:tc>
          <w:tcPr>
            <w:tcW w:w="1269" w:type="dxa"/>
            <w:tcBorders>
              <w:top w:val="nil"/>
              <w:left w:val="nil"/>
              <w:bottom w:val="single" w:sz="4" w:space="0" w:color="auto"/>
              <w:right w:val="single" w:sz="4" w:space="0" w:color="auto"/>
            </w:tcBorders>
            <w:shd w:val="clear" w:color="auto" w:fill="C6EFCE"/>
            <w:noWrap/>
          </w:tcPr>
          <w:p w14:paraId="2E8756B3" w14:textId="77777777" w:rsidR="00500CF9" w:rsidRPr="009F1DC7" w:rsidRDefault="00500CF9">
            <w:pPr>
              <w:spacing w:after="0" w:line="240" w:lineRule="auto"/>
              <w:rPr>
                <w:rFonts w:ascii="Times New Roman" w:eastAsia="Times New Roman" w:hAnsi="Times New Roman" w:cs="Times New Roman"/>
                <w:noProof/>
                <w:sz w:val="24"/>
                <w:szCs w:val="24"/>
                <w:lang w:val="fr-FR" w:eastAsia="en-GB"/>
              </w:rPr>
            </w:pPr>
          </w:p>
        </w:tc>
        <w:tc>
          <w:tcPr>
            <w:tcW w:w="1340" w:type="dxa"/>
            <w:tcBorders>
              <w:top w:val="nil"/>
              <w:left w:val="nil"/>
              <w:bottom w:val="single" w:sz="4" w:space="0" w:color="auto"/>
              <w:right w:val="single" w:sz="4" w:space="0" w:color="auto"/>
            </w:tcBorders>
            <w:shd w:val="clear" w:color="auto" w:fill="C6EFCE"/>
            <w:noWrap/>
          </w:tcPr>
          <w:p w14:paraId="1915E50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77FFE26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15" w:type="dxa"/>
            <w:tcBorders>
              <w:top w:val="nil"/>
              <w:left w:val="nil"/>
              <w:bottom w:val="single" w:sz="4" w:space="0" w:color="auto"/>
              <w:right w:val="single" w:sz="4" w:space="0" w:color="auto"/>
            </w:tcBorders>
            <w:shd w:val="clear" w:color="auto" w:fill="C6EFCE"/>
            <w:noWrap/>
          </w:tcPr>
          <w:p w14:paraId="2E9D97B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Toate dosarele de pensii au fost recalculate pe baza noii legi a pensiilor, care a intrat în vigoare la 1/4/2023 (jalonul 214)</w:t>
            </w:r>
          </w:p>
          <w:p w14:paraId="6ED1D23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Guvernul trimite tuturor cetățenilor, prin poștă, o decizie privind rezultatul recalculării până la data atingerii obiectivului.</w:t>
            </w:r>
          </w:p>
          <w:p w14:paraId="0279A10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Vor fi angajați agenți temporari pe o perioadă de 18 luni pentru a sprijini realizarea acestei reforme. Personalul implicat în activitatea de recalculare/evaluare a pensiilor va fi salarizat potrivit prevederilor Legii-Cadru nr.153/2017 privind salarizarea personalului plătit din fonduri publice, cu modificările și completările ulterioare - Anexa VIII - Salarii pentru personalul din unitățile teritoriale.</w:t>
            </w:r>
          </w:p>
        </w:tc>
      </w:tr>
      <w:tr w:rsidR="000A27B3" w:rsidRPr="000A27B3" w14:paraId="43BFD8AA" w14:textId="77777777" w:rsidTr="00B2280C">
        <w:trPr>
          <w:trHeight w:val="309"/>
          <w:jc w:val="center"/>
        </w:trPr>
        <w:tc>
          <w:tcPr>
            <w:tcW w:w="842" w:type="dxa"/>
            <w:tcBorders>
              <w:top w:val="nil"/>
              <w:left w:val="single" w:sz="4" w:space="0" w:color="auto"/>
              <w:bottom w:val="single" w:sz="4" w:space="0" w:color="auto"/>
              <w:right w:val="single" w:sz="4" w:space="0" w:color="auto"/>
            </w:tcBorders>
            <w:shd w:val="clear" w:color="auto" w:fill="C6EFCE"/>
            <w:noWrap/>
          </w:tcPr>
          <w:p w14:paraId="5E20DBD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240</w:t>
            </w:r>
          </w:p>
        </w:tc>
        <w:tc>
          <w:tcPr>
            <w:tcW w:w="1833" w:type="dxa"/>
            <w:tcBorders>
              <w:top w:val="nil"/>
              <w:left w:val="nil"/>
              <w:bottom w:val="single" w:sz="4" w:space="0" w:color="auto"/>
              <w:right w:val="single" w:sz="4" w:space="0" w:color="auto"/>
            </w:tcBorders>
            <w:shd w:val="clear" w:color="auto" w:fill="C6EFCE"/>
            <w:noWrap/>
          </w:tcPr>
          <w:p w14:paraId="2D9E05C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10. Eficiență operațională și servicii electronice avansate pentru sistemul național de pensii prin digitalizare</w:t>
            </w:r>
          </w:p>
        </w:tc>
        <w:tc>
          <w:tcPr>
            <w:tcW w:w="1268" w:type="dxa"/>
            <w:tcBorders>
              <w:top w:val="nil"/>
              <w:left w:val="nil"/>
              <w:bottom w:val="single" w:sz="4" w:space="0" w:color="auto"/>
              <w:right w:val="single" w:sz="4" w:space="0" w:color="auto"/>
            </w:tcBorders>
            <w:shd w:val="clear" w:color="auto" w:fill="C6EFCE"/>
            <w:noWrap/>
          </w:tcPr>
          <w:p w14:paraId="2250216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41" w:type="dxa"/>
            <w:tcBorders>
              <w:top w:val="nil"/>
              <w:left w:val="nil"/>
              <w:bottom w:val="single" w:sz="4" w:space="0" w:color="auto"/>
              <w:right w:val="single" w:sz="4" w:space="0" w:color="auto"/>
            </w:tcBorders>
            <w:shd w:val="clear" w:color="auto" w:fill="C6EFCE"/>
            <w:noWrap/>
          </w:tcPr>
          <w:p w14:paraId="771EF151" w14:textId="77777777" w:rsidR="00500CF9" w:rsidRPr="000A27B3" w:rsidRDefault="00500CF9">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Sistemul informatic din cadrul Casei Naționale de Pensii Publice este operațional </w:t>
            </w:r>
          </w:p>
        </w:tc>
        <w:tc>
          <w:tcPr>
            <w:tcW w:w="1711" w:type="dxa"/>
            <w:gridSpan w:val="2"/>
            <w:tcBorders>
              <w:top w:val="nil"/>
              <w:left w:val="nil"/>
              <w:bottom w:val="single" w:sz="4" w:space="0" w:color="auto"/>
              <w:right w:val="single" w:sz="4" w:space="0" w:color="auto"/>
            </w:tcBorders>
            <w:shd w:val="clear" w:color="auto" w:fill="C6EFCE"/>
            <w:noWrap/>
          </w:tcPr>
          <w:p w14:paraId="791C9C6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Sistem IT operațional</w:t>
            </w:r>
          </w:p>
        </w:tc>
        <w:tc>
          <w:tcPr>
            <w:tcW w:w="1062" w:type="dxa"/>
            <w:tcBorders>
              <w:top w:val="nil"/>
              <w:left w:val="nil"/>
              <w:bottom w:val="single" w:sz="4" w:space="0" w:color="auto"/>
              <w:right w:val="single" w:sz="4" w:space="0" w:color="auto"/>
            </w:tcBorders>
            <w:shd w:val="clear" w:color="auto" w:fill="C6EFCE"/>
            <w:noWrap/>
          </w:tcPr>
          <w:p w14:paraId="59A8C527"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129" w:type="dxa"/>
            <w:tcBorders>
              <w:top w:val="nil"/>
              <w:left w:val="nil"/>
              <w:bottom w:val="single" w:sz="4" w:space="0" w:color="auto"/>
              <w:right w:val="single" w:sz="4" w:space="0" w:color="auto"/>
            </w:tcBorders>
            <w:shd w:val="clear" w:color="auto" w:fill="C6EFCE"/>
            <w:noWrap/>
          </w:tcPr>
          <w:p w14:paraId="3AA049C0"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323A29C3" w14:textId="77777777" w:rsidR="00500CF9" w:rsidRPr="000A27B3" w:rsidRDefault="00500CF9">
            <w:pPr>
              <w:spacing w:after="0" w:line="240" w:lineRule="auto"/>
              <w:rPr>
                <w:rFonts w:ascii="Times New Roman" w:eastAsia="Times New Roman" w:hAnsi="Times New Roman" w:cs="Times New Roman"/>
                <w:noProof/>
                <w:sz w:val="24"/>
                <w:szCs w:val="24"/>
                <w:lang w:val="en-GB" w:eastAsia="en-GB"/>
              </w:rPr>
            </w:pPr>
          </w:p>
        </w:tc>
        <w:tc>
          <w:tcPr>
            <w:tcW w:w="1340" w:type="dxa"/>
            <w:tcBorders>
              <w:top w:val="nil"/>
              <w:left w:val="nil"/>
              <w:bottom w:val="single" w:sz="4" w:space="0" w:color="auto"/>
              <w:right w:val="single" w:sz="4" w:space="0" w:color="auto"/>
            </w:tcBorders>
            <w:shd w:val="clear" w:color="auto" w:fill="C6EFCE"/>
            <w:noWrap/>
          </w:tcPr>
          <w:p w14:paraId="7C60DD9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2B224CE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15" w:type="dxa"/>
            <w:tcBorders>
              <w:top w:val="nil"/>
              <w:left w:val="nil"/>
              <w:bottom w:val="single" w:sz="4" w:space="0" w:color="auto"/>
              <w:right w:val="single" w:sz="4" w:space="0" w:color="auto"/>
            </w:tcBorders>
            <w:shd w:val="clear" w:color="auto" w:fill="C6EFCE"/>
            <w:noWrap/>
          </w:tcPr>
          <w:p w14:paraId="5DEC88B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Implementarea unui sistem informatic în cadrul Casei Naționale de Pensii Publice (CNPP)</w:t>
            </w:r>
          </w:p>
          <w:p w14:paraId="5644BB2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Noul sistem informatic va cuprinde o serie de componente care funcționează în mod integrat și centralizat, după cum urmează:</w:t>
            </w:r>
          </w:p>
          <w:p w14:paraId="25CD9520" w14:textId="77777777" w:rsidR="00500CF9" w:rsidRPr="000A27B3" w:rsidRDefault="00500CF9" w:rsidP="00500CF9">
            <w:pPr>
              <w:numPr>
                <w:ilvl w:val="0"/>
                <w:numId w:val="65"/>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Portal – Componenta de comunicare cu persoane publice, care furnizează setul actual de servicii electronice, precum și un nou set de funcționalități:</w:t>
            </w:r>
          </w:p>
          <w:p w14:paraId="5ADEB60E" w14:textId="77777777" w:rsidR="00500CF9" w:rsidRPr="000A27B3" w:rsidRDefault="00500CF9" w:rsidP="00500CF9">
            <w:pPr>
              <w:numPr>
                <w:ilvl w:val="0"/>
                <w:numId w:val="65"/>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Servicii electronice în domeniul pensiilor și al altor drepturi de asigurări sociale;</w:t>
            </w:r>
          </w:p>
          <w:p w14:paraId="2CFB113A" w14:textId="77777777" w:rsidR="00500CF9" w:rsidRPr="000A27B3" w:rsidRDefault="00500CF9" w:rsidP="00500CF9">
            <w:pPr>
              <w:numPr>
                <w:ilvl w:val="0"/>
                <w:numId w:val="65"/>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Serviciu electronic pentru completarea cererii de emitere de bilete de tratament și servicii electronice în zona de înregistrare a contribuabililor</w:t>
            </w:r>
          </w:p>
          <w:p w14:paraId="36D0A541" w14:textId="77777777" w:rsidR="00500CF9" w:rsidRPr="000A27B3" w:rsidRDefault="00500CF9" w:rsidP="00500CF9">
            <w:pPr>
              <w:numPr>
                <w:ilvl w:val="0"/>
                <w:numId w:val="65"/>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Servicii electronice în domeniul accidentelor de muncă și al bolilor profesionale</w:t>
            </w:r>
          </w:p>
          <w:p w14:paraId="7D607784" w14:textId="77777777" w:rsidR="00500CF9" w:rsidRPr="000A27B3" w:rsidRDefault="00500CF9" w:rsidP="00500CF9">
            <w:pPr>
              <w:numPr>
                <w:ilvl w:val="0"/>
                <w:numId w:val="65"/>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aplicația „e-Talon”</w:t>
            </w:r>
          </w:p>
          <w:p w14:paraId="78D5F909" w14:textId="77777777" w:rsidR="00500CF9" w:rsidRPr="000A27B3" w:rsidRDefault="00500CF9" w:rsidP="00500CF9">
            <w:pPr>
              <w:numPr>
                <w:ilvl w:val="0"/>
                <w:numId w:val="65"/>
              </w:numPr>
              <w:spacing w:before="120" w:after="0"/>
              <w:ind w:left="224" w:hanging="218"/>
              <w:contextualSpacing/>
              <w:jc w:val="both"/>
              <w:rPr>
                <w:rFonts w:ascii="Times New Roman" w:hAnsi="Times New Roman" w:cs="Times New Roman"/>
                <w:noProof/>
                <w:sz w:val="24"/>
                <w:szCs w:val="24"/>
              </w:rPr>
            </w:pPr>
            <w:r>
              <w:rPr>
                <w:rFonts w:ascii="Times New Roman" w:hAnsi="Times New Roman"/>
                <w:noProof/>
                <w:sz w:val="24"/>
              </w:rPr>
              <w:t>care va genera automat cuponul lunar de pensie în format electronic și tipărit pentru toți pensionarii activi</w:t>
            </w:r>
          </w:p>
        </w:tc>
      </w:tr>
    </w:tbl>
    <w:p w14:paraId="31E7B81E" w14:textId="77777777" w:rsidR="00500CF9" w:rsidRPr="009F1DC7" w:rsidRDefault="00500CF9">
      <w:pPr>
        <w:rPr>
          <w:noProof/>
          <w:lang w:val="fr-FR"/>
        </w:rPr>
        <w:sectPr w:rsidR="00500CF9" w:rsidRPr="009F1DC7">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418" w:right="1134" w:bottom="1418" w:left="1134" w:header="709" w:footer="709" w:gutter="0"/>
          <w:cols w:space="720"/>
          <w:docGrid w:linePitch="360"/>
        </w:sectPr>
      </w:pPr>
    </w:p>
    <w:p w14:paraId="19B1A0AD" w14:textId="77777777" w:rsidR="00500CF9" w:rsidRPr="000A27B3" w:rsidRDefault="00500CF9" w:rsidP="00500CF9">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9: Suport pentru sectorul privat, cercetare, dezvoltare și inovare</w:t>
      </w:r>
    </w:p>
    <w:p w14:paraId="4E6DBB74"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include o serie de reforme și investiții menite să consolideze mediul de afaceri din România, inclusiv sectorul cercetării, dezvoltării și inovării. </w:t>
      </w:r>
    </w:p>
    <w:p w14:paraId="62BD2A3B" w14:textId="14620DE4"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acestei componente este de a sprijini întreprinderile din România, în special întreprinderile mici și mijlocii, precum și organizațiile publice care desfășoară activități de cercetare, dezvoltare și inovare. Reformele care sprijină investițiile includ modificări normative menite să reducă sarcina administrativă pentru întreprinderi prin simplificarea legislației/procedurilor de înființare/ieșire și de obținere de licențe. Reformele abordează, de asemenea, guvernanța neclară, fragmentarea și eficacitatea sistemului de cercetare, dezvoltare și inovare și promovează cooperarea acestuia cu sectorul privat. Investițiile se referă la crearea unei platforme digitale pentru furnizarea de servicii publice simplificate pentru întreprinderi, inclusiv pentru obținerea de licențe, accesul la finanțare pentru întreprinderile mici și mijlocii și pentru alte întreprinderi prin instrumente financiare și granturi. Investițiile complementare sunt legate de finanțarea centrelor de competență în cercetare și a proiectelor de cercetare conduse de cercetători renumiți la nivel internațional.</w:t>
      </w:r>
      <w:r w:rsidR="004C4C72">
        <w:rPr>
          <w:rFonts w:ascii="Times New Roman" w:hAnsi="Times New Roman"/>
          <w:noProof/>
          <w:sz w:val="24"/>
        </w:rPr>
        <w:t xml:space="preserve"> </w:t>
      </w:r>
    </w:p>
    <w:p w14:paraId="0E09F227"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Reformele și investițiile vor contribui la abordarea recomandării specifice adresate României în 2019 și 2020 cu privire la necesitatea de a îmbunătăți calitatea și previzibilitatea procesului decizional (recomandarea specifică țării 5, 2019) și la avansarea proiectelor de investiții publice mature care promovează competitivitatea economiei, cum ar fi sprijinirea activităților de cercetare și dezvoltare și integrarea furnizorilor locali în lanțurile valorice strategice ale UE (recomandarea specifică țării 3, 2020).</w:t>
      </w:r>
    </w:p>
    <w:p w14:paraId="2E9B780B"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1D59087A" w14:textId="77777777" w:rsidR="00500CF9" w:rsidRPr="000A27B3" w:rsidRDefault="00500CF9">
      <w:pPr>
        <w:keepNext/>
        <w:numPr>
          <w:ilvl w:val="1"/>
          <w:numId w:val="0"/>
        </w:numPr>
        <w:spacing w:before="120" w:after="120" w:line="240" w:lineRule="auto"/>
        <w:ind w:left="850" w:hanging="850"/>
        <w:jc w:val="both"/>
        <w:outlineLvl w:val="1"/>
        <w:rPr>
          <w:rFonts w:ascii="Times New Roman" w:eastAsiaTheme="majorEastAsia" w:hAnsi="Times New Roman" w:cs="Times New Roman"/>
          <w:b/>
          <w:bCs/>
          <w:noProof/>
          <w:sz w:val="24"/>
          <w:szCs w:val="26"/>
        </w:rPr>
      </w:pPr>
      <w:r>
        <w:rPr>
          <w:rFonts w:ascii="Times New Roman" w:hAnsi="Times New Roman"/>
          <w:b/>
          <w:noProof/>
          <w:sz w:val="24"/>
        </w:rPr>
        <w:t xml:space="preserve">I.1. </w:t>
      </w:r>
      <w:r>
        <w:rPr>
          <w:noProof/>
        </w:rPr>
        <w:tab/>
      </w:r>
      <w:r>
        <w:rPr>
          <w:rFonts w:ascii="Times New Roman" w:hAnsi="Times New Roman"/>
          <w:b/>
          <w:noProof/>
          <w:sz w:val="24"/>
        </w:rPr>
        <w:t>Descrierea reformelor și a investițiilor pentru care se prevede acordarea de împrumuturi</w:t>
      </w:r>
    </w:p>
    <w:p w14:paraId="7BA6F8EC" w14:textId="37A2B189"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Reforma 1. Transparență legislativă, debirocratizare și simplificare procedurală destinate mediului de afaceri</w:t>
      </w:r>
    </w:p>
    <w:p w14:paraId="4FA87650"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reforme este de a reduce sarcina administrativă pentru întreprinderi prin simplificarea și sporirea transparenței procedurilor reglementare pentru întreprinderi. </w:t>
      </w:r>
    </w:p>
    <w:p w14:paraId="0CCFA937"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Reforma va fi realizată prin intrarea în vigoare a trei grupuri diferite de inițiative/modificări legislative: în primul rând, intrarea în vigoare a modificărilor legislative menite să raționalizeze, să simplifice și să digitalizeze pe deplin cerințele reglementare impuse întreprinderilor, în special în ceea ce privește înființarea unei întreprinderi, ieșirea de pe piață/închiderea unei întreprinderi, precum și cerințele reglementare legate de raportarea de către întreprinderi a obligațiilor lor pe piața muncii; în al doilea rând, intrarea în vigoare a modificărilor legislative legate de </w:t>
      </w:r>
      <w:r>
        <w:rPr>
          <w:rFonts w:ascii="Times New Roman" w:hAnsi="Times New Roman"/>
          <w:i/>
          <w:noProof/>
          <w:sz w:val="24"/>
        </w:rPr>
        <w:t>testul IMM</w:t>
      </w:r>
      <w:r>
        <w:rPr>
          <w:rFonts w:ascii="Times New Roman" w:hAnsi="Times New Roman"/>
          <w:noProof/>
          <w:sz w:val="24"/>
        </w:rPr>
        <w:t xml:space="preserve"> (evaluarea</w:t>
      </w:r>
      <w:r>
        <w:rPr>
          <w:rFonts w:ascii="Times New Roman" w:hAnsi="Times New Roman"/>
          <w:i/>
          <w:noProof/>
          <w:sz w:val="24"/>
        </w:rPr>
        <w:t xml:space="preserve"> ex ante</w:t>
      </w:r>
      <w:r>
        <w:rPr>
          <w:rFonts w:ascii="Times New Roman" w:hAnsi="Times New Roman"/>
          <w:noProof/>
          <w:sz w:val="24"/>
        </w:rPr>
        <w:t xml:space="preserve"> a impactului economic, social și de mediu al propunerilor legislative privind întreprinderile mici și mijlocii); în al treilea rând, intrarea în vigoare a legii de punere în aplicare a regimului unic de acordare a licențelor industriale, care va asigura efectiv respectarea, printre altele, a aprobării tacite (tăcerea implicând consimțământul) pentru anumite tipuri de licențe după înregistrarea acestora pe platforma electronică, adoptarea principiului „doar o singură dată”, care permite întreprinderilor să fie obligate să furnizeze instituțiilor publice aceleași informații sau documente numai o singură dată, precum și adoptarea modificărilor legislative necesare pentru implementarea deplină a unui Punct de contact unic electronic, care includ o definiție a caracteristicilor sale principale. </w:t>
      </w:r>
    </w:p>
    <w:p w14:paraId="159B67C4" w14:textId="2B2E17D0"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va fi finalizată până la 31 decembrie 2025. Modificările legislative menite să raționalizeze, să simplifice și să digitalizeze integral procedurile comerciale vor intra în vigoare până la 30 septembrie 2022, iar cele privind „licența industrială unică”, până la 31</w:t>
      </w:r>
      <w:r w:rsidR="00ED2A55">
        <w:rPr>
          <w:rFonts w:ascii="Times New Roman" w:hAnsi="Times New Roman"/>
          <w:noProof/>
          <w:sz w:val="24"/>
        </w:rPr>
        <w:t> </w:t>
      </w:r>
      <w:r>
        <w:rPr>
          <w:rFonts w:ascii="Times New Roman" w:hAnsi="Times New Roman"/>
          <w:noProof/>
          <w:sz w:val="24"/>
        </w:rPr>
        <w:t>decembrie 2022.</w:t>
      </w:r>
    </w:p>
    <w:p w14:paraId="05E89A4E"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1 Platforme digitale privind transparența legislativă, debirocratizarea și simplificarea procedurală destinate mediului de afaceri.</w:t>
      </w:r>
    </w:p>
    <w:p w14:paraId="47745C7B" w14:textId="77777777" w:rsidR="00500CF9" w:rsidRPr="000A27B3" w:rsidRDefault="00500CF9">
      <w:pPr>
        <w:spacing w:before="120" w:after="120" w:line="240" w:lineRule="auto"/>
        <w:jc w:val="both"/>
        <w:rPr>
          <w:rFonts w:ascii="Times New Roman" w:eastAsiaTheme="majorEastAsia" w:hAnsi="Times New Roman" w:cs="Times New Roman"/>
          <w:noProof/>
          <w:sz w:val="24"/>
        </w:rPr>
      </w:pPr>
      <w:r>
        <w:rPr>
          <w:rFonts w:ascii="Times New Roman" w:hAnsi="Times New Roman"/>
          <w:noProof/>
          <w:sz w:val="24"/>
        </w:rPr>
        <w:t xml:space="preserve">Obiectivul acestei investiții este de a le oferi întreprinderilor acces digital integral și posibilitatea de a desfășura operațiuni legate de anumite cerințe reglementare specifice pentru întreprinderi. </w:t>
      </w:r>
    </w:p>
    <w:p w14:paraId="423BBF31" w14:textId="46E8B0A7" w:rsidR="001A42A3" w:rsidRPr="000A27B3" w:rsidRDefault="001A42A3">
      <w:pPr>
        <w:spacing w:before="120" w:after="120" w:line="240" w:lineRule="auto"/>
        <w:jc w:val="both"/>
        <w:rPr>
          <w:rFonts w:ascii="Times New Roman" w:hAnsi="Times New Roman"/>
          <w:noProof/>
          <w:sz w:val="24"/>
        </w:rPr>
      </w:pPr>
      <w:r>
        <w:rPr>
          <w:rFonts w:ascii="Times New Roman" w:hAnsi="Times New Roman"/>
          <w:noProof/>
          <w:sz w:val="24"/>
        </w:rPr>
        <w:t>Investiția constă în crearea și în operaționalizarea deplină a unor platforme digitale publice pentru a furniza servicii publice întreprinderilor. Platformele digitale sunt legate de introducerea unui ghișeu unic pentru licențe/autorizații/certificări și de stimularea competitivității mediului de afaceri.</w:t>
      </w:r>
    </w:p>
    <w:p w14:paraId="40314D75" w14:textId="42398F0E"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2025.</w:t>
      </w:r>
    </w:p>
    <w:p w14:paraId="3E754AB6"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2 – Instrumente financiare pentru sectorul privat</w:t>
      </w:r>
    </w:p>
    <w:p w14:paraId="34BFED5A" w14:textId="77777777"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Subcomponenta 2.1: Garanția de portofoliu pentru Reziliență</w:t>
      </w:r>
    </w:p>
    <w:p w14:paraId="4201693E"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subinvestiții este de a aborda obstacolele financiare cu care se confruntă întreprinderile românești în ceea ce privește accesul la finanțare, și anume: costul ridicat al finanțării, lipsa garanțiilor și canalele de împrumut blocate. În special, subcomponenta de investiții abordează provocările în materie de lichiditate/solvabilitate cu care se confruntă întreprinderile românești, care decurg din reducerea semnificativă și temporară a veniturilor lor, ca urmare a crizei provocate de pandemia de COVID-19. În acest context, instrumentul va urmări îmbunătățirea accesului la finanțare și revitalizarea canalelor de împrumut blocate în timpul și după criza COVID-19, prin sprijinirea investițiilor pe termen lung și a nevoilor de capital de lucru ale întreprinderilor. Investiția va lua forma unei garanții de portofoliu, care urmează să fie implementată ca o contribuție la InvestEU din partea Fondului European de Investiții („FEI”). </w:t>
      </w:r>
    </w:p>
    <w:p w14:paraId="4B2F374E"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Pentru a se asigura conformitatea subcomponentei cu Orientările tehnice privind aplicarea principiului de „a nu aduce prejudicii semnificative” (2021/C58/01), în acordul de contribuție dintre Comisia Europeană și Guvernul României va fi prevăzută obligația aplicării Orientărilor tehnice ale Comisiei referitoare la evaluarea sustenabilității Fondului InvestEU. În plus, acordul de garantare dintre Comisia Europeană și FEI va exclude de la eligibilitate următoarele activități și active: (i) activități și active legate de combustibili fosili, inclusiv utilizarea în aval</w:t>
      </w:r>
      <w:r w:rsidRPr="000A27B3">
        <w:rPr>
          <w:rFonts w:ascii="Times New Roman" w:hAnsi="Times New Roman" w:cs="Times New Roman"/>
          <w:noProof/>
          <w:sz w:val="24"/>
          <w:vertAlign w:val="superscript"/>
          <w:lang w:val="en-GB"/>
        </w:rPr>
        <w:footnoteReference w:id="19"/>
      </w:r>
      <w:r>
        <w:rPr>
          <w:rFonts w:ascii="Times New Roman" w:hAnsi="Times New Roman"/>
          <w:noProof/>
          <w:sz w:val="24"/>
        </w:rPr>
        <w:t xml:space="preserve"> și (ii) activități și active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20"/>
      </w:r>
      <w:r>
        <w:rPr>
          <w:rFonts w:ascii="Times New Roman" w:hAnsi="Times New Roman"/>
          <w:noProof/>
          <w:sz w:val="24"/>
        </w:rPr>
        <w:t>.</w:t>
      </w:r>
    </w:p>
    <w:p w14:paraId="6D69859F" w14:textId="77777777"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2024, atunci când Comitetul pentru investiții al InvestEU va aproba operațiuni de finanțare sau de investiții în valoare de 100 % din cuantumul total al finanțării sau al investițiilor vizate.</w:t>
      </w:r>
    </w:p>
    <w:p w14:paraId="0438203F" w14:textId="77777777"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Subcomponenta 2.2: Garanția de portofoliu pentru acțiune climatică</w:t>
      </w:r>
    </w:p>
    <w:p w14:paraId="7839D18C"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subcomponente este de a furniza finanțare și investiții IMM-urilor (care au un număr de maximum 249 de angajați), întreprinderilor cu până la 500 de angajați și persoanelor fizice prin intermediul capitalului circulant, al liniilor de credit, al împrumuturilor pentru investiții sau al leasingului, destinate investițiilor și finanțării pentru îmbunătățirea eficienței energetice în întreprinderi și în sectorul rezidențial și al clădirilor. Scopul instrumentului va fi de a aborda provocările cu care se confruntă în prezent România în sprijinirea investițiilor în sectoarele eficienței energetice și energiei din surse regenerabile. Investiția va lua forma unei garanții de portofoliu, care urmează să fie implementată ca o contribuție la InvestEU din partea Fondului European de Investiții („FEI”). Obiectivele specifice și ambițiile în materie de eficiență energetică ale instrumentului, precum și structura și criteriile de eligibilitate vor fi pe deplin aliniate și vor corespunde celor ale instrumentului InvestEU UE – componenta pentru UE, în curs de elaborare. </w:t>
      </w:r>
    </w:p>
    <w:p w14:paraId="5D28DEB2"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subcomponentei cu Orientările tehnice privind aplicarea principiului de „a nu aduce prejudicii semnificative” (2021/C58/01), în acordul de contribuție dintre Comisia Europeană și Guvernul României va fi prevăzută obligația aplicării Orientărilor tehnice ale Comisiei referitoare la evaluarea sustenabilității Fondului InvestEU. În plus, acordul de garantare dintre Comisia Europeană și FEI va exclude de la eligibilitate următoarele activități și active: (i) activități și active legate de combustibili fosili, inclusiv utilizarea în aval</w:t>
      </w:r>
      <w:r w:rsidRPr="000A27B3">
        <w:rPr>
          <w:rFonts w:ascii="Times New Roman" w:hAnsi="Times New Roman" w:cs="Times New Roman"/>
          <w:noProof/>
          <w:sz w:val="24"/>
          <w:vertAlign w:val="superscript"/>
          <w:lang w:val="en-GB"/>
        </w:rPr>
        <w:footnoteReference w:id="21"/>
      </w:r>
      <w:r>
        <w:rPr>
          <w:rFonts w:ascii="Times New Roman" w:hAnsi="Times New Roman"/>
          <w:noProof/>
          <w:sz w:val="24"/>
        </w:rPr>
        <w:t xml:space="preserve"> și (ii) activități și active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22"/>
      </w:r>
      <w:r>
        <w:rPr>
          <w:rFonts w:ascii="Times New Roman" w:hAnsi="Times New Roman"/>
          <w:noProof/>
          <w:sz w:val="24"/>
        </w:rPr>
        <w:t>.</w:t>
      </w:r>
    </w:p>
    <w:p w14:paraId="03F42FCE"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2024, atunci când Comitetul pentru investiții al InvestEU va aproba operațiuni de finanțare sau de investiții în valoare de 100 % din cuantumul total al finanțării sau al investițiilor vizate.</w:t>
      </w:r>
    </w:p>
    <w:p w14:paraId="49DA9CD8" w14:textId="67D61006"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 xml:space="preserve">Subcomponenta 2.3 pentru IMM-uri și întreprinderile cu capitalizare medie (mid-caps): Fondul de fonduri de capital de risc pentru redresare </w:t>
      </w:r>
    </w:p>
    <w:p w14:paraId="62BFEE59"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investiții este de a oferi sprijin sub formă de capitaluri proprii IMM-urilor, întreprinderilor cu capitalizare medie, inclusiv întreprinderilor nou-înființate, întreprinderilor aflate în stadii incipiente și avansate de dezvoltare, precum și proiectelor de infrastructură axate pe energia din surse regenerabile și eficiența energetică. Sprijinul va fi furnizat prin intermediul fondurilor cu capital de risc și al fondurilor de infrastructură, ca parte a unui fond de capital de risc, gestionat de Fondul european de investiții („FEI”). </w:t>
      </w:r>
    </w:p>
    <w:p w14:paraId="7827AB0A"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Pentru a se asigura conformitatea măsurii cu Orientările tehnice privind aplicarea principiului de „a nu aduce prejudicii semnificative” (2021/C58/01), acordul de finanțare dintre Guvernul României și FEI și politica de investiții ulterioară a instrumentului financiar </w:t>
      </w:r>
    </w:p>
    <w:p w14:paraId="24D98F41"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prevedea obligația aplicării Orientărilor tehnice ale Comisiei referitoare la evaluarea sustenabilității Fondului InvestEU și</w:t>
      </w:r>
    </w:p>
    <w:p w14:paraId="4959646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 xml:space="preserve">va exclude de la eligibilitate următoarele activități și active: </w:t>
      </w:r>
      <w:r>
        <w:rPr>
          <w:rFonts w:ascii="Times New Roman" w:hAnsi="Times New Roman"/>
          <w:noProof/>
          <w:sz w:val="24"/>
        </w:rPr>
        <w:t>(i) activitățile și activele legate de combustibili fosili, inclusiv utilizarea în aval</w:t>
      </w:r>
      <w:r w:rsidRPr="000A27B3">
        <w:rPr>
          <w:rFonts w:ascii="Times New Roman" w:hAnsi="Times New Roman" w:cs="Times New Roman"/>
          <w:noProof/>
          <w:sz w:val="24"/>
          <w:szCs w:val="24"/>
          <w:bdr w:val="none" w:sz="0" w:space="0" w:color="auto" w:frame="1"/>
          <w:vertAlign w:val="superscript"/>
          <w:lang w:val="en-GB"/>
        </w:rPr>
        <w:footnoteReference w:id="23"/>
      </w:r>
      <w:r>
        <w:rPr>
          <w:rFonts w:ascii="Times New Roman" w:hAnsi="Times New Roman"/>
          <w:noProof/>
          <w:sz w:val="24"/>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szCs w:val="24"/>
          <w:bdr w:val="none" w:sz="0" w:space="0" w:color="auto" w:frame="1"/>
          <w:vertAlign w:val="superscript"/>
          <w:lang w:val="en-GB"/>
        </w:rPr>
        <w:footnoteReference w:id="24"/>
      </w:r>
      <w:r>
        <w:rPr>
          <w:rFonts w:ascii="Times New Roman" w:hAnsi="Times New Roman"/>
          <w:noProof/>
          <w:sz w:val="24"/>
        </w:rPr>
        <w:t>; (iii) activitățile și activele legate de depozite de deșeuri, incineratoare</w:t>
      </w:r>
      <w:r w:rsidRPr="00B9199B">
        <w:rPr>
          <w:rFonts w:ascii="Times New Roman" w:hAnsi="Times New Roman" w:cs="Times New Roman"/>
          <w:noProof/>
          <w:sz w:val="24"/>
          <w:szCs w:val="24"/>
          <w:vertAlign w:val="superscript"/>
          <w:lang w:val="en-GB"/>
        </w:rPr>
        <w:footnoteReference w:id="25"/>
      </w:r>
      <w:r>
        <w:rPr>
          <w:rFonts w:ascii="Times New Roman" w:hAnsi="Times New Roman"/>
          <w:noProof/>
          <w:sz w:val="24"/>
        </w:rPr>
        <w:t xml:space="preserve"> și instalații de tratare mecano­biologică a deșeurilor</w:t>
      </w:r>
      <w:r w:rsidRPr="00B9199B">
        <w:rPr>
          <w:rFonts w:ascii="Times New Roman" w:hAnsi="Times New Roman" w:cs="Times New Roman"/>
          <w:noProof/>
          <w:sz w:val="24"/>
          <w:szCs w:val="24"/>
          <w:vertAlign w:val="superscript"/>
          <w:lang w:val="en-GB"/>
        </w:rPr>
        <w:footnoteReference w:id="26"/>
      </w:r>
      <w:r>
        <w:rPr>
          <w:rFonts w:ascii="Times New Roman" w:hAnsi="Times New Roman"/>
          <w:noProof/>
          <w:sz w:val="24"/>
        </w:rPr>
        <w:t>; și (iv) activitățile și activele în cadrul cărora eliminarea pe termen lung a deșeurilor poate dăuna mediului; și</w:t>
      </w:r>
    </w:p>
    <w:p w14:paraId="056D178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impune obligația ca întreprinderile care au obținut mai mult de 50 % din veniturile proprii în cursul exercițiului financiar precedent din activități și/sau active incluse pe lista de excludere să adopte și să publice planuri privind tranziția verde; și</w:t>
      </w:r>
    </w:p>
    <w:p w14:paraId="452BC57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impune obligația ca FEI să verifice conformitatea juridică cu legislația UE și națională relevantă în domeniul mediului a beneficiarului pentru toate tranzacțiile, inclusiv cele care nu fac obiectul evaluării sustenabilității.</w:t>
      </w:r>
    </w:p>
    <w:p w14:paraId="3B4468DC"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2026.</w:t>
      </w:r>
    </w:p>
    <w:p w14:paraId="4A77A3F3" w14:textId="77777777"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Subcomponenta 2.4: Fond de Fonduri pentru digitalizare, acțiune climatică și alte domenii de interes</w:t>
      </w:r>
    </w:p>
    <w:p w14:paraId="6AD98DEC" w14:textId="151259FF"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investiției este de a oferi sprijin întreprinderilor mari (cu peste 500 de angajați și/sau o cifră de afaceri anuală de peste 50 de milioane EUR și un bilanț anual total de peste 43</w:t>
      </w:r>
      <w:r w:rsidR="00ED2A55">
        <w:rPr>
          <w:rFonts w:ascii="Times New Roman" w:hAnsi="Times New Roman"/>
          <w:noProof/>
          <w:sz w:val="24"/>
        </w:rPr>
        <w:t> </w:t>
      </w:r>
      <w:r>
        <w:rPr>
          <w:rFonts w:ascii="Times New Roman" w:hAnsi="Times New Roman"/>
          <w:noProof/>
          <w:sz w:val="24"/>
        </w:rPr>
        <w:t xml:space="preserve">milioane EUR), entităților publice și vehiculelor cu scop special, prin investiții care contribuie la economia cu emisii scăzute de dioxid de carbon, precum și investiții în digitalizare și în active fixe prin intermediul unui fond de fonduri. Acest lucru va încuraja un volum mai mare de investiții care va contribui la îndeplinirea obiectivelor climatice și digitale de către întreprinderile-țintă și va încuraja dezvoltarea și extinderea întreprinderilor, creând astfel noi oportunități de ocupare a forței de muncă și sprijinind redresarea economică în sens mai larg. Sprijinul va lua forma unui fond de fonduri, a cărui gestionare va fi încredințată Băncii Europene de Investiții („BEI”). </w:t>
      </w:r>
    </w:p>
    <w:p w14:paraId="37267F1C" w14:textId="5EC1B3C0"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Pentru a se asigura conformitatea măsurii cu Orientările tehnice privind aplicarea principiului de „a nu aduce prejudicii semnificative” (2021/C58/01), acordul de finanțare dintre Guvernul României și BEI și politica de investiții ulterioară a instrumentului financiar: </w:t>
      </w:r>
    </w:p>
    <w:p w14:paraId="5AE7300F"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prevedea obligația aplicării Orientărilor tehnice ale Comisiei referitoare la evaluarea sustenabilității Fondului InvestEU și</w:t>
      </w:r>
    </w:p>
    <w:p w14:paraId="722B95F3"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exclude de la eligibilitate următoarele activități și active: (i) activitățile și activele legate de combustibili fosili, inclusiv utilizarea în aval</w:t>
      </w:r>
      <w:r w:rsidRPr="000A27B3">
        <w:rPr>
          <w:rFonts w:ascii="Times New Roman" w:hAnsi="Times New Roman" w:cs="Times New Roman"/>
          <w:noProof/>
          <w:sz w:val="24"/>
          <w:szCs w:val="24"/>
          <w:bdr w:val="none" w:sz="0" w:space="0" w:color="auto" w:frame="1"/>
          <w:vertAlign w:val="superscript"/>
          <w:lang w:val="en-GB"/>
        </w:rPr>
        <w:footnoteReference w:id="27"/>
      </w:r>
      <w:r>
        <w:rPr>
          <w:rFonts w:ascii="Times New Roman" w:hAnsi="Times New Roman"/>
          <w:noProof/>
          <w:sz w:val="24"/>
          <w:bdr w:val="none" w:sz="0" w:space="0" w:color="auto" w:frame="1"/>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szCs w:val="24"/>
          <w:bdr w:val="none" w:sz="0" w:space="0" w:color="auto" w:frame="1"/>
          <w:vertAlign w:val="superscript"/>
          <w:lang w:val="en-GB"/>
        </w:rPr>
        <w:footnoteReference w:id="28"/>
      </w:r>
      <w:r>
        <w:rPr>
          <w:rFonts w:ascii="Times New Roman" w:hAnsi="Times New Roman"/>
          <w:noProof/>
          <w:sz w:val="24"/>
          <w:bdr w:val="none" w:sz="0" w:space="0" w:color="auto" w:frame="1"/>
        </w:rPr>
        <w:t>; (iii) activitățile și activele legate de depozite de deșeuri, incineratoare</w:t>
      </w:r>
      <w:r w:rsidRPr="000A27B3">
        <w:rPr>
          <w:rFonts w:ascii="Times New Roman" w:hAnsi="Times New Roman" w:cs="Times New Roman"/>
          <w:noProof/>
          <w:sz w:val="24"/>
          <w:szCs w:val="24"/>
          <w:bdr w:val="none" w:sz="0" w:space="0" w:color="auto" w:frame="1"/>
          <w:vertAlign w:val="superscript"/>
          <w:lang w:val="en-GB"/>
        </w:rPr>
        <w:footnoteReference w:id="29"/>
      </w:r>
      <w:r>
        <w:rPr>
          <w:rFonts w:ascii="Times New Roman" w:hAnsi="Times New Roman"/>
          <w:noProof/>
          <w:sz w:val="24"/>
          <w:bdr w:val="none" w:sz="0" w:space="0" w:color="auto" w:frame="1"/>
        </w:rPr>
        <w:t xml:space="preserve"> și instalații de tratare mecano­biologică a deșeurilor</w:t>
      </w:r>
      <w:r w:rsidRPr="000A27B3">
        <w:rPr>
          <w:rFonts w:ascii="Times New Roman" w:hAnsi="Times New Roman" w:cs="Times New Roman"/>
          <w:noProof/>
          <w:sz w:val="24"/>
          <w:szCs w:val="24"/>
          <w:bdr w:val="none" w:sz="0" w:space="0" w:color="auto" w:frame="1"/>
          <w:vertAlign w:val="superscript"/>
          <w:lang w:val="en-GB"/>
        </w:rPr>
        <w:footnoteReference w:id="30"/>
      </w:r>
      <w:r>
        <w:rPr>
          <w:rFonts w:ascii="Times New Roman" w:hAnsi="Times New Roman"/>
          <w:noProof/>
          <w:sz w:val="24"/>
          <w:bdr w:val="none" w:sz="0" w:space="0" w:color="auto" w:frame="1"/>
        </w:rPr>
        <w:t>; și (iv) activitățile și activele în cadrul cărora eliminarea pe termen lung a deșeurilor poate dăuna mediului; și</w:t>
      </w:r>
    </w:p>
    <w:p w14:paraId="0D2477B4" w14:textId="77777777" w:rsidR="00500CF9" w:rsidRPr="000A27B3" w:rsidRDefault="00500CF9" w:rsidP="00500CF9">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va impune obligația ca BEI să verifice conformitatea juridică cu legislația UE și națională relevantă în domeniul mediului a beneficiarului pentru toate tranzacțiile, inclusiv cele care nu fac obiectul evaluării sustenabilității;</w:t>
      </w:r>
    </w:p>
    <w:p w14:paraId="4B10E192"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2026.</w:t>
      </w:r>
    </w:p>
    <w:p w14:paraId="61AA8C2F" w14:textId="77777777"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Subcomponenta 2.5: Instrumentul financiar pentru investiții în eficiență energetică în sectorul rezidențial și al clădirilor</w:t>
      </w:r>
    </w:p>
    <w:p w14:paraId="66D0C15C"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Instrumentul financiar va lua forma unei garanții de portofoliu, implementate de Banca Europeană pentru Reconstrucție și Dezvoltare (BERD).</w:t>
      </w:r>
    </w:p>
    <w:p w14:paraId="7196E1E7"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investiții este de a furniza finanțare și investiții pentru eficiența energetică și energia din surse regenerabile în sectorul rezidențial și al clădirilor. Investiția va lua forma unei garanții de portofoliu, care urmează să fie implementată ca o contribuție la InvestEU din partea Băncii Europene pentru Reconstrucție și Dezvoltare (BERD). </w:t>
      </w:r>
    </w:p>
    <w:p w14:paraId="446541F2"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subcomponentei cu Orientările tehnice privind aplicarea principiului de „a nu aduce prejudicii semnificative” (2021/C58/01), în acordul de contribuție dintre Comisia Europeană și Guvernul României va fi prevăzută obligația aplicării Orientărilor tehnice ale Comisiei referitoare la evaluarea sustenabilității Fondului InvestEU. În plus, acordul de garantare dintre Comisia Europeană și BERD va exclude de la eligibilitate următoarele activități și active: (i) activități și active legate de combustibili fosili, inclusiv utilizarea în aval</w:t>
      </w:r>
      <w:r w:rsidRPr="000A27B3">
        <w:rPr>
          <w:rFonts w:ascii="Times New Roman" w:hAnsi="Times New Roman" w:cs="Times New Roman"/>
          <w:noProof/>
          <w:sz w:val="24"/>
          <w:vertAlign w:val="superscript"/>
          <w:lang w:val="en-GB"/>
        </w:rPr>
        <w:footnoteReference w:id="31"/>
      </w:r>
      <w:r>
        <w:rPr>
          <w:rFonts w:ascii="Times New Roman" w:hAnsi="Times New Roman"/>
          <w:noProof/>
          <w:sz w:val="24"/>
        </w:rPr>
        <w:t xml:space="preserve"> și (ii) activități și active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32"/>
      </w:r>
      <w:r>
        <w:rPr>
          <w:rFonts w:ascii="Times New Roman" w:hAnsi="Times New Roman"/>
          <w:noProof/>
          <w:sz w:val="24"/>
        </w:rPr>
        <w:t>.</w:t>
      </w:r>
    </w:p>
    <w:p w14:paraId="7B9FB175"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2024, atunci când Comitetul pentru investiții al InvestEU va aproba operațiuni de finanțare sau de investiții în valoare de 100 % din cuantumul total al finanțării sau al investițiilor vizate.</w:t>
      </w:r>
    </w:p>
    <w:p w14:paraId="3867DFD3"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3. Scheme de ajutor pentru sectorul privat</w:t>
      </w:r>
    </w:p>
    <w:p w14:paraId="0402611F" w14:textId="77777777"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Măsura 1 - Schemă de minimis și schemă de ajutor de stat în contextul digitalizării IMM-urilor</w:t>
      </w:r>
    </w:p>
    <w:p w14:paraId="6A548FF7"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acestei investiții este de a sprijini digitalizarea întreprinderilor mici și mijlocii (IMM-uri), ceea ce ar putea contribui ulterior la creșterea competitivității, favorizând inovarea acestor întreprinderi și facilitând noi formule de lucru. Această subinvestiție va aborda una dintre principalele provocări cu care se confruntă IMM-urile: presiunea de a-și adapta modelele de afaceri la realitățile digitale.</w:t>
      </w:r>
    </w:p>
    <w:p w14:paraId="4923EF4A"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Subinvestiția constă în două instrumente: i) un sistem de granturi pentru sprijinirea antreprenorilor în dezvoltarea tehnologiilor digitale avansate (cum ar fi inteligența artificială, datele și cloud computingul, tehnologia blockchain, calculul de înaltă performanță și cuantica, internetul obiectelor, securitatea cibernetică) și ii) un sistem de granturi de până la 100 000 EUR per întreprindere pentru a sprijini IMM-urile care adoptă tehnologii digitale (cum ar fi achizițiile de hardware TIC, dezvoltarea și/sau adaptarea aplicațiilor/licențelor software, inclusiv soluțiile de automatizare a proceselor robotizate, achiziționarea de tehnologii blockchain, achiziționarea de sisteme de inteligență artificială, învățarea automată, realitatea augmentată, realitatea virtuală, achiziționarea unui site de prezentare, achiziționarea de servicii de cloud și de internet al obiectelor, formarea personalului cu ajutorul echipamentelor IT, consiliere/analiză pentru identificarea soluțiilor tehnice de care au nevoie IMM-urile). Toate investițiile vor fi conforme cu criteriile de selecție ale următoarele câmpuri de intervenție prezentate în anexa VII la Regulamentul (UE) 2021/241: 021c (130 de milioane EUR), 021d (alocare de 20 de milioane EUR), 010 (alocare de 315 milioane EUR), 012 (alocare de 35 de milioane EUR). Pentru implementare, Ministerul Investițiilor și Proiectelor Europene va lansa orientările pentru cererile de proiecte și va delega monitorizarea proiectelor unui administrator pe baza unui act delegat. Ministerul se va asigura că un sistem eficace de gestionare și control este pus în aplicare la nivel de administrator și va fi în măsură să întreprindă acțiuni corective ori de câte ori este necesar, inclusiv prin efectuarea de verificări prin sondaj la nivelul IMM-urilor, în timp ce administratorul va monitoriza și va raporta periodic cu privire la progresele înregistrate în implementarea proiectului, în conformitate cu toate condițiile respective.</w:t>
      </w:r>
    </w:p>
    <w:p w14:paraId="029FCDB1"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asigura conformitatea cu Orientările tehnice DNSH (2021/C58/01), solicitanții vor prezenta orice riscuri potențiale pentru mediu care decurg din activitățile lor și din metodele lor de atenuare a riscurilor respective. Conformitatea cu Orientările tehnice DNSH (2021/C58/01) va fi certificată de un auditor independent la sfârșitul perioadei de investiție.</w:t>
      </w:r>
    </w:p>
    <w:p w14:paraId="47A2B0AE"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2024.</w:t>
      </w:r>
    </w:p>
    <w:p w14:paraId="4760D197" w14:textId="77777777" w:rsidR="00500CF9" w:rsidRPr="000A27B3" w:rsidRDefault="00500CF9">
      <w:pPr>
        <w:spacing w:before="120" w:after="120" w:line="240" w:lineRule="auto"/>
        <w:jc w:val="both"/>
        <w:rPr>
          <w:rFonts w:ascii="Times New Roman" w:hAnsi="Times New Roman" w:cs="Times New Roman"/>
          <w:i/>
          <w:noProof/>
          <w:sz w:val="24"/>
        </w:rPr>
      </w:pPr>
      <w:r>
        <w:rPr>
          <w:rFonts w:ascii="Times New Roman" w:hAnsi="Times New Roman"/>
          <w:i/>
          <w:noProof/>
          <w:sz w:val="24"/>
        </w:rPr>
        <w:t>Măsura 2 - Schema de minimis pentru ajutarea firmelor din România în procesul de listare la bursa</w:t>
      </w:r>
    </w:p>
    <w:p w14:paraId="6855582F"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investiții este de a ajuta întreprinderile să își sporească accesul la finanțare prin intermediul unor instrumente specifice, și anume emiterea de noi acțiuni. </w:t>
      </w:r>
    </w:p>
    <w:p w14:paraId="2D24E41C"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Investiția va consta în finanțarea unui sistem </w:t>
      </w:r>
      <w:r>
        <w:rPr>
          <w:rFonts w:ascii="Times New Roman" w:hAnsi="Times New Roman"/>
          <w:i/>
          <w:noProof/>
          <w:sz w:val="24"/>
        </w:rPr>
        <w:t>de minimis</w:t>
      </w:r>
      <w:r>
        <w:rPr>
          <w:rFonts w:ascii="Times New Roman" w:hAnsi="Times New Roman"/>
          <w:noProof/>
          <w:sz w:val="24"/>
        </w:rPr>
        <w:t xml:space="preserve"> pentru societățile cu sediul social în România care doresc să emită acțiuni, precalificate pentru cotare, în conformitate cu condițiile Bursei de Valori București, pe baza principiului „primul venit, primul servit”. Ţinând cont de structura actuală a agenților economici activi în România, precum și de cele mai dinamice segmente ale economiei, se preconizează că întreprinderile din categoria IMM-urilor, precum și cele active în sectoare cu un nivel ridicat de creștere și cu nevoi substanțiale de finanțare, precum sectorul IT și al energiei, vor fi principalele beneficiare ale acestei investiții.</w:t>
      </w:r>
    </w:p>
    <w:p w14:paraId="7B4FC243"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faptul că măsura respectă Orientările tehnice privind aplicarea principiului de „a nu aduce prejudicii semnificative” (2021/C58/01), întreprinderile care au obținut mai mult de 50 % din veniturile lor în cursul exercițiului financiar precedent din activități și/sau active incluse pe lista de excludere au obligația de a adopta și de a publica planuri privind tranziția verde. Se exclud următoarele activități și active: (i) activitățile și activele legate de combustibili fosili, inclusiv utilizarea în aval</w:t>
      </w:r>
      <w:r w:rsidRPr="000A27B3">
        <w:rPr>
          <w:rFonts w:ascii="Times New Roman" w:hAnsi="Times New Roman" w:cs="Times New Roman"/>
          <w:noProof/>
          <w:sz w:val="24"/>
          <w:vertAlign w:val="superscript"/>
          <w:lang w:val="en-GB"/>
        </w:rPr>
        <w:footnoteReference w:id="33"/>
      </w:r>
      <w:r>
        <w:rPr>
          <w:rFonts w:ascii="Times New Roman" w:hAnsi="Times New Roman"/>
          <w:noProof/>
          <w:sz w:val="24"/>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34"/>
      </w:r>
      <w:r>
        <w:rPr>
          <w:rFonts w:ascii="Times New Roman" w:hAnsi="Times New Roman"/>
          <w:noProof/>
          <w:sz w:val="24"/>
        </w:rPr>
        <w:t>; (iii) activitățile și activele legate de depozite de deșeuri, incineratoare</w:t>
      </w:r>
      <w:r w:rsidRPr="000A27B3">
        <w:rPr>
          <w:rFonts w:ascii="Times New Roman" w:hAnsi="Times New Roman" w:cs="Times New Roman"/>
          <w:noProof/>
          <w:sz w:val="24"/>
          <w:vertAlign w:val="superscript"/>
          <w:lang w:val="en-GB"/>
        </w:rPr>
        <w:footnoteReference w:id="35"/>
      </w:r>
      <w:r>
        <w:rPr>
          <w:rFonts w:ascii="Times New Roman" w:hAnsi="Times New Roman"/>
          <w:noProof/>
          <w:sz w:val="24"/>
        </w:rPr>
        <w:t xml:space="preserve"> și instalații de tratare mecano­biologică a deșeurilor</w:t>
      </w:r>
      <w:r w:rsidRPr="000A27B3">
        <w:rPr>
          <w:rFonts w:ascii="Times New Roman" w:hAnsi="Times New Roman" w:cs="Times New Roman"/>
          <w:noProof/>
          <w:sz w:val="24"/>
          <w:vertAlign w:val="superscript"/>
          <w:lang w:val="en-GB"/>
        </w:rPr>
        <w:footnoteReference w:id="36"/>
      </w:r>
      <w:r>
        <w:rPr>
          <w:rFonts w:ascii="Times New Roman" w:hAnsi="Times New Roman"/>
          <w:noProof/>
          <w:sz w:val="24"/>
        </w:rPr>
        <w:t>; și (iv) activitățile și activele în cadrul cărora eliminarea pe termen lung a deșeurilor poate dăuna mediului.</w:t>
      </w:r>
    </w:p>
    <w:p w14:paraId="3DDC781B"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2025.</w:t>
      </w:r>
    </w:p>
    <w:p w14:paraId="4DF86FB6" w14:textId="77777777" w:rsidR="00500CF9" w:rsidRPr="000A27B3" w:rsidRDefault="00500CF9">
      <w:pPr>
        <w:pStyle w:val="Standard"/>
        <w:spacing w:before="120" w:after="120"/>
        <w:jc w:val="both"/>
        <w:rPr>
          <w:rFonts w:ascii="Times New Roman" w:eastAsiaTheme="majorEastAsia" w:hAnsi="Times New Roman" w:cs="Times New Roman"/>
          <w:bCs/>
          <w:noProof/>
          <w:u w:val="single"/>
        </w:rPr>
      </w:pPr>
      <w:r>
        <w:rPr>
          <w:noProof/>
          <w:u w:val="single"/>
        </w:rPr>
        <w:t xml:space="preserve">Investiția 4. Proiecte transfrontaliere și multinaționale – Procesoare cu consum redus de energie și cipuri semiconductoare </w:t>
      </w:r>
    </w:p>
    <w:p w14:paraId="6063D28B" w14:textId="77777777" w:rsidR="00500CF9" w:rsidRPr="000A27B3" w:rsidRDefault="00500CF9">
      <w:pPr>
        <w:spacing w:before="120" w:after="120" w:line="240" w:lineRule="auto"/>
        <w:jc w:val="both"/>
        <w:textAlignment w:val="baseline"/>
        <w:rPr>
          <w:rFonts w:ascii="Times New Roman" w:eastAsia="Calibri" w:hAnsi="Times New Roman" w:cs="Times New Roman"/>
          <w:noProof/>
          <w:sz w:val="24"/>
          <w:szCs w:val="24"/>
        </w:rPr>
      </w:pPr>
      <w:r>
        <w:rPr>
          <w:rFonts w:ascii="Times New Roman" w:hAnsi="Times New Roman"/>
          <w:noProof/>
          <w:sz w:val="24"/>
        </w:rPr>
        <w:t xml:space="preserve">Obiectivul acestei investiții este de a sprijini dezvoltarea domeniului microelectronicii în România, abordând una dintre provocările existente la nivelul UE și sprijinind tranziția digitală. </w:t>
      </w:r>
    </w:p>
    <w:p w14:paraId="70911A20" w14:textId="2BB05126" w:rsidR="00500CF9" w:rsidRPr="000A27B3" w:rsidRDefault="00500CF9">
      <w:pPr>
        <w:spacing w:before="120" w:after="12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 xml:space="preserve">Investiția constă în acțiuni care vizează: i) structurarea și dezvoltarea competențelor de concepție, fabricație și aplicare a componentelor și sistemelor microelectronice într-un ecosistem național coerent; ii) securizarea </w:t>
      </w:r>
      <w:r w:rsidR="005A192D">
        <w:rPr>
          <w:rFonts w:ascii="Times New Roman" w:hAnsi="Times New Roman"/>
          <w:noProof/>
          <w:sz w:val="24"/>
        </w:rPr>
        <w:t>proprietății</w:t>
      </w:r>
      <w:r>
        <w:rPr>
          <w:rFonts w:ascii="Times New Roman" w:hAnsi="Times New Roman"/>
          <w:noProof/>
          <w:sz w:val="24"/>
        </w:rPr>
        <w:t xml:space="preserve"> intelectuale și accelerarea aplicarea tehnologiilor avansate în domenii esențiale ale economiei naționale cum sunt industria automobilului, sănătatea sau agricultura de precizie, spațiul, apărarea, sectorul aeronautic; iii) coordonarea cu capabilitățile și nevoile de la nivel european, inclusiv prin participarea sau asocierea a cel puțin zece membri ai ecosistemului național la un proiect multinațional, prevăzut a fi implementat în principal ca proiect important de interes european comun (IPCEI). În acest context, se preconizează că cel puțin 3 entități din consorții din România vor răspunde apelurilor de proiecte ale Întreprinderii Comune Tehnologii Digitale Esențiale (KDT JU). </w:t>
      </w:r>
    </w:p>
    <w:p w14:paraId="7B359328" w14:textId="0ADBFDC8" w:rsidR="00500CF9" w:rsidRPr="000A27B3" w:rsidRDefault="00500CF9">
      <w:pPr>
        <w:spacing w:before="120" w:after="120" w:line="240" w:lineRule="auto"/>
        <w:jc w:val="both"/>
        <w:textAlignment w:val="baseline"/>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30 iunie 2024.</w:t>
      </w:r>
    </w:p>
    <w:p w14:paraId="515B7099"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 xml:space="preserve">Reforma 2. Raționalizarea guvernanței în domeniul cercetării, dezvoltării și inovării </w:t>
      </w:r>
    </w:p>
    <w:p w14:paraId="3BFB7C38"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reforme este de a clarifica și a raționaliza guvernanța sistemului de cercetare, dezvoltare și inovare din România. </w:t>
      </w:r>
    </w:p>
    <w:p w14:paraId="39D933A1"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Reforma va fi implementată prin operaționalizarea Unității de reformă a mecanismului de sprijin al politicilor din cadrul Ministerului Cercetării, Inovării și Digitalizării, cu mandatul de a implementa și a monitoriza recomandările mecanismului de sprijin al politicilor transpuse în reforme ale ecosistemului național de cercetare, dezvoltare și inovare. Unitatea va fi operațională în perioada 2021-2026 și va lucra la reproiectarea în mod coordonat, împreună cu autoritățile publice competente, a arhitecturii și a funcțiilor sistemului de cercetare, dezvoltare și inovare din România, pentru a îmbunătăți calitatea investițiilor. Această reformă va pregăti terenul pentru intrarea în vigoare a unui sistem permanent care va asigura o proiectare și o implementare, monitorizare și evaluare armonizate ale politicii în materie de cercetare, dezvoltare și inovare la nivelul ministerelor și agențiilor, dincolo de calendarul Mecanismului de redresare și reziliență. Reforma va institui, de asemenea, un organism unic care va asigura coordonarea interministerială la nivel guvernamental, inclusiv pe baza coordonării cu organizațiile din sectorul privat.</w:t>
      </w:r>
    </w:p>
    <w:p w14:paraId="5C9E85AC"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va fi finalizată până la 30 iunie 2026. Unitatea de reformă a mecanismului de sprijin pentru politici va avea un mandat clar și va deveni operațională până la 31 decembrie 2021.</w:t>
      </w:r>
    </w:p>
    <w:p w14:paraId="487AFDB0"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Reforma 3. Reforma carierei de cercetător</w:t>
      </w:r>
      <w:r>
        <w:rPr>
          <w:rFonts w:ascii="Times New Roman" w:hAnsi="Times New Roman"/>
          <w:noProof/>
          <w:u w:val="single"/>
        </w:rPr>
        <w:t xml:space="preserve"> </w:t>
      </w:r>
    </w:p>
    <w:p w14:paraId="3163197D" w14:textId="06B6E7E0"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acestei reforme este de a spori atractivitatea carierei de cercetare și performanța cercetătorilor.</w:t>
      </w:r>
      <w:r w:rsidR="004C4C72">
        <w:rPr>
          <w:rFonts w:ascii="Times New Roman" w:hAnsi="Times New Roman"/>
          <w:noProof/>
          <w:sz w:val="24"/>
        </w:rPr>
        <w:t xml:space="preserve"> </w:t>
      </w:r>
    </w:p>
    <w:p w14:paraId="41D58E00"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Reforma va fi implementată prin adoptarea unor modificări legislative care detaliază indicatorii-cheie de performanță și măsurile de conduită în domeniul cercetării științifice, conform cărora cercetătorii au acces la finanțare și burse. Aceste specificații vor fi aliniate, de asemenea, la cele mai bune practici europene, inclusiv în ceea ce privește promovarea în cariera în cercetare pe baza principiului meritului, recrutarea pe baza unor proceduri transparente, deschise și competitive, precum și bunele practici în materie de etică și integritate în cercetarea științifică. Noua legislație include, de asemenea, un cadru de stimulente financiare și nefinanciare pentru a încuraja punerea în aplicare a Cartei europene a cercetătorilor și a Codului de recrutare a cercetătorilor de către institutele de cercetare din România.</w:t>
      </w:r>
    </w:p>
    <w:p w14:paraId="38B57BAE"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Implementarea reformei va fi finalizată până la 31 decembrie 2025. </w:t>
      </w:r>
    </w:p>
    <w:p w14:paraId="25568859"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Reforma 4. Consolidarea cooperării dintre mediul de afaceri și cel de cercetare</w:t>
      </w:r>
      <w:r>
        <w:rPr>
          <w:rFonts w:ascii="Times New Roman" w:hAnsi="Times New Roman"/>
          <w:noProof/>
          <w:u w:val="single"/>
        </w:rPr>
        <w:t xml:space="preserve"> </w:t>
      </w:r>
    </w:p>
    <w:p w14:paraId="03B97269"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reformei este de a consolida cooperarea dintre întreprinderi și organizațiile publice de cercetare, dezvoltare și inovare și de a crea un mediu favorabil investițiilor publice și private în acest sector.</w:t>
      </w:r>
    </w:p>
    <w:p w14:paraId="7C66E2D5"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Reforma va fi implementată prin adoptarea de modificări legislative pentru a simplifica și a digitaliza contractarea, finanțarea, monitorizarea și evaluarea proiectelor de cercetare. În plus, aceste modificări vor asigura accesul liber la rezultatele unor proiecte semnificative și neconfidențiale finanțate din fonduri publice, precum și evaluarea acestora de către cercetători recunoscuți la nivel internațional înainte de aprobarea lor de către autoritatea publică contractantă și pe întreaga durată de viață a proiectelor. Modificările vor asigura, de asemenea, disponibilitatea unor surse de finanțare stabile și previzibile pentru cercetare la nivel local și național, precum și centralizarea acestora într-un punct de contact unic electronic. Ministerul Cercetării, Inovării și Digitalizării va implementa modificările legislative împreună cu autoritățile publice relevante, inclusiv cu reprezentanții Ministerului Educației și ai agențiilor sale subordonate, ai Ministerului Finanțelor, ai Ministerului Economiei și va ține seama de recomandările mecanismului de sprijin al politicilor din cadrul programului Orizont Europa 2021-2022.</w:t>
      </w:r>
    </w:p>
    <w:p w14:paraId="12190A88"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va fi finalizată până la 30 iunie 2026.</w:t>
      </w:r>
    </w:p>
    <w:p w14:paraId="65B5AE57" w14:textId="77777777" w:rsidR="00500CF9" w:rsidRPr="000A27B3" w:rsidRDefault="00500CF9" w:rsidP="00566C39">
      <w:pPr>
        <w:pStyle w:val="Standard"/>
        <w:pageBreakBefore/>
        <w:spacing w:before="240"/>
        <w:jc w:val="both"/>
        <w:rPr>
          <w:rFonts w:ascii="Times New Roman" w:eastAsiaTheme="majorEastAsia" w:hAnsi="Times New Roman" w:cs="Times New Roman"/>
          <w:bCs/>
          <w:noProof/>
          <w:u w:val="single"/>
        </w:rPr>
      </w:pPr>
      <w:r>
        <w:rPr>
          <w:noProof/>
          <w:u w:val="single"/>
        </w:rPr>
        <w:t>Reforma 5. Sprijin pentru integrarea organizațiilor de cercetare, dezvoltare și inovare din România în Spațiul european de cercetare</w:t>
      </w:r>
      <w:r>
        <w:rPr>
          <w:rFonts w:ascii="Times New Roman" w:hAnsi="Times New Roman"/>
          <w:noProof/>
          <w:u w:val="single"/>
        </w:rPr>
        <w:t xml:space="preserve"> </w:t>
      </w:r>
    </w:p>
    <w:p w14:paraId="05EE1C85"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reforme este de a spori performanța și consolidarea organizațiilor de cercetare, dezvoltare și inovare din România, precum și integrarea acestora în Spațiul european de cercetare. </w:t>
      </w:r>
    </w:p>
    <w:p w14:paraId="1AC8D6C9"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Reforma va fi implementată prin intrarea în vigoare a unei legislații care va încuraja, facilita și reglementa integrarea voluntară și funcțională și fuzionarea instituțiilor de cercetare. Cadrul legislativ va ține seama de recomandările mecanismului de sprijinire a politicilor din cadrul programului Orizont Europa pentru perioada 2021-2022 și va preciza cel puțin: o evaluare externă periodică a performanței tuturor organizațiilor de cercetare, dezvoltare și inovare din România și a capacității acestora de a aduce valoare adăugată comunității științifice internaționale și de a avea un impact social și economic. Evaluarea periodică va identifica sinergiile și posibilele fuziuni între institutele de cercetare, iar accesul la sprijin financiar și nefinanciar pentru organizațiile de cercetare va depinde de rezultatele acestor evaluări periodice.</w:t>
      </w:r>
    </w:p>
    <w:p w14:paraId="25E4A6E7"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se va finaliza până la 30 iunie 2026.</w:t>
      </w:r>
    </w:p>
    <w:p w14:paraId="4FE3A324"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5. Înființarea și operaționalizarea centrelor de competență</w:t>
      </w:r>
    </w:p>
    <w:p w14:paraId="6AF670E5"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investiției este de a aborda fragmentarea tematică a organizațiilor de cercetare, dezvoltare și inovare prin sprijinirea executării misiunilor Orizont Europa la nivel național.</w:t>
      </w:r>
    </w:p>
    <w:p w14:paraId="0B55F2B6"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Investiția urmărește înființarea a cinci „centre de competență” care vor desfășura activități de cercetare în conformitate cu prioritățile strategice de cercetare ale României și ale UE. Centrele vor fi înființate în urma unei proceduri concurențiale drept consorții de institute de cercetare publice și private, care vor include participarea întreprinderilor mici și mijlocii, iar partenerii din cadrul consorțiilor vor pune în aplicare împreună Agenda strategică de cercetare și inovare a misiunii corespunzătoare din cadrul programului Orizont Europa, stimulând colaborarea dintre mediul universitar și întreprinderi în domeniile de cercetare relevante pentru societate. Proiectele vor contribui la furnizarea de soluții care vor îmbunătăți viața cetățenilor, vor veni în întâmpinarea nevoilor locale și vor spori impactul rezultatelor cercetării la nivelul comunității. Cele 5 „centre de competență” vor utiliza, de asemenea, resurse pentru a-și moderniza echipamentele și infrastructurile de cercetare comune și pentru a disemina rezultatele cercetării. </w:t>
      </w:r>
    </w:p>
    <w:p w14:paraId="7B4CEAC8"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31 decembrie 2025.</w:t>
      </w:r>
    </w:p>
    <w:p w14:paraId="50D8037A"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6. Programul de mentorat Orizont Europa</w:t>
      </w:r>
      <w:r>
        <w:rPr>
          <w:rFonts w:ascii="Times New Roman" w:hAnsi="Times New Roman"/>
          <w:noProof/>
          <w:u w:val="single"/>
        </w:rPr>
        <w:t xml:space="preserve"> </w:t>
      </w:r>
    </w:p>
    <w:p w14:paraId="0A0A2CE0"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investiții este de a spori rata de succes a candidaturilor la programul Orizont Europa. </w:t>
      </w:r>
    </w:p>
    <w:p w14:paraId="436840C7"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Investiția va acorda 500 de cupoane valorice (vouchere) cercetătorilor care au depus propuneri de candidatură la programul Orizont Europa și au trecut de etapa de eligibilitate.</w:t>
      </w:r>
      <w:r>
        <w:rPr>
          <w:rFonts w:ascii="Times New Roman" w:hAnsi="Times New Roman"/>
          <w:b/>
          <w:noProof/>
          <w:sz w:val="24"/>
        </w:rPr>
        <w:t xml:space="preserve"> </w:t>
      </w:r>
      <w:r>
        <w:rPr>
          <w:rFonts w:ascii="Times New Roman" w:hAnsi="Times New Roman"/>
          <w:noProof/>
          <w:sz w:val="24"/>
        </w:rPr>
        <w:t xml:space="preserve">Voucherele sunt menite să îi sprijine pe candidați să își redacteze propunerea de proiect, să participe la schimburi de personal cu organizații care se află pe primele locuri în ceea ce privește rata de proiecte Orizont acceptate sau care au experiență în redactarea de propuneri H2020 primite pozitiv, să participe la evenimente de brokeraj și să aibă acces la proiectul Infrastructura Luminii Extreme - Fizica Nucleară. </w:t>
      </w:r>
    </w:p>
    <w:p w14:paraId="1189DD00"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măsurii cu Orientările tehnice privind aplicarea principiului de „a nu aduce prejudicii semnificative” (2021/C58/01), proiectele și cercetarea legate de următoarea listă de activități și active vor fi excluse de la eligibilitate: (i) activitățile și activele legate de combustibili fosili, inclusiv utilizarea în aval</w:t>
      </w:r>
      <w:r w:rsidRPr="000A27B3">
        <w:rPr>
          <w:rFonts w:ascii="Times New Roman" w:hAnsi="Times New Roman" w:cs="Times New Roman"/>
          <w:noProof/>
          <w:sz w:val="24"/>
          <w:vertAlign w:val="superscript"/>
          <w:lang w:val="en-GB"/>
        </w:rPr>
        <w:footnoteReference w:id="37"/>
      </w:r>
      <w:r>
        <w:rPr>
          <w:rFonts w:ascii="Times New Roman" w:hAnsi="Times New Roman"/>
          <w:noProof/>
          <w:sz w:val="24"/>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38"/>
      </w:r>
      <w:r>
        <w:rPr>
          <w:rFonts w:ascii="Times New Roman" w:hAnsi="Times New Roman"/>
          <w:noProof/>
          <w:sz w:val="24"/>
        </w:rPr>
        <w:t>; (iii) activitățile și activele legate de depozite de deșeuri, incineratoare</w:t>
      </w:r>
      <w:r w:rsidRPr="000A27B3">
        <w:rPr>
          <w:rFonts w:ascii="Times New Roman" w:hAnsi="Times New Roman" w:cs="Times New Roman"/>
          <w:noProof/>
          <w:sz w:val="24"/>
          <w:vertAlign w:val="superscript"/>
          <w:lang w:val="en-GB"/>
        </w:rPr>
        <w:footnoteReference w:id="39"/>
      </w:r>
      <w:r>
        <w:rPr>
          <w:rFonts w:ascii="Times New Roman" w:hAnsi="Times New Roman"/>
          <w:noProof/>
          <w:sz w:val="24"/>
        </w:rPr>
        <w:t xml:space="preserve"> și instalații de tratare mecano­biologică a deșeurilor</w:t>
      </w:r>
      <w:r w:rsidRPr="000A27B3">
        <w:rPr>
          <w:rFonts w:ascii="Times New Roman" w:hAnsi="Times New Roman" w:cs="Times New Roman"/>
          <w:noProof/>
          <w:sz w:val="24"/>
          <w:vertAlign w:val="superscript"/>
          <w:lang w:val="en-GB"/>
        </w:rPr>
        <w:footnoteReference w:id="40"/>
      </w:r>
      <w:r>
        <w:rPr>
          <w:rFonts w:ascii="Times New Roman" w:hAnsi="Times New Roman"/>
          <w:noProof/>
          <w:sz w:val="24"/>
        </w:rPr>
        <w:t>; și (iv) activitățile și activele în cadrul cărora eliminarea pe termen lung a deșeurilor poate dăuna mediului.</w:t>
      </w:r>
    </w:p>
    <w:p w14:paraId="70F00025"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2026.</w:t>
      </w:r>
    </w:p>
    <w:p w14:paraId="42427FA8" w14:textId="77777777" w:rsidR="00500CF9" w:rsidRPr="000A27B3" w:rsidRDefault="00500CF9">
      <w:pPr>
        <w:pStyle w:val="Standard"/>
        <w:spacing w:before="240"/>
        <w:jc w:val="both"/>
        <w:rPr>
          <w:rFonts w:ascii="Times New Roman" w:eastAsiaTheme="majorEastAsia" w:hAnsi="Times New Roman" w:cs="Times New Roman"/>
          <w:noProof/>
          <w:u w:val="single"/>
        </w:rPr>
      </w:pPr>
      <w:r>
        <w:rPr>
          <w:noProof/>
          <w:u w:val="single"/>
        </w:rPr>
        <w:t>Investiția 7. Consolidarea excelenței si susținerea participării României la parteneriatele si misiunile din cadrul programului Orizont Europa</w:t>
      </w:r>
    </w:p>
    <w:p w14:paraId="0C281F62" w14:textId="004BCF18"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spori rata de succes a candidaturilor la programul Orizont Europa. Investiția va acorda finanțare complementară proiectelor de cercetare, dezvoltare și inovare în contextul parteneriatelor europene și al misiunilor UE, prioritizându-le pe cele verzi sau digitale. Măsurile avute în vedere sunt: (i) cofinanțarea proiectelor de cercetare recomandate pentru finanțare în cadrul parteneriatelor europene și al misiunilor UE. Un buget maxim de 300 000 EUR pentru fiecare partener român care participă la parteneriatele europene și la misiunile UE va fi alocat în conformitate cu normele specifice cererii de propuneri. Trebuie semnate cel puțin 35 de contracte cu participanții români la parteneriatele europene și la misiunile UE. (ii) proiecte complementare care au scopul de a spori impactul proiectelor Orizont Europa și Orizont 2020 care sunt deja finanțate (în curs sau finalizate recent). Un număr de până la 10 proiecte de cercetare complementare vor fi finanțate cu un buget maxim de 1 000 000</w:t>
      </w:r>
      <w:r w:rsidR="004C4C72">
        <w:rPr>
          <w:rFonts w:ascii="Times New Roman" w:hAnsi="Times New Roman"/>
          <w:noProof/>
          <w:sz w:val="24"/>
        </w:rPr>
        <w:t xml:space="preserve"> </w:t>
      </w:r>
      <w:r>
        <w:rPr>
          <w:rFonts w:ascii="Times New Roman" w:hAnsi="Times New Roman"/>
          <w:noProof/>
          <w:sz w:val="24"/>
        </w:rPr>
        <w:t xml:space="preserve">EUR pe proiect; iii) proiecte de consolidare a capacității resurselor umane, în sinergie cu programele naționale/POCIDIF. Un număr de până la 10 proiecte vor fi finanțate cu un buget maxim de 500 000 EUR pe proiect. </w:t>
      </w:r>
    </w:p>
    <w:p w14:paraId="7A48B3C9" w14:textId="77777777" w:rsidR="00500CF9" w:rsidRPr="000A27B3" w:rsidRDefault="00500CF9">
      <w:pPr>
        <w:spacing w:before="120" w:after="120" w:line="240" w:lineRule="auto"/>
        <w:jc w:val="both"/>
        <w:rPr>
          <w:rFonts w:ascii="Times New Roman" w:hAnsi="Times New Roman" w:cs="Times New Roman"/>
          <w:bCs/>
          <w:noProof/>
          <w:sz w:val="24"/>
        </w:rPr>
      </w:pPr>
      <w:r>
        <w:rPr>
          <w:rFonts w:ascii="Times New Roman" w:hAnsi="Times New Roman"/>
          <w:noProof/>
          <w:sz w:val="24"/>
        </w:rPr>
        <w:t>Pentru a se asigura conformitatea măsurii cu Orientările tehnice privind aplicarea principiului de „a nu aduce prejudicii semnificative” (2021/C58/01), activitățile de cercetare referitoare la următoarea listă de activități și active vor fi excluse din eligibilitate: (i) activitățile și activele legate de combustibili fosili, inclusiv utilizarea în aval</w:t>
      </w:r>
      <w:r w:rsidRPr="000A27B3">
        <w:rPr>
          <w:rFonts w:ascii="Times New Roman" w:hAnsi="Times New Roman" w:cs="Times New Roman"/>
          <w:bCs/>
          <w:noProof/>
          <w:sz w:val="24"/>
          <w:vertAlign w:val="superscript"/>
          <w:lang w:val="en-GB"/>
        </w:rPr>
        <w:footnoteReference w:id="41"/>
      </w:r>
      <w:r>
        <w:rPr>
          <w:rFonts w:ascii="Times New Roman" w:hAnsi="Times New Roman"/>
          <w:noProof/>
          <w:sz w:val="24"/>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bCs/>
          <w:noProof/>
          <w:sz w:val="24"/>
          <w:vertAlign w:val="superscript"/>
          <w:lang w:val="en-GB"/>
        </w:rPr>
        <w:footnoteReference w:id="42"/>
      </w:r>
      <w:r>
        <w:rPr>
          <w:rFonts w:ascii="Times New Roman" w:hAnsi="Times New Roman"/>
          <w:noProof/>
          <w:sz w:val="24"/>
        </w:rPr>
        <w:t>; (iii) activitățile și activele legate de depozite de deșeuri, incineratoare</w:t>
      </w:r>
      <w:r w:rsidRPr="000A27B3">
        <w:rPr>
          <w:rFonts w:ascii="Times New Roman" w:hAnsi="Times New Roman" w:cs="Times New Roman"/>
          <w:bCs/>
          <w:noProof/>
          <w:sz w:val="24"/>
          <w:vertAlign w:val="superscript"/>
          <w:lang w:val="en-GB"/>
        </w:rPr>
        <w:footnoteReference w:id="43"/>
      </w:r>
      <w:r>
        <w:rPr>
          <w:rFonts w:ascii="Times New Roman" w:hAnsi="Times New Roman"/>
          <w:noProof/>
          <w:sz w:val="24"/>
        </w:rPr>
        <w:t xml:space="preserve"> și instalații de tratare mecano­biologică a deșeurilor</w:t>
      </w:r>
      <w:r w:rsidRPr="000A27B3">
        <w:rPr>
          <w:rFonts w:ascii="Times New Roman" w:hAnsi="Times New Roman" w:cs="Times New Roman"/>
          <w:bCs/>
          <w:noProof/>
          <w:sz w:val="24"/>
          <w:vertAlign w:val="superscript"/>
          <w:lang w:val="en-GB"/>
        </w:rPr>
        <w:footnoteReference w:id="44"/>
      </w:r>
      <w:r>
        <w:rPr>
          <w:rFonts w:ascii="Times New Roman" w:hAnsi="Times New Roman"/>
          <w:noProof/>
          <w:sz w:val="24"/>
        </w:rPr>
        <w:t>; și (iv) activitățile și activele în cadrul cărora eliminarea pe termen lung a deșeurilor poate dăuna mediului.</w:t>
      </w:r>
    </w:p>
    <w:p w14:paraId="52262745" w14:textId="2E480610"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2024.</w:t>
      </w:r>
    </w:p>
    <w:p w14:paraId="1CBD68A5"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 xml:space="preserve">Investiția 8. Dezvoltarea unui program pentru atragerea resurselor umane înalt specializate din străinătate în activități de cercetare, dezvoltare și inovare </w:t>
      </w:r>
    </w:p>
    <w:p w14:paraId="29644EF8"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acestei investiții este de a spori capacitatea de cercetare a organizației de cercetare, dezvoltare și inovare.</w:t>
      </w:r>
    </w:p>
    <w:p w14:paraId="08364F72"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Investiția va acorda finanțare pentru 100 proiecte de cercetare conduse de cercetători internaționali de vârf selectați pe baza unei serii de criterii de calitate. Candidații vor fi selectați pe bază de concurs, vor fi afiliați la instituții-gazdă de cercetare din România și vor contribui la consolidarea capacității de cercetare a organizației-gazdă. Aceștia vor fi absolvenți de doctorat care au desfășurat activitate de cercetare în afara României în ultimii 3 ani. Ei vor trebui să fie în măsură să atragă în mod independent fonduri pentru echipele lor de cercetare, să coordoneze grantul și fondurile pentru proiect și să ia decizii cu privire la alocarea resurselor. În acest sens, activitățile cercetătorilor internaționali vor fi benefice pentru performanțele institutelor de cercetare gazdă.</w:t>
      </w:r>
    </w:p>
    <w:p w14:paraId="2692899B"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măsurii cu Orientările tehnice privind aplicarea principiului de „a nu aduce prejudicii semnificative” (2021/C58/01), proiectele de cercetare referitoare la următoarea listă de activități și active vor fi excluse de la eligibilitate: (i) activitățile și activele legate de combustibili fosili, inclusiv utilizarea în aval</w:t>
      </w:r>
      <w:r w:rsidRPr="000A27B3">
        <w:rPr>
          <w:rFonts w:ascii="Times New Roman" w:hAnsi="Times New Roman" w:cs="Times New Roman"/>
          <w:noProof/>
          <w:sz w:val="24"/>
          <w:vertAlign w:val="superscript"/>
          <w:lang w:val="en-GB"/>
        </w:rPr>
        <w:footnoteReference w:id="45"/>
      </w:r>
      <w:r>
        <w:rPr>
          <w:rFonts w:ascii="Times New Roman" w:hAnsi="Times New Roman"/>
          <w:noProof/>
          <w:sz w:val="24"/>
        </w:rPr>
        <w:t>; (ii) activitățile și activele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46"/>
      </w:r>
      <w:r>
        <w:rPr>
          <w:rFonts w:ascii="Times New Roman" w:hAnsi="Times New Roman"/>
          <w:noProof/>
          <w:sz w:val="24"/>
        </w:rPr>
        <w:t>; (iii) activitățile și activele legate de depozite de deșeuri, incineratoare</w:t>
      </w:r>
      <w:r w:rsidRPr="000A27B3">
        <w:rPr>
          <w:rFonts w:ascii="Times New Roman" w:hAnsi="Times New Roman" w:cs="Times New Roman"/>
          <w:noProof/>
          <w:sz w:val="24"/>
          <w:vertAlign w:val="superscript"/>
          <w:lang w:val="en-GB"/>
        </w:rPr>
        <w:footnoteReference w:id="47"/>
      </w:r>
      <w:r>
        <w:rPr>
          <w:rFonts w:ascii="Times New Roman" w:hAnsi="Times New Roman"/>
          <w:noProof/>
          <w:sz w:val="24"/>
        </w:rPr>
        <w:t xml:space="preserve"> și instalații de tratare mecano­biologică a deșeurilor</w:t>
      </w:r>
      <w:r w:rsidRPr="000A27B3">
        <w:rPr>
          <w:rFonts w:ascii="Times New Roman" w:hAnsi="Times New Roman" w:cs="Times New Roman"/>
          <w:noProof/>
          <w:sz w:val="24"/>
          <w:vertAlign w:val="superscript"/>
          <w:lang w:val="en-GB"/>
        </w:rPr>
        <w:footnoteReference w:id="48"/>
      </w:r>
      <w:r>
        <w:rPr>
          <w:rFonts w:ascii="Times New Roman" w:hAnsi="Times New Roman"/>
          <w:noProof/>
          <w:sz w:val="24"/>
        </w:rPr>
        <w:t>; și (iv) activitățile și activele în cadrul cărora eliminarea pe termen lung a deșeurilor poate dăuna mediului.</w:t>
      </w:r>
    </w:p>
    <w:p w14:paraId="5EB5B3D5"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31 decembrie 2023.</w:t>
      </w:r>
    </w:p>
    <w:p w14:paraId="7BC0D8E1"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 xml:space="preserve">Investiția 9 - Program de sprijin pentru posesorii de certificate de excelență primite în cadrul concursului pentru burse individuale Marie Sklodowska Curie </w:t>
      </w:r>
    </w:p>
    <w:p w14:paraId="304D1C29"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Obiectivul acestei investiții este de a spori atractivitatea carierei de cercetare și de a-i sprijini pe cercetătorii confirmați în derularea proiectului lor de cercetare.</w:t>
      </w:r>
    </w:p>
    <w:p w14:paraId="193E2471" w14:textId="214121A0" w:rsidR="00500CF9" w:rsidRPr="000A27B3" w:rsidRDefault="00500CF9">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Investiția este menită să recompenseze cel puțin 10 cercetători de nivel excelent care vor primi burse de excelență Marie Sklodowska Curie până la 31 decembrie 2023. </w:t>
      </w:r>
    </w:p>
    <w:p w14:paraId="0008CAD6"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măsurii cu Orientările tehnice privind aplicarea principiului de „a nu aduce prejudicii semnificative” (2021/C58/01), proiectele de cercetare referitoare la următoarea listă de activități și active vor fi excluse de la eligibilitate: (i) activitățile și activele legate de combustibili fosili, inclusiv utilizarea în aval; (ii) activitățile și activele din cadrul sistemului UE de comercializare a certificatelor de emisii (ETS) cu emisii preconizate de gaze cu efect de seră care nu sunt mai mici decât valorile de referință relevante; (iii) activitățile și activele legate de depozite de deșeuri, incineratoare și instalații de tratare mecano­biologică a deșeurilor; și (iv) activitățile și activele în cadrul cărora eliminarea pe termen lung a deșeurilor poate dăuna mediului.</w:t>
      </w:r>
    </w:p>
    <w:p w14:paraId="6C5A27AA" w14:textId="77777777" w:rsidR="00500CF9" w:rsidRPr="000A27B3" w:rsidRDefault="00500CF9">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31 decembrie 2023.</w:t>
      </w:r>
    </w:p>
    <w:p w14:paraId="59B0A03D" w14:textId="77777777" w:rsidR="00500CF9" w:rsidRPr="000A27B3" w:rsidRDefault="00500CF9">
      <w:pPr>
        <w:pStyle w:val="Standard"/>
        <w:spacing w:before="240"/>
        <w:jc w:val="both"/>
        <w:rPr>
          <w:rFonts w:ascii="Times New Roman" w:eastAsiaTheme="majorEastAsia" w:hAnsi="Times New Roman" w:cs="Times New Roman"/>
          <w:bCs/>
          <w:noProof/>
          <w:u w:val="single"/>
        </w:rPr>
      </w:pPr>
      <w:r>
        <w:rPr>
          <w:noProof/>
          <w:u w:val="single"/>
        </w:rPr>
        <w:t>Investiția 10 - Înființarea și susținerea financiară a unei rețele naționale de opt centre regionale de orientare în carieră ca parte a ERA TALENT PLATFORM</w:t>
      </w:r>
    </w:p>
    <w:p w14:paraId="680038F9" w14:textId="63C2B08B" w:rsidR="00500CF9" w:rsidRPr="000A27B3" w:rsidRDefault="00500CF9">
      <w:pPr>
        <w:spacing w:before="120" w:after="120" w:line="240" w:lineRule="auto"/>
        <w:jc w:val="both"/>
        <w:rPr>
          <w:rFonts w:ascii="Times New Roman" w:hAnsi="Times New Roman" w:cs="Times New Roman"/>
          <w:bCs/>
          <w:noProof/>
          <w:sz w:val="24"/>
        </w:rPr>
      </w:pPr>
      <w:r>
        <w:rPr>
          <w:rFonts w:ascii="Times New Roman" w:hAnsi="Times New Roman"/>
          <w:noProof/>
          <w:sz w:val="24"/>
        </w:rPr>
        <w:t xml:space="preserve">Obiectivul acestei investiții este de a promova cariera în cercetare și de a atrage elevii și studenții să desfășoare activități de cercetare și să dezvolte interesul cetățenilor pentru cercetare. </w:t>
      </w:r>
    </w:p>
    <w:p w14:paraId="6B96891D" w14:textId="77777777" w:rsidR="00500CF9" w:rsidRPr="000A27B3" w:rsidRDefault="00500CF9">
      <w:pPr>
        <w:spacing w:before="120" w:after="120" w:line="240" w:lineRule="auto"/>
        <w:jc w:val="both"/>
        <w:rPr>
          <w:rFonts w:ascii="Times New Roman" w:hAnsi="Times New Roman" w:cs="Times New Roman"/>
          <w:bCs/>
          <w:noProof/>
          <w:sz w:val="24"/>
        </w:rPr>
      </w:pPr>
      <w:r>
        <w:rPr>
          <w:rFonts w:ascii="Times New Roman" w:hAnsi="Times New Roman"/>
          <w:noProof/>
          <w:sz w:val="24"/>
        </w:rPr>
        <w:t>Investiția constă în înființarea și operaționalizarea a 8 centre de orientare în carieră din domeniul cercetării, care să ofere orientare în carieră cercetătorilor, să promoveze profesia de cercetător și să creeze sinergii directe cu investiția 4.4. Cele 8 centre vor funcționa, de asemenea, ca o rețea și vor deveni un punct unic de intrare pentru cariera de cercetare și vor corela activitățile de orientare în cariera de cercetare cu un program educațional axat pe știință cu și pentru societate, promovând în același timp rezultatele cercetării românești și sensibilizând publicul cu privire la beneficiile științei în societate.</w:t>
      </w:r>
    </w:p>
    <w:p w14:paraId="09170384" w14:textId="77777777" w:rsidR="00500CF9" w:rsidRPr="000A27B3" w:rsidRDefault="00500CF9">
      <w:pPr>
        <w:spacing w:before="120" w:after="120" w:line="240" w:lineRule="auto"/>
        <w:jc w:val="both"/>
        <w:rPr>
          <w:rFonts w:ascii="Times New Roman" w:hAnsi="Times New Roman" w:cs="Times New Roman"/>
          <w:bCs/>
          <w:noProof/>
          <w:sz w:val="24"/>
        </w:rPr>
      </w:pPr>
      <w:r>
        <w:rPr>
          <w:rFonts w:ascii="Times New Roman" w:hAnsi="Times New Roman"/>
          <w:noProof/>
          <w:sz w:val="24"/>
        </w:rPr>
        <w:t>Implementarea investiției va fi finalizată până la 30 iunie 2026.</w:t>
      </w:r>
    </w:p>
    <w:p w14:paraId="52EE9AAC" w14:textId="77777777" w:rsidR="00500CF9" w:rsidRPr="009F1DC7" w:rsidRDefault="00500CF9">
      <w:pPr>
        <w:spacing w:before="120" w:after="120" w:line="240" w:lineRule="auto"/>
        <w:jc w:val="both"/>
        <w:rPr>
          <w:rFonts w:ascii="Times New Roman" w:hAnsi="Times New Roman" w:cs="Times New Roman"/>
          <w:bCs/>
          <w:noProof/>
          <w:sz w:val="24"/>
          <w:lang w:val="fr-FR"/>
        </w:rPr>
        <w:sectPr w:rsidR="00500CF9" w:rsidRPr="009F1DC7" w:rsidSect="00ED6412">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p w14:paraId="26B08969" w14:textId="77777777" w:rsidR="00500CF9" w:rsidRPr="000A27B3" w:rsidRDefault="00500CF9">
      <w:pPr>
        <w:keepNext/>
        <w:numPr>
          <w:ilvl w:val="1"/>
          <w:numId w:val="0"/>
        </w:numPr>
        <w:spacing w:before="120" w:after="120" w:line="240" w:lineRule="auto"/>
        <w:ind w:left="850" w:hanging="130"/>
        <w:jc w:val="both"/>
        <w:outlineLvl w:val="1"/>
        <w:rPr>
          <w:rFonts w:ascii="Times New Roman" w:eastAsiaTheme="majorEastAsia" w:hAnsi="Times New Roman" w:cs="Times New Roman"/>
          <w:b/>
          <w:bCs/>
          <w:noProof/>
          <w:sz w:val="24"/>
          <w:szCs w:val="26"/>
        </w:rPr>
      </w:pPr>
      <w:r>
        <w:rPr>
          <w:rFonts w:ascii="Times New Roman" w:hAnsi="Times New Roman"/>
          <w:b/>
          <w:noProof/>
          <w:sz w:val="24"/>
        </w:rPr>
        <w:t xml:space="preserve">I.2. </w:t>
      </w:r>
      <w:r>
        <w:rPr>
          <w:noProof/>
        </w:rPr>
        <w:tab/>
      </w:r>
      <w:r>
        <w:rPr>
          <w:rFonts w:ascii="Times New Roman" w:hAnsi="Times New Roman"/>
          <w:b/>
          <w:noProof/>
          <w:sz w:val="24"/>
        </w:rPr>
        <w:t xml:space="preserve">Jaloane, ținte, indicatori și calendarul de monitorizare și implementare aplicabile împrumutului </w:t>
      </w:r>
    </w:p>
    <w:tbl>
      <w:tblPr>
        <w:tblW w:w="15876" w:type="dxa"/>
        <w:jc w:val="center"/>
        <w:tblLayout w:type="fixed"/>
        <w:tblCellMar>
          <w:left w:w="28" w:type="dxa"/>
          <w:right w:w="28" w:type="dxa"/>
        </w:tblCellMar>
        <w:tblLook w:val="04A0" w:firstRow="1" w:lastRow="0" w:firstColumn="1" w:lastColumn="0" w:noHBand="0" w:noVBand="1"/>
      </w:tblPr>
      <w:tblGrid>
        <w:gridCol w:w="606"/>
        <w:gridCol w:w="1844"/>
        <w:gridCol w:w="1089"/>
        <w:gridCol w:w="1496"/>
        <w:gridCol w:w="1766"/>
        <w:gridCol w:w="1234"/>
        <w:gridCol w:w="1080"/>
        <w:gridCol w:w="1080"/>
        <w:gridCol w:w="1200"/>
        <w:gridCol w:w="721"/>
        <w:gridCol w:w="3760"/>
      </w:tblGrid>
      <w:tr w:rsidR="000A27B3" w:rsidRPr="000A27B3" w14:paraId="1F3C3F41" w14:textId="77777777" w:rsidTr="00ED2A55">
        <w:trPr>
          <w:trHeight w:val="20"/>
          <w:tblHeader/>
          <w:jc w:val="center"/>
        </w:trPr>
        <w:tc>
          <w:tcPr>
            <w:tcW w:w="60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943B36"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Număr secvențial</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B07E0E"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Măsură conexă (reformă sau investiție)</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0A717" w14:textId="7C1348DA"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Jalon/</w:t>
            </w:r>
            <w:r w:rsidR="00ED2A55">
              <w:rPr>
                <w:rFonts w:ascii="Times New Roman" w:hAnsi="Times New Roman"/>
                <w:b/>
                <w:noProof/>
                <w:sz w:val="24"/>
              </w:rPr>
              <w:br/>
            </w:r>
            <w:r>
              <w:rPr>
                <w:rFonts w:ascii="Times New Roman" w:hAnsi="Times New Roman"/>
                <w:b/>
                <w:noProof/>
                <w:sz w:val="24"/>
              </w:rPr>
              <w:t>țintă</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770C8C"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Denumire</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2945FB"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Indicatori</w:t>
            </w:r>
          </w:p>
          <w:p w14:paraId="5C6E6FF8"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39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3CA695E"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Indicatori</w:t>
            </w:r>
          </w:p>
          <w:p w14:paraId="573900AE" w14:textId="019A5C15"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921" w:type="dxa"/>
            <w:gridSpan w:val="2"/>
            <w:tcBorders>
              <w:top w:val="single" w:sz="4" w:space="0" w:color="auto"/>
              <w:left w:val="nil"/>
              <w:bottom w:val="single" w:sz="4" w:space="0" w:color="auto"/>
              <w:right w:val="single" w:sz="4" w:space="0" w:color="auto"/>
            </w:tcBorders>
            <w:shd w:val="clear" w:color="auto" w:fill="BDD7EE"/>
            <w:vAlign w:val="center"/>
            <w:hideMark/>
          </w:tcPr>
          <w:p w14:paraId="40DC02A1"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Calendar orientativ</w:t>
            </w:r>
          </w:p>
          <w:p w14:paraId="535DB826" w14:textId="7D00CC40"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pentru atingerea jaloanelor/</w:t>
            </w:r>
            <w:r w:rsidR="00ED2A55">
              <w:rPr>
                <w:rFonts w:ascii="Times New Roman" w:hAnsi="Times New Roman"/>
                <w:b/>
                <w:noProof/>
                <w:sz w:val="24"/>
              </w:rPr>
              <w:br/>
            </w:r>
            <w:r>
              <w:rPr>
                <w:rFonts w:ascii="Times New Roman" w:hAnsi="Times New Roman"/>
                <w:b/>
                <w:noProof/>
                <w:sz w:val="24"/>
              </w:rPr>
              <w:t xml:space="preserve">țintelor </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6E6597"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Descrierea fiecărui jalon și a fiecărei ținte</w:t>
            </w:r>
          </w:p>
        </w:tc>
      </w:tr>
      <w:tr w:rsidR="000A27B3" w:rsidRPr="000A27B3" w14:paraId="164EEDAA" w14:textId="77777777" w:rsidTr="00ED2A55">
        <w:trPr>
          <w:trHeight w:val="20"/>
          <w:tblHeader/>
          <w:jc w:val="center"/>
        </w:trPr>
        <w:tc>
          <w:tcPr>
            <w:tcW w:w="606" w:type="dxa"/>
            <w:vMerge/>
            <w:tcBorders>
              <w:top w:val="single" w:sz="4" w:space="0" w:color="auto"/>
              <w:left w:val="single" w:sz="4" w:space="0" w:color="auto"/>
              <w:bottom w:val="single" w:sz="4" w:space="0" w:color="auto"/>
              <w:right w:val="single" w:sz="4" w:space="0" w:color="auto"/>
            </w:tcBorders>
            <w:hideMark/>
          </w:tcPr>
          <w:p w14:paraId="65535B94" w14:textId="77777777" w:rsidR="00500CF9" w:rsidRPr="009F1DC7" w:rsidRDefault="00500CF9">
            <w:pPr>
              <w:spacing w:after="0" w:line="240" w:lineRule="auto"/>
              <w:jc w:val="center"/>
              <w:rPr>
                <w:rFonts w:ascii="Times New Roman" w:eastAsia="Times New Roman" w:hAnsi="Times New Roman" w:cs="Times New Roman"/>
                <w:noProof/>
                <w:sz w:val="24"/>
                <w:szCs w:val="24"/>
                <w:lang w:eastAsia="en-GB"/>
              </w:rPr>
            </w:pPr>
          </w:p>
        </w:tc>
        <w:tc>
          <w:tcPr>
            <w:tcW w:w="1844" w:type="dxa"/>
            <w:vMerge/>
            <w:tcBorders>
              <w:top w:val="single" w:sz="4" w:space="0" w:color="auto"/>
              <w:left w:val="single" w:sz="4" w:space="0" w:color="auto"/>
              <w:bottom w:val="single" w:sz="4" w:space="0" w:color="auto"/>
              <w:right w:val="single" w:sz="4" w:space="0" w:color="auto"/>
            </w:tcBorders>
            <w:hideMark/>
          </w:tcPr>
          <w:p w14:paraId="49ED3B18"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089" w:type="dxa"/>
            <w:vMerge/>
            <w:tcBorders>
              <w:top w:val="single" w:sz="4" w:space="0" w:color="auto"/>
              <w:left w:val="single" w:sz="4" w:space="0" w:color="auto"/>
              <w:bottom w:val="single" w:sz="4" w:space="0" w:color="auto"/>
              <w:right w:val="single" w:sz="4" w:space="0" w:color="auto"/>
            </w:tcBorders>
            <w:hideMark/>
          </w:tcPr>
          <w:p w14:paraId="2D00EB00" w14:textId="77777777" w:rsidR="00500CF9" w:rsidRPr="009F1DC7" w:rsidRDefault="00500CF9">
            <w:pPr>
              <w:spacing w:after="0" w:line="240" w:lineRule="auto"/>
              <w:jc w:val="center"/>
              <w:rPr>
                <w:rFonts w:ascii="Times New Roman" w:eastAsia="Times New Roman" w:hAnsi="Times New Roman" w:cs="Times New Roman"/>
                <w:noProof/>
                <w:sz w:val="24"/>
                <w:szCs w:val="24"/>
                <w:lang w:eastAsia="en-GB"/>
              </w:rPr>
            </w:pPr>
          </w:p>
        </w:tc>
        <w:tc>
          <w:tcPr>
            <w:tcW w:w="1496" w:type="dxa"/>
            <w:vMerge/>
            <w:tcBorders>
              <w:top w:val="single" w:sz="4" w:space="0" w:color="auto"/>
              <w:left w:val="single" w:sz="4" w:space="0" w:color="auto"/>
              <w:bottom w:val="single" w:sz="4" w:space="0" w:color="auto"/>
              <w:right w:val="single" w:sz="4" w:space="0" w:color="auto"/>
            </w:tcBorders>
            <w:hideMark/>
          </w:tcPr>
          <w:p w14:paraId="17442C54"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766" w:type="dxa"/>
            <w:vMerge/>
            <w:tcBorders>
              <w:top w:val="single" w:sz="4" w:space="0" w:color="auto"/>
              <w:left w:val="single" w:sz="4" w:space="0" w:color="auto"/>
              <w:bottom w:val="single" w:sz="4" w:space="0" w:color="auto"/>
              <w:right w:val="single" w:sz="4" w:space="0" w:color="auto"/>
            </w:tcBorders>
            <w:hideMark/>
          </w:tcPr>
          <w:p w14:paraId="2D655760"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234" w:type="dxa"/>
            <w:tcBorders>
              <w:top w:val="nil"/>
              <w:left w:val="single" w:sz="4" w:space="0" w:color="auto"/>
              <w:bottom w:val="single" w:sz="4" w:space="0" w:color="auto"/>
              <w:right w:val="single" w:sz="4" w:space="0" w:color="auto"/>
            </w:tcBorders>
            <w:shd w:val="clear" w:color="auto" w:fill="BDD7EE"/>
            <w:vAlign w:val="center"/>
            <w:hideMark/>
          </w:tcPr>
          <w:p w14:paraId="23D5D4F2"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Unitate</w:t>
            </w:r>
          </w:p>
          <w:p w14:paraId="5D56FDF0"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de</w:t>
            </w:r>
          </w:p>
          <w:p w14:paraId="6D58B89A"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măsură</w:t>
            </w:r>
          </w:p>
        </w:tc>
        <w:tc>
          <w:tcPr>
            <w:tcW w:w="1080" w:type="dxa"/>
            <w:tcBorders>
              <w:top w:val="nil"/>
              <w:left w:val="nil"/>
              <w:bottom w:val="single" w:sz="4" w:space="0" w:color="auto"/>
              <w:right w:val="single" w:sz="4" w:space="0" w:color="auto"/>
            </w:tcBorders>
            <w:shd w:val="clear" w:color="auto" w:fill="BDD7EE"/>
            <w:vAlign w:val="center"/>
            <w:hideMark/>
          </w:tcPr>
          <w:p w14:paraId="70D4EB85" w14:textId="16C7623D" w:rsidR="00500CF9" w:rsidRPr="000A27B3" w:rsidRDefault="00500CF9" w:rsidP="00566C3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 xml:space="preserve">Valoare de referință </w:t>
            </w:r>
          </w:p>
        </w:tc>
        <w:tc>
          <w:tcPr>
            <w:tcW w:w="1080" w:type="dxa"/>
            <w:tcBorders>
              <w:top w:val="nil"/>
              <w:left w:val="nil"/>
              <w:bottom w:val="single" w:sz="4" w:space="0" w:color="auto"/>
              <w:right w:val="single" w:sz="4" w:space="0" w:color="auto"/>
            </w:tcBorders>
            <w:shd w:val="clear" w:color="auto" w:fill="BDD7EE"/>
            <w:vAlign w:val="center"/>
            <w:hideMark/>
          </w:tcPr>
          <w:p w14:paraId="335C41D5"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 xml:space="preserve">Obiectiv </w:t>
            </w:r>
          </w:p>
        </w:tc>
        <w:tc>
          <w:tcPr>
            <w:tcW w:w="1200" w:type="dxa"/>
            <w:tcBorders>
              <w:top w:val="nil"/>
              <w:left w:val="nil"/>
              <w:bottom w:val="single" w:sz="4" w:space="0" w:color="auto"/>
              <w:right w:val="single" w:sz="4" w:space="0" w:color="auto"/>
            </w:tcBorders>
            <w:shd w:val="clear" w:color="auto" w:fill="BDD7EE"/>
            <w:vAlign w:val="center"/>
            <w:hideMark/>
          </w:tcPr>
          <w:p w14:paraId="75564D3C"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Trimestru</w:t>
            </w:r>
          </w:p>
        </w:tc>
        <w:tc>
          <w:tcPr>
            <w:tcW w:w="721" w:type="dxa"/>
            <w:tcBorders>
              <w:top w:val="nil"/>
              <w:left w:val="nil"/>
              <w:bottom w:val="single" w:sz="4" w:space="0" w:color="auto"/>
              <w:right w:val="single" w:sz="4" w:space="0" w:color="auto"/>
            </w:tcBorders>
            <w:shd w:val="clear" w:color="auto" w:fill="BDD7EE"/>
            <w:vAlign w:val="center"/>
            <w:hideMark/>
          </w:tcPr>
          <w:p w14:paraId="0ADDF43B" w14:textId="77777777" w:rsidR="00500CF9" w:rsidRPr="000A27B3" w:rsidRDefault="00500CF9">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An</w:t>
            </w:r>
          </w:p>
        </w:tc>
        <w:tc>
          <w:tcPr>
            <w:tcW w:w="3760" w:type="dxa"/>
            <w:vMerge/>
            <w:tcBorders>
              <w:top w:val="single" w:sz="4" w:space="0" w:color="auto"/>
              <w:bottom w:val="single" w:sz="4" w:space="0" w:color="auto"/>
              <w:right w:val="single" w:sz="4" w:space="0" w:color="auto"/>
            </w:tcBorders>
            <w:hideMark/>
          </w:tcPr>
          <w:p w14:paraId="7FEF319A"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r>
      <w:tr w:rsidR="000A27B3" w:rsidRPr="000A27B3" w14:paraId="56CB0D47"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D004B0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241</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3F4B353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Transparentizare legislativă, debirocratizare și simplificare procedurală destinate mediului de afaceri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344772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349B477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modificărilor legislative menite să raționalizeze, să simplifice și să digitalizeze pe deplin procedurile legate de întreprinderi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4127514" w14:textId="3B278AAC"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care indică data de intrare în vigoare a i) Legii nr. 31/1990 – Dreptul societăților comerciale, ii) Legii nr. 26/1990, republicată, privind registrul comerțului, iii) Decretului-lege nr. 122/1990 privind autorizarea și funcționarea în România a reprezentanților societăților străine și ai organizațiilor economice și iv) Legea nr. 53/2003 – Codul muncii </w:t>
            </w:r>
          </w:p>
        </w:tc>
        <w:tc>
          <w:tcPr>
            <w:tcW w:w="1234" w:type="dxa"/>
            <w:tcBorders>
              <w:top w:val="nil"/>
              <w:left w:val="single" w:sz="4" w:space="0" w:color="auto"/>
              <w:bottom w:val="single" w:sz="4" w:space="0" w:color="auto"/>
              <w:right w:val="single" w:sz="4" w:space="0" w:color="auto"/>
            </w:tcBorders>
            <w:shd w:val="clear" w:color="auto" w:fill="C6EFCE"/>
            <w:noWrap/>
          </w:tcPr>
          <w:p w14:paraId="132264F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29885CB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6F5A353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single" w:sz="4" w:space="0" w:color="auto"/>
              <w:bottom w:val="single" w:sz="4" w:space="0" w:color="auto"/>
              <w:right w:val="single" w:sz="4" w:space="0" w:color="auto"/>
            </w:tcBorders>
            <w:shd w:val="clear" w:color="auto" w:fill="C6EFCE"/>
            <w:noWrap/>
          </w:tcPr>
          <w:p w14:paraId="72B8838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1" w:type="dxa"/>
            <w:tcBorders>
              <w:top w:val="nil"/>
              <w:left w:val="single" w:sz="4" w:space="0" w:color="auto"/>
              <w:bottom w:val="single" w:sz="4" w:space="0" w:color="auto"/>
              <w:right w:val="single" w:sz="4" w:space="0" w:color="auto"/>
            </w:tcBorders>
            <w:shd w:val="clear" w:color="auto" w:fill="C6EFCE"/>
            <w:noWrap/>
          </w:tcPr>
          <w:p w14:paraId="2B9AB85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699DF96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Modificările legislative vor reduce sarcina administrativă asupra întreprinderilor prin simplificarea legislației/procedurilor de înființare/ieșire de pe piață pentru întreprinderi, în special a următoarelor proceduri:</w:t>
            </w:r>
          </w:p>
          <w:p w14:paraId="6C74E50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 înființarea unei întreprinderi, ieșirea de pe piață/închiderea unei întreprinderi; </w:t>
            </w:r>
          </w:p>
          <w:p w14:paraId="5B83929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 eficientizarea, simplificarea și digitalizarea procedurilor pentru autorizarea și operarea reprezentanțelor străine în România; </w:t>
            </w:r>
          </w:p>
          <w:p w14:paraId="619A87B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 raportarea obligațiilor de pe piața muncii pentru companii și alte raportări obligatorii</w:t>
            </w:r>
          </w:p>
          <w:p w14:paraId="005626F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Vor fi aduse modificări legislative următoarelor acte normative:</w:t>
            </w:r>
          </w:p>
          <w:p w14:paraId="0420B7C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Legea societăților comerciale nr. 31/1990, inițiate de Ministerul Justiției;</w:t>
            </w:r>
          </w:p>
          <w:p w14:paraId="7636368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Legea nr. 26/1990, republicată, privind registrul comerțului;</w:t>
            </w:r>
          </w:p>
          <w:p w14:paraId="18D722A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Decretul-lege nr. 122/1990 privind autorizarea și funcționarea în România a reprezentanților societăților străine și ai organizațiilor economice, inițiate de Ministerul Economiei, Antreprenoriatului și Turismului;</w:t>
            </w:r>
          </w:p>
          <w:p w14:paraId="10598EE1" w14:textId="305D8D55"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Legea nr. 53/2003 privind Codul Muncii, inițiate de Ministerul Muncii și Protecției Sociale</w:t>
            </w:r>
          </w:p>
        </w:tc>
      </w:tr>
      <w:tr w:rsidR="000A27B3" w:rsidRPr="000A27B3" w14:paraId="05AE8DE9"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6C937D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242</w:t>
            </w:r>
          </w:p>
        </w:tc>
        <w:tc>
          <w:tcPr>
            <w:tcW w:w="1844" w:type="dxa"/>
            <w:tcBorders>
              <w:top w:val="nil"/>
              <w:left w:val="single" w:sz="4" w:space="0" w:color="auto"/>
              <w:bottom w:val="single" w:sz="4" w:space="0" w:color="auto"/>
              <w:right w:val="single" w:sz="4" w:space="0" w:color="auto"/>
            </w:tcBorders>
            <w:shd w:val="clear" w:color="auto" w:fill="C6EFCE"/>
            <w:noWrap/>
          </w:tcPr>
          <w:p w14:paraId="306FB475" w14:textId="4D33574C"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Transparentizare legislativă, debirocratizare și simplificare procedurală destinate mediului de afaceri </w:t>
            </w:r>
          </w:p>
        </w:tc>
        <w:tc>
          <w:tcPr>
            <w:tcW w:w="1089" w:type="dxa"/>
            <w:tcBorders>
              <w:top w:val="nil"/>
              <w:left w:val="single" w:sz="4" w:space="0" w:color="auto"/>
              <w:bottom w:val="single" w:sz="4" w:space="0" w:color="auto"/>
              <w:right w:val="single" w:sz="4" w:space="0" w:color="auto"/>
            </w:tcBorders>
            <w:shd w:val="clear" w:color="auto" w:fill="C6EFCE"/>
            <w:noWrap/>
          </w:tcPr>
          <w:p w14:paraId="486AAA5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3F14E00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modificărilor legislative menite să simplifice și să asigure transparența și aplicabilitatea testului IMM</w:t>
            </w:r>
          </w:p>
        </w:tc>
        <w:tc>
          <w:tcPr>
            <w:tcW w:w="1766" w:type="dxa"/>
            <w:tcBorders>
              <w:top w:val="nil"/>
              <w:left w:val="single" w:sz="4" w:space="0" w:color="auto"/>
              <w:bottom w:val="single" w:sz="4" w:space="0" w:color="auto"/>
              <w:right w:val="single" w:sz="4" w:space="0" w:color="auto"/>
            </w:tcBorders>
            <w:shd w:val="clear" w:color="auto" w:fill="C6EFCE"/>
            <w:noWrap/>
          </w:tcPr>
          <w:p w14:paraId="1EE28CD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din lege care indică intrarea în vigoare a Legii nr. 346/2004 privind promovarea înființării și dezvoltării întreprinderilor mici și mijlocii</w:t>
            </w:r>
          </w:p>
        </w:tc>
        <w:tc>
          <w:tcPr>
            <w:tcW w:w="1234" w:type="dxa"/>
            <w:tcBorders>
              <w:top w:val="nil"/>
              <w:left w:val="single" w:sz="4" w:space="0" w:color="auto"/>
              <w:bottom w:val="single" w:sz="4" w:space="0" w:color="auto"/>
              <w:right w:val="single" w:sz="4" w:space="0" w:color="auto"/>
            </w:tcBorders>
            <w:shd w:val="clear" w:color="auto" w:fill="C6EFCE"/>
            <w:noWrap/>
          </w:tcPr>
          <w:p w14:paraId="7442AF7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3D53008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3448758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single" w:sz="4" w:space="0" w:color="auto"/>
              <w:bottom w:val="single" w:sz="4" w:space="0" w:color="auto"/>
              <w:right w:val="single" w:sz="4" w:space="0" w:color="auto"/>
            </w:tcBorders>
            <w:shd w:val="clear" w:color="auto" w:fill="C6EFCE"/>
            <w:noWrap/>
          </w:tcPr>
          <w:p w14:paraId="5AD20CF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1" w:type="dxa"/>
            <w:tcBorders>
              <w:top w:val="nil"/>
              <w:left w:val="single" w:sz="4" w:space="0" w:color="auto"/>
              <w:bottom w:val="single" w:sz="4" w:space="0" w:color="auto"/>
              <w:right w:val="single" w:sz="4" w:space="0" w:color="auto"/>
            </w:tcBorders>
            <w:shd w:val="clear" w:color="auto" w:fill="C6EFCE"/>
            <w:noWrap/>
          </w:tcPr>
          <w:p w14:paraId="4747634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18B8599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Modificările legislative sunt legate de testul IMM (evaluarea </w:t>
            </w:r>
            <w:r>
              <w:rPr>
                <w:rFonts w:ascii="Times New Roman" w:hAnsi="Times New Roman"/>
                <w:i/>
                <w:noProof/>
                <w:sz w:val="24"/>
              </w:rPr>
              <w:t>ex ante</w:t>
            </w:r>
            <w:r>
              <w:rPr>
                <w:rFonts w:ascii="Times New Roman" w:hAnsi="Times New Roman"/>
                <w:noProof/>
                <w:sz w:val="24"/>
              </w:rPr>
              <w:t xml:space="preserve"> a impactului economic, social și de mediu al propunerilor legislative privind întreprinderile mici și mijlocii). </w:t>
            </w:r>
          </w:p>
          <w:p w14:paraId="73518B3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Modificările vor asigura faptul că:</w:t>
            </w:r>
          </w:p>
          <w:p w14:paraId="1A56678B" w14:textId="77777777" w:rsidR="00500CF9" w:rsidRPr="000A27B3" w:rsidRDefault="00500CF9" w:rsidP="00500CF9">
            <w:pPr>
              <w:numPr>
                <w:ilvl w:val="0"/>
                <w:numId w:val="70"/>
              </w:numPr>
              <w:spacing w:before="120" w:after="0" w:line="240" w:lineRule="auto"/>
              <w:ind w:left="299" w:hanging="218"/>
              <w:contextualSpacing/>
              <w:jc w:val="both"/>
              <w:rPr>
                <w:rFonts w:ascii="Times New Roman" w:hAnsi="Times New Roman" w:cs="Times New Roman"/>
                <w:noProof/>
                <w:sz w:val="24"/>
                <w:szCs w:val="24"/>
              </w:rPr>
            </w:pPr>
            <w:r>
              <w:rPr>
                <w:rFonts w:ascii="Times New Roman" w:hAnsi="Times New Roman"/>
                <w:noProof/>
                <w:sz w:val="24"/>
              </w:rPr>
              <w:t>este consultat un eșantion mai mare și mai reprezentativ de IMM-uri.</w:t>
            </w:r>
          </w:p>
          <w:p w14:paraId="7FCEF990" w14:textId="77777777" w:rsidR="00500CF9" w:rsidRPr="000A27B3" w:rsidRDefault="00500CF9" w:rsidP="00500CF9">
            <w:pPr>
              <w:numPr>
                <w:ilvl w:val="0"/>
                <w:numId w:val="70"/>
              </w:numPr>
              <w:spacing w:before="120" w:after="0" w:line="240" w:lineRule="auto"/>
              <w:ind w:left="299" w:hanging="218"/>
              <w:contextualSpacing/>
              <w:jc w:val="both"/>
              <w:rPr>
                <w:rFonts w:ascii="Times New Roman" w:hAnsi="Times New Roman" w:cs="Times New Roman"/>
                <w:noProof/>
                <w:sz w:val="24"/>
                <w:szCs w:val="24"/>
              </w:rPr>
            </w:pPr>
            <w:r>
              <w:rPr>
                <w:rFonts w:ascii="Times New Roman" w:hAnsi="Times New Roman"/>
                <w:noProof/>
                <w:sz w:val="24"/>
              </w:rPr>
              <w:t>rezultatele testului IMM pentru fiecare propunere legislativă sunt publicate în termen de 30 de zile</w:t>
            </w:r>
          </w:p>
          <w:p w14:paraId="424900C0" w14:textId="77777777" w:rsidR="00500CF9" w:rsidRPr="000A27B3" w:rsidRDefault="00500CF9" w:rsidP="00500CF9">
            <w:pPr>
              <w:numPr>
                <w:ilvl w:val="0"/>
                <w:numId w:val="70"/>
              </w:numPr>
              <w:spacing w:before="120" w:after="0" w:line="240" w:lineRule="auto"/>
              <w:ind w:left="299" w:hanging="218"/>
              <w:contextualSpacing/>
              <w:jc w:val="both"/>
              <w:rPr>
                <w:rFonts w:ascii="Times New Roman" w:hAnsi="Times New Roman" w:cs="Times New Roman"/>
                <w:noProof/>
                <w:sz w:val="24"/>
                <w:szCs w:val="24"/>
              </w:rPr>
            </w:pPr>
            <w:r>
              <w:rPr>
                <w:rFonts w:ascii="Times New Roman" w:hAnsi="Times New Roman"/>
                <w:noProof/>
                <w:sz w:val="24"/>
              </w:rPr>
              <w:t>rezultatele testului IMM sunt incluse în propunerea legislativă/amendamentele referitoare la IMM-uri.</w:t>
            </w:r>
          </w:p>
        </w:tc>
      </w:tr>
      <w:tr w:rsidR="000A27B3" w:rsidRPr="005209CD" w14:paraId="059896AA"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486D40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243</w:t>
            </w:r>
          </w:p>
        </w:tc>
        <w:tc>
          <w:tcPr>
            <w:tcW w:w="1844" w:type="dxa"/>
            <w:tcBorders>
              <w:top w:val="nil"/>
              <w:left w:val="single" w:sz="4" w:space="0" w:color="auto"/>
              <w:bottom w:val="single" w:sz="4" w:space="0" w:color="auto"/>
              <w:right w:val="single" w:sz="4" w:space="0" w:color="auto"/>
            </w:tcBorders>
            <w:shd w:val="clear" w:color="auto" w:fill="C6EFCE"/>
            <w:noWrap/>
          </w:tcPr>
          <w:p w14:paraId="1381B73D" w14:textId="7AD7B62F"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Transparentizare legislativă, debirocratizare și simplificare procedurală destinate mediului de afaceri </w:t>
            </w:r>
          </w:p>
        </w:tc>
        <w:tc>
          <w:tcPr>
            <w:tcW w:w="1089" w:type="dxa"/>
            <w:tcBorders>
              <w:top w:val="nil"/>
              <w:left w:val="single" w:sz="4" w:space="0" w:color="auto"/>
              <w:bottom w:val="single" w:sz="4" w:space="0" w:color="auto"/>
              <w:right w:val="single" w:sz="4" w:space="0" w:color="auto"/>
            </w:tcBorders>
            <w:shd w:val="clear" w:color="auto" w:fill="C6EFCE"/>
            <w:noWrap/>
          </w:tcPr>
          <w:p w14:paraId="725F61B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5033CEE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legii „Licenței industriale unice” </w:t>
            </w:r>
          </w:p>
        </w:tc>
        <w:tc>
          <w:tcPr>
            <w:tcW w:w="1766" w:type="dxa"/>
            <w:tcBorders>
              <w:top w:val="nil"/>
              <w:left w:val="single" w:sz="4" w:space="0" w:color="auto"/>
              <w:bottom w:val="single" w:sz="4" w:space="0" w:color="auto"/>
              <w:right w:val="single" w:sz="4" w:space="0" w:color="auto"/>
            </w:tcBorders>
            <w:shd w:val="clear" w:color="auto" w:fill="C6EFCE"/>
            <w:noWrap/>
          </w:tcPr>
          <w:p w14:paraId="6E94E9F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licenței industriale unice</w:t>
            </w:r>
          </w:p>
        </w:tc>
        <w:tc>
          <w:tcPr>
            <w:tcW w:w="1234" w:type="dxa"/>
            <w:tcBorders>
              <w:top w:val="nil"/>
              <w:left w:val="single" w:sz="4" w:space="0" w:color="auto"/>
              <w:bottom w:val="single" w:sz="4" w:space="0" w:color="auto"/>
              <w:right w:val="single" w:sz="4" w:space="0" w:color="auto"/>
            </w:tcBorders>
            <w:shd w:val="clear" w:color="auto" w:fill="C6EFCE"/>
            <w:noWrap/>
          </w:tcPr>
          <w:p w14:paraId="61E0096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6AD5DDFA"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single" w:sz="4" w:space="0" w:color="auto"/>
              <w:bottom w:val="single" w:sz="4" w:space="0" w:color="auto"/>
              <w:right w:val="single" w:sz="4" w:space="0" w:color="auto"/>
            </w:tcBorders>
            <w:shd w:val="clear" w:color="auto" w:fill="C6EFCE"/>
            <w:noWrap/>
          </w:tcPr>
          <w:p w14:paraId="29B1C20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single" w:sz="4" w:space="0" w:color="auto"/>
              <w:bottom w:val="single" w:sz="4" w:space="0" w:color="auto"/>
              <w:right w:val="single" w:sz="4" w:space="0" w:color="auto"/>
            </w:tcBorders>
            <w:shd w:val="clear" w:color="auto" w:fill="C6EFCE"/>
            <w:noWrap/>
          </w:tcPr>
          <w:p w14:paraId="236E148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5115AA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4735F4F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Legea licenței industriale unice va asigura: </w:t>
            </w:r>
          </w:p>
          <w:p w14:paraId="7C03D4F6"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o reorganizare a procedurilor necesare pentru obținerea licențelor industriale;</w:t>
            </w:r>
          </w:p>
          <w:p w14:paraId="3A0DDFC6"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 integrarea licențelor sectoriale existente într-o singură procedură simplificată; </w:t>
            </w:r>
          </w:p>
          <w:p w14:paraId="414E72E4"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redefinirea procedurilor de cerere a licenței, instituirea unui organism de coordonare, a unui grup de lucru interministerial, pentru a coordona aceste proceduri; </w:t>
            </w:r>
          </w:p>
          <w:p w14:paraId="799A6500"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eliminarea controalelor duble și a cerințelor inutile de reînnoire a licențelor; </w:t>
            </w:r>
          </w:p>
          <w:p w14:paraId="3321987A"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crearea unei taxonomii a tipurilor de licențe, în funcție de principalele funcții și caracteristici ale acestora </w:t>
            </w:r>
          </w:p>
          <w:p w14:paraId="2AE35451"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o modificare a legii din 2003 care stabilește politica „tăcerea înseamnă consimțământ” – Ordonanța de urgență a Guvernului nr. 27/2003 – cu scopul de a avea un calendar pentru aprobarea tacită (tăcerea înseamnă consimțământ) care intră în vigoare atunci când platforma electronică înregistrează cererea de acordare a licenței. Cererea de acordare a licenței se acordă automat dacă/atunci când intervine aprobarea tacită;</w:t>
            </w:r>
          </w:p>
          <w:p w14:paraId="6E2672A7"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adoptarea, în legislația românească, a principiului „o singură dată”, care permite investitorilor să aibă doar o singură dată obligația să furnizeze aceleași informații sau documente instituțiilor publice;</w:t>
            </w:r>
          </w:p>
          <w:p w14:paraId="54095898" w14:textId="77777777" w:rsidR="00500CF9" w:rsidRPr="000A27B3" w:rsidRDefault="00500CF9" w:rsidP="00500CF9">
            <w:pPr>
              <w:numPr>
                <w:ilvl w:val="0"/>
                <w:numId w:val="72"/>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adoptarea modificărilor legislative necesare pentru implementarea deplină a unui punct de contact unic electronic, care să includă o definiție a principalelor sale caracteristici. </w:t>
            </w:r>
          </w:p>
        </w:tc>
      </w:tr>
      <w:tr w:rsidR="000A27B3" w:rsidRPr="005209CD" w14:paraId="27EE42EF"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9D8AA4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244</w:t>
            </w:r>
          </w:p>
        </w:tc>
        <w:tc>
          <w:tcPr>
            <w:tcW w:w="1844" w:type="dxa"/>
            <w:tcBorders>
              <w:top w:val="nil"/>
              <w:left w:val="single" w:sz="4" w:space="0" w:color="auto"/>
              <w:bottom w:val="single" w:sz="4" w:space="0" w:color="auto"/>
              <w:right w:val="single" w:sz="4" w:space="0" w:color="auto"/>
            </w:tcBorders>
            <w:shd w:val="clear" w:color="auto" w:fill="C6EFCE"/>
            <w:noWrap/>
          </w:tcPr>
          <w:p w14:paraId="1808902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Transparentizare legislativă, debirocratizare și simplificare procedurală destinate mediului de afaceri </w:t>
            </w:r>
          </w:p>
        </w:tc>
        <w:tc>
          <w:tcPr>
            <w:tcW w:w="1089" w:type="dxa"/>
            <w:tcBorders>
              <w:top w:val="nil"/>
              <w:left w:val="single" w:sz="4" w:space="0" w:color="auto"/>
              <w:bottom w:val="single" w:sz="4" w:space="0" w:color="auto"/>
              <w:right w:val="single" w:sz="4" w:space="0" w:color="auto"/>
            </w:tcBorders>
            <w:shd w:val="clear" w:color="auto" w:fill="C6EFCE"/>
            <w:noWrap/>
          </w:tcPr>
          <w:p w14:paraId="1B8EEA6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54C3612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reducerea timpului mediu necesar pentru îndeplinirea cerințelor de reglementare legate de mediul de afaceri </w:t>
            </w:r>
          </w:p>
        </w:tc>
        <w:tc>
          <w:tcPr>
            <w:tcW w:w="1766" w:type="dxa"/>
            <w:tcBorders>
              <w:top w:val="nil"/>
              <w:left w:val="single" w:sz="4" w:space="0" w:color="auto"/>
              <w:bottom w:val="single" w:sz="4" w:space="0" w:color="auto"/>
              <w:right w:val="single" w:sz="4" w:space="0" w:color="auto"/>
            </w:tcBorders>
            <w:shd w:val="clear" w:color="auto" w:fill="C6EFCE"/>
            <w:noWrap/>
          </w:tcPr>
          <w:p w14:paraId="66724EE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4A4925C4"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33ABF1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2FC1F55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3EED69D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200" w:type="dxa"/>
            <w:tcBorders>
              <w:top w:val="nil"/>
              <w:left w:val="single" w:sz="4" w:space="0" w:color="auto"/>
              <w:bottom w:val="single" w:sz="4" w:space="0" w:color="auto"/>
              <w:right w:val="single" w:sz="4" w:space="0" w:color="auto"/>
            </w:tcBorders>
            <w:shd w:val="clear" w:color="auto" w:fill="C6EFCE"/>
            <w:noWrap/>
          </w:tcPr>
          <w:p w14:paraId="35030EA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51565F4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7991361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Reducerea cu 50 % a perioadei de timp necesare pentru:</w:t>
            </w:r>
          </w:p>
          <w:p w14:paraId="52D55617" w14:textId="77777777" w:rsidR="00500CF9" w:rsidRPr="000A27B3" w:rsidRDefault="00500CF9" w:rsidP="00500CF9">
            <w:pPr>
              <w:numPr>
                <w:ilvl w:val="0"/>
                <w:numId w:val="73"/>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înființarea/ieșirea de pe piață a întreprinderilor; </w:t>
            </w:r>
          </w:p>
          <w:p w14:paraId="5D5497AE" w14:textId="77777777" w:rsidR="00500CF9" w:rsidRPr="000A27B3" w:rsidRDefault="00500CF9" w:rsidP="00500CF9">
            <w:pPr>
              <w:numPr>
                <w:ilvl w:val="0"/>
                <w:numId w:val="73"/>
              </w:numPr>
              <w:spacing w:before="120"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autorizarea reprezentanțelor străine în România; industria prelucrătoare</w:t>
            </w:r>
          </w:p>
          <w:p w14:paraId="114BDA8F" w14:textId="77777777" w:rsidR="00500CF9" w:rsidRPr="000A27B3" w:rsidRDefault="00500CF9" w:rsidP="00500CF9">
            <w:pPr>
              <w:numPr>
                <w:ilvl w:val="0"/>
                <w:numId w:val="73"/>
              </w:numPr>
              <w:spacing w:after="0" w:line="240" w:lineRule="auto"/>
              <w:ind w:left="441"/>
              <w:contextualSpacing/>
              <w:jc w:val="both"/>
              <w:rPr>
                <w:rFonts w:ascii="Times New Roman" w:hAnsi="Times New Roman" w:cs="Times New Roman"/>
                <w:noProof/>
                <w:sz w:val="24"/>
                <w:szCs w:val="24"/>
              </w:rPr>
            </w:pPr>
            <w:r>
              <w:rPr>
                <w:rFonts w:ascii="Times New Roman" w:hAnsi="Times New Roman"/>
                <w:noProof/>
                <w:sz w:val="24"/>
              </w:rPr>
              <w:t xml:space="preserve">obținerea de licențe/permise industriale </w:t>
            </w:r>
          </w:p>
          <w:p w14:paraId="260C6C7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Intervalul de referință care trebuie utilizat:</w:t>
            </w:r>
          </w:p>
          <w:p w14:paraId="45A96313" w14:textId="77777777" w:rsidR="00500CF9" w:rsidRPr="000A27B3" w:rsidRDefault="00500CF9" w:rsidP="00500CF9">
            <w:pPr>
              <w:numPr>
                <w:ilvl w:val="0"/>
                <w:numId w:val="74"/>
              </w:numPr>
              <w:spacing w:before="120" w:after="0" w:line="240" w:lineRule="auto"/>
              <w:ind w:left="299" w:hanging="222"/>
              <w:contextualSpacing/>
              <w:jc w:val="both"/>
              <w:rPr>
                <w:rFonts w:ascii="Times New Roman" w:hAnsi="Times New Roman" w:cs="Times New Roman"/>
                <w:noProof/>
                <w:sz w:val="24"/>
                <w:szCs w:val="24"/>
              </w:rPr>
            </w:pPr>
            <w:r>
              <w:rPr>
                <w:rFonts w:ascii="Times New Roman" w:hAnsi="Times New Roman"/>
                <w:noProof/>
                <w:sz w:val="24"/>
              </w:rPr>
              <w:t>20 zile – demararea unei afaceri în 2020</w:t>
            </w:r>
          </w:p>
          <w:p w14:paraId="0E4AADF1" w14:textId="77777777" w:rsidR="00500CF9" w:rsidRPr="000A27B3" w:rsidRDefault="00500CF9" w:rsidP="00500CF9">
            <w:pPr>
              <w:numPr>
                <w:ilvl w:val="0"/>
                <w:numId w:val="74"/>
              </w:numPr>
              <w:spacing w:before="120" w:after="0" w:line="240" w:lineRule="auto"/>
              <w:ind w:left="299" w:hanging="222"/>
              <w:contextualSpacing/>
              <w:jc w:val="both"/>
              <w:rPr>
                <w:rFonts w:ascii="Times New Roman" w:hAnsi="Times New Roman" w:cs="Times New Roman"/>
                <w:noProof/>
                <w:sz w:val="24"/>
                <w:szCs w:val="24"/>
              </w:rPr>
            </w:pPr>
            <w:r>
              <w:rPr>
                <w:rFonts w:ascii="Times New Roman" w:hAnsi="Times New Roman"/>
                <w:noProof/>
                <w:sz w:val="24"/>
              </w:rPr>
              <w:t>30 de zile – autorizarea unei reprezentanțe străine în 2020</w:t>
            </w:r>
          </w:p>
          <w:p w14:paraId="61FFA874" w14:textId="77777777" w:rsidR="00500CF9" w:rsidRPr="000A27B3" w:rsidRDefault="00500CF9" w:rsidP="00500CF9">
            <w:pPr>
              <w:numPr>
                <w:ilvl w:val="0"/>
                <w:numId w:val="74"/>
              </w:numPr>
              <w:spacing w:before="120" w:after="0" w:line="240" w:lineRule="auto"/>
              <w:ind w:left="299" w:hanging="222"/>
              <w:contextualSpacing/>
              <w:jc w:val="both"/>
              <w:rPr>
                <w:rFonts w:ascii="Times New Roman" w:hAnsi="Times New Roman" w:cs="Times New Roman"/>
                <w:noProof/>
                <w:sz w:val="24"/>
                <w:szCs w:val="24"/>
              </w:rPr>
            </w:pPr>
            <w:r>
              <w:rPr>
                <w:rFonts w:ascii="Times New Roman" w:hAnsi="Times New Roman"/>
                <w:noProof/>
                <w:sz w:val="24"/>
              </w:rPr>
              <w:t>o medie de 217 zile – obținerea de licențe/permise industriale în 2020 (exemplu: 147 de zile – obținerea unui permis de construcție;</w:t>
            </w:r>
          </w:p>
        </w:tc>
      </w:tr>
      <w:tr w:rsidR="000A27B3" w:rsidRPr="005209CD" w14:paraId="1F12B909"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A8A87A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245</w:t>
            </w:r>
          </w:p>
        </w:tc>
        <w:tc>
          <w:tcPr>
            <w:tcW w:w="1844" w:type="dxa"/>
            <w:tcBorders>
              <w:top w:val="nil"/>
              <w:left w:val="single" w:sz="4" w:space="0" w:color="auto"/>
              <w:bottom w:val="single" w:sz="4" w:space="0" w:color="auto"/>
              <w:right w:val="single" w:sz="4" w:space="0" w:color="auto"/>
            </w:tcBorders>
            <w:shd w:val="clear" w:color="auto" w:fill="C6EFCE"/>
            <w:noWrap/>
          </w:tcPr>
          <w:p w14:paraId="2F83717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 Transparentizare legislativă, debirocratizare și simplificare procedurală destinate mediului de afaceri </w:t>
            </w:r>
          </w:p>
        </w:tc>
        <w:tc>
          <w:tcPr>
            <w:tcW w:w="1089" w:type="dxa"/>
            <w:tcBorders>
              <w:top w:val="nil"/>
              <w:left w:val="single" w:sz="4" w:space="0" w:color="auto"/>
              <w:bottom w:val="single" w:sz="4" w:space="0" w:color="auto"/>
              <w:right w:val="single" w:sz="4" w:space="0" w:color="auto"/>
            </w:tcBorders>
            <w:shd w:val="clear" w:color="auto" w:fill="C6EFCE"/>
            <w:noWrap/>
          </w:tcPr>
          <w:p w14:paraId="60A544B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3F4AE45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Acte legislative/modificări referitoare la IMM-urile cărora li s-a aplicat testul</w:t>
            </w:r>
          </w:p>
        </w:tc>
        <w:tc>
          <w:tcPr>
            <w:tcW w:w="1766" w:type="dxa"/>
            <w:tcBorders>
              <w:top w:val="nil"/>
              <w:left w:val="single" w:sz="4" w:space="0" w:color="auto"/>
              <w:bottom w:val="single" w:sz="4" w:space="0" w:color="auto"/>
              <w:right w:val="single" w:sz="4" w:space="0" w:color="auto"/>
            </w:tcBorders>
            <w:shd w:val="clear" w:color="auto" w:fill="C6EFCE"/>
            <w:noWrap/>
          </w:tcPr>
          <w:p w14:paraId="3725F99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46E469CC"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43BB987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0ED3FF05" w14:textId="6B8945D8"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50 % [2020]</w:t>
            </w:r>
          </w:p>
          <w:p w14:paraId="75EB1FB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582D3C9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100 % </w:t>
            </w:r>
          </w:p>
          <w:p w14:paraId="5A7B8AF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508FBC9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3543AF6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00AD9AA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100 % din actele legislative/modificările referitoare la IMM-urile cărora li s-a aplicat testul </w:t>
            </w:r>
          </w:p>
        </w:tc>
      </w:tr>
      <w:tr w:rsidR="000A27B3" w:rsidRPr="005209CD" w14:paraId="21A8F9C1"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2C5142D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246</w:t>
            </w:r>
          </w:p>
        </w:tc>
        <w:tc>
          <w:tcPr>
            <w:tcW w:w="1844" w:type="dxa"/>
            <w:tcBorders>
              <w:top w:val="nil"/>
              <w:left w:val="single" w:sz="4" w:space="0" w:color="auto"/>
              <w:bottom w:val="single" w:sz="4" w:space="0" w:color="auto"/>
              <w:right w:val="single" w:sz="4" w:space="0" w:color="auto"/>
            </w:tcBorders>
            <w:shd w:val="clear" w:color="auto" w:fill="C6EFCE"/>
            <w:noWrap/>
          </w:tcPr>
          <w:p w14:paraId="447F379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Platforme digitale privind transparentizarea legislativă, debirocratizarea și simplificarea procedurală destinate mediului de afaceri. </w:t>
            </w:r>
          </w:p>
        </w:tc>
        <w:tc>
          <w:tcPr>
            <w:tcW w:w="1089" w:type="dxa"/>
            <w:tcBorders>
              <w:top w:val="nil"/>
              <w:left w:val="single" w:sz="4" w:space="0" w:color="auto"/>
              <w:bottom w:val="single" w:sz="4" w:space="0" w:color="auto"/>
              <w:right w:val="single" w:sz="4" w:space="0" w:color="auto"/>
            </w:tcBorders>
            <w:shd w:val="clear" w:color="auto" w:fill="C6EFCE"/>
            <w:noWrap/>
          </w:tcPr>
          <w:p w14:paraId="5F859F5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243EED8E" w14:textId="17E0E10E"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Platforme digitale create, conectate la cloudul guvernului și pe deplin operaționale </w:t>
            </w:r>
          </w:p>
        </w:tc>
        <w:tc>
          <w:tcPr>
            <w:tcW w:w="1766" w:type="dxa"/>
            <w:tcBorders>
              <w:top w:val="nil"/>
              <w:left w:val="single" w:sz="4" w:space="0" w:color="auto"/>
              <w:bottom w:val="single" w:sz="4" w:space="0" w:color="auto"/>
              <w:right w:val="single" w:sz="4" w:space="0" w:color="auto"/>
            </w:tcBorders>
            <w:shd w:val="clear" w:color="auto" w:fill="C6EFCE"/>
            <w:noWrap/>
          </w:tcPr>
          <w:p w14:paraId="1D2C1A5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Platformele digitale sunt create și sunt operaționale</w:t>
            </w:r>
          </w:p>
        </w:tc>
        <w:tc>
          <w:tcPr>
            <w:tcW w:w="1234" w:type="dxa"/>
            <w:tcBorders>
              <w:top w:val="nil"/>
              <w:left w:val="single" w:sz="4" w:space="0" w:color="auto"/>
              <w:bottom w:val="single" w:sz="4" w:space="0" w:color="auto"/>
              <w:right w:val="single" w:sz="4" w:space="0" w:color="auto"/>
            </w:tcBorders>
            <w:shd w:val="clear" w:color="auto" w:fill="C6EFCE"/>
            <w:noWrap/>
          </w:tcPr>
          <w:p w14:paraId="3FFBF09F"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3F4ADC4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35F070F2"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6429CAC1" w14:textId="69531979"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32543BF6" w14:textId="340536DC"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648D0AC8" w14:textId="43237981"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Instituirea a cel puțin două platforme digitale publice operaționale care să fie conectate la cloudul guvernului și să fie pe deplin operaționale și care să utilizeze baze de date digitale relevante actuale, astfel:</w:t>
            </w:r>
          </w:p>
          <w:p w14:paraId="5FBC4981" w14:textId="39E1BCF1"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introducerea unui ghișeu unic (</w:t>
            </w:r>
            <w:r>
              <w:rPr>
                <w:rFonts w:ascii="Times New Roman" w:hAnsi="Times New Roman"/>
                <w:i/>
                <w:iCs/>
                <w:noProof/>
                <w:sz w:val="24"/>
              </w:rPr>
              <w:t>one stop shop</w:t>
            </w:r>
            <w:r>
              <w:rPr>
                <w:rFonts w:ascii="Times New Roman" w:hAnsi="Times New Roman"/>
                <w:noProof/>
                <w:sz w:val="24"/>
              </w:rPr>
              <w:t>) pentru licențe/autorizații/certificări</w:t>
            </w:r>
          </w:p>
          <w:p w14:paraId="06E9985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stimularea competitivității mediului de afaceri pentru a asigura transparența legislativă, debirocratizarea și simplificarea procedurală.</w:t>
            </w:r>
          </w:p>
          <w:p w14:paraId="6F6570E5" w14:textId="2F75BC3E"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r>
      <w:tr w:rsidR="000A27B3" w:rsidRPr="005209CD" w14:paraId="7AFA821D"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A821EA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247</w:t>
            </w:r>
          </w:p>
        </w:tc>
        <w:tc>
          <w:tcPr>
            <w:tcW w:w="1844" w:type="dxa"/>
            <w:tcBorders>
              <w:top w:val="nil"/>
              <w:left w:val="single" w:sz="4" w:space="0" w:color="auto"/>
              <w:bottom w:val="single" w:sz="4" w:space="0" w:color="auto"/>
              <w:right w:val="single" w:sz="4" w:space="0" w:color="auto"/>
            </w:tcBorders>
            <w:shd w:val="clear" w:color="auto" w:fill="C6EFCE"/>
            <w:noWrap/>
          </w:tcPr>
          <w:p w14:paraId="1CDDE53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2.1 Instrumente financiare pentru sectorul privat – Garanția de portofoliu pentru reziliență </w:t>
            </w:r>
          </w:p>
        </w:tc>
        <w:tc>
          <w:tcPr>
            <w:tcW w:w="1089" w:type="dxa"/>
            <w:tcBorders>
              <w:top w:val="nil"/>
              <w:left w:val="single" w:sz="4" w:space="0" w:color="auto"/>
              <w:bottom w:val="single" w:sz="4" w:space="0" w:color="auto"/>
              <w:right w:val="single" w:sz="4" w:space="0" w:color="auto"/>
            </w:tcBorders>
            <w:shd w:val="clear" w:color="auto" w:fill="C6EFCE"/>
            <w:noWrap/>
          </w:tcPr>
          <w:p w14:paraId="07AE9FC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513495B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contribuție dintre Comisia Europeană și Guvernul României.</w:t>
            </w:r>
          </w:p>
        </w:tc>
        <w:tc>
          <w:tcPr>
            <w:tcW w:w="1766" w:type="dxa"/>
            <w:tcBorders>
              <w:top w:val="nil"/>
              <w:left w:val="single" w:sz="4" w:space="0" w:color="auto"/>
              <w:bottom w:val="single" w:sz="4" w:space="0" w:color="auto"/>
              <w:right w:val="single" w:sz="4" w:space="0" w:color="auto"/>
            </w:tcBorders>
            <w:shd w:val="clear" w:color="auto" w:fill="C6EFCE"/>
            <w:noWrap/>
          </w:tcPr>
          <w:p w14:paraId="69609A6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Acord semnat</w:t>
            </w:r>
          </w:p>
        </w:tc>
        <w:tc>
          <w:tcPr>
            <w:tcW w:w="1234" w:type="dxa"/>
            <w:tcBorders>
              <w:top w:val="nil"/>
              <w:left w:val="single" w:sz="4" w:space="0" w:color="auto"/>
              <w:bottom w:val="single" w:sz="4" w:space="0" w:color="auto"/>
              <w:right w:val="single" w:sz="4" w:space="0" w:color="auto"/>
            </w:tcBorders>
            <w:shd w:val="clear" w:color="auto" w:fill="C6EFCE"/>
            <w:noWrap/>
          </w:tcPr>
          <w:p w14:paraId="3A10EE4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36914FB1"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FAAFA7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5D58684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23A6123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3514887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contribuție dintre Comisia Europeană și Guvernul României.</w:t>
            </w:r>
          </w:p>
          <w:p w14:paraId="6FC40C94" w14:textId="77777777" w:rsidR="00500CF9" w:rsidRPr="000A27B3" w:rsidRDefault="00500CF9" w:rsidP="00500CF9">
            <w:pPr>
              <w:numPr>
                <w:ilvl w:val="2"/>
                <w:numId w:val="69"/>
              </w:numPr>
              <w:spacing w:after="0" w:line="240" w:lineRule="auto"/>
              <w:ind w:left="178" w:hanging="308"/>
              <w:jc w:val="both"/>
              <w:rPr>
                <w:rFonts w:ascii="Times New Roman" w:hAnsi="Times New Roman" w:cs="Times New Roman"/>
                <w:noProof/>
                <w:sz w:val="24"/>
                <w:szCs w:val="24"/>
              </w:rPr>
            </w:pPr>
            <w:r>
              <w:rPr>
                <w:rFonts w:ascii="Times New Roman" w:hAnsi="Times New Roman"/>
                <w:noProof/>
                <w:sz w:val="24"/>
              </w:rPr>
              <w:t>Conformitatea cu Orientările tehnice privind aplicarea principiului de „a nu aduce prejudicii semnificative” (2021/C58/01) a tranzacțiilor care beneficiază de sprijin în cadrul acestei măsuri prin utilizarea unei evaluări a sustenabilității și a unei liste de excludere.</w:t>
            </w:r>
          </w:p>
          <w:p w14:paraId="4F237151" w14:textId="77777777" w:rsidR="00500CF9" w:rsidRPr="000A27B3" w:rsidRDefault="00500CF9" w:rsidP="00500CF9">
            <w:pPr>
              <w:numPr>
                <w:ilvl w:val="2"/>
                <w:numId w:val="69"/>
              </w:numPr>
              <w:spacing w:after="0" w:line="240" w:lineRule="auto"/>
              <w:ind w:left="178" w:hanging="308"/>
              <w:jc w:val="both"/>
              <w:rPr>
                <w:rFonts w:ascii="Times New Roman" w:hAnsi="Times New Roman" w:cs="Times New Roman"/>
                <w:noProof/>
                <w:sz w:val="24"/>
                <w:szCs w:val="24"/>
              </w:rPr>
            </w:pPr>
            <w:r>
              <w:rPr>
                <w:rFonts w:ascii="Times New Roman" w:hAnsi="Times New Roman"/>
                <w:noProof/>
                <w:sz w:val="24"/>
              </w:rPr>
              <w:t>Criterii pentru asigurarea conformității instrumentului financiar cu Nota de orientare a Comisiei din 22 ianuarie 2021 [SWD(2021) 12 final] referitoare la instrumentele financiare.</w:t>
            </w:r>
          </w:p>
          <w:p w14:paraId="1DBF0B7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Având în vedere că instrumentul propus este implementat ca o contribuție la InvestEU (compartimentul MS sau suplimentarea unui produs existent în cadrul compartimentului UE), îndeplinirea obiectivelor de la literele (a) și (b) menționate mai sus va fi asigurată prin aplicarea dispozițiilor InvestEU și a politicii de creditare și a criteriilor de excludere ale partenerului de implementare selectat. În acordul de garantare dintre Comisia Europeană și Fondul European de Investiții (FEI) se vor specifica excluderile suplimentare necesare pentru a se asigura conformitatea cu Orientările tehnice privind aplicarea principiului de „a nu aduce prejudicii semnificative” (2021/C58/01).</w:t>
            </w:r>
          </w:p>
          <w:p w14:paraId="4527A24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Instrumentul financiar va lua forma unei garanții de portofoliu, implementată de FEI, și va furniza finanțare și investiții IMM-urilor cu până la 249 de angajați, societăților cu până la 500 de angajați și persoanelor fizice („beneficiarilor”) prin intermediul capitalului circulant, al liniilor de credit, al împrumuturilor pentru investiții sau al leasingului. Acest instrument financiar va aborda obstacolele cu care se confruntă în prezent întreprinderile românești în ceea ce privește accesul la finanțare, și anume: costul ridicat al finanțării, lipsa garanțiilor și canalele de împrumut blocate. În special, instrumentul va aborda provocările în materie de lichiditate/solvabilitate cu care se confruntă întreprinderile din cauza incapacității lor de a-și îndeplini obligațiile financiare care rezultă din reducerea semnificativă și temporară a veniturilor lor, ca urmare a crizei provocate de pandemia de COVID-19. În acest context, instrumentul va urmări îmbunătățirea accesului la finanțare și revitalizarea canalelor de împrumut blocate în timpul și după criza COVID-19, prin sprijinirea investițiilor pe termen lung și a nevoilor de capital de lucru ale întreprinderilor. Se preconizează că cel puțin 1 500 de beneficiari vor primi sprijin în cadrul instrumentului. </w:t>
            </w:r>
          </w:p>
          <w:p w14:paraId="1C8A6E8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Structura instrumentului va permite mobilizarea de fonduri private. </w:t>
            </w:r>
          </w:p>
          <w:p w14:paraId="05BE922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Orice venituri ale instrumentului financiar, inclusiv din rambursări, precum și profiturile obținute prin utilizarea fondurilor Mecanismului de redresare și reziliență, din care se scad remunerația administratorului fondului și a intermediarilor financiari, se vor utiliza pentru aceleași obiective de politică, inclusiv după 2026.</w:t>
            </w:r>
          </w:p>
        </w:tc>
      </w:tr>
      <w:tr w:rsidR="000A27B3" w:rsidRPr="005209CD" w14:paraId="3F718044"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75E947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248</w:t>
            </w:r>
          </w:p>
        </w:tc>
        <w:tc>
          <w:tcPr>
            <w:tcW w:w="1844" w:type="dxa"/>
            <w:tcBorders>
              <w:top w:val="nil"/>
              <w:left w:val="single" w:sz="4" w:space="0" w:color="auto"/>
              <w:bottom w:val="single" w:sz="4" w:space="0" w:color="auto"/>
              <w:right w:val="single" w:sz="4" w:space="0" w:color="auto"/>
            </w:tcBorders>
            <w:shd w:val="clear" w:color="auto" w:fill="C6EFCE"/>
            <w:noWrap/>
          </w:tcPr>
          <w:p w14:paraId="02724B8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2.1 Instrumente financiare pentru sectorul privat – Garanția de portofoliu pentru reziliență </w:t>
            </w:r>
          </w:p>
        </w:tc>
        <w:tc>
          <w:tcPr>
            <w:tcW w:w="1089" w:type="dxa"/>
            <w:tcBorders>
              <w:top w:val="nil"/>
              <w:left w:val="single" w:sz="4" w:space="0" w:color="auto"/>
              <w:bottom w:val="single" w:sz="4" w:space="0" w:color="auto"/>
              <w:right w:val="single" w:sz="4" w:space="0" w:color="auto"/>
            </w:tcBorders>
            <w:shd w:val="clear" w:color="auto" w:fill="C6EFCE"/>
            <w:noWrap/>
          </w:tcPr>
          <w:p w14:paraId="75C78F9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03DBA99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50 % din cuantumul total al resurselor alocate instrumentului,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1D06A0D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2255F3F0"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567BF3C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6C4354C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6E19624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200" w:type="dxa"/>
            <w:tcBorders>
              <w:top w:val="nil"/>
              <w:left w:val="single" w:sz="4" w:space="0" w:color="auto"/>
              <w:bottom w:val="single" w:sz="4" w:space="0" w:color="auto"/>
              <w:right w:val="single" w:sz="4" w:space="0" w:color="auto"/>
            </w:tcBorders>
            <w:shd w:val="clear" w:color="auto" w:fill="C6EFCE"/>
            <w:noWrap/>
          </w:tcPr>
          <w:p w14:paraId="5EDC89A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4D9A6EC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nil"/>
              <w:left w:val="single" w:sz="4" w:space="0" w:color="auto"/>
              <w:bottom w:val="single" w:sz="4" w:space="0" w:color="auto"/>
              <w:right w:val="single" w:sz="4" w:space="0" w:color="auto"/>
            </w:tcBorders>
            <w:shd w:val="clear" w:color="auto" w:fill="C6EFCE"/>
            <w:noWrap/>
          </w:tcPr>
          <w:p w14:paraId="3898228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50 % din cuantumul total al resurselor alocate instrumentului, în conformitate cu cerințele specificate la jalonul 247, aprobate de Comitetul pentru investiții al InvestEU.</w:t>
            </w:r>
          </w:p>
        </w:tc>
      </w:tr>
      <w:tr w:rsidR="000A27B3" w:rsidRPr="005209CD" w14:paraId="576222BA"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005287C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249</w:t>
            </w:r>
          </w:p>
        </w:tc>
        <w:tc>
          <w:tcPr>
            <w:tcW w:w="1844" w:type="dxa"/>
            <w:tcBorders>
              <w:top w:val="nil"/>
              <w:left w:val="single" w:sz="4" w:space="0" w:color="auto"/>
              <w:bottom w:val="single" w:sz="4" w:space="0" w:color="auto"/>
              <w:right w:val="single" w:sz="4" w:space="0" w:color="auto"/>
            </w:tcBorders>
            <w:shd w:val="clear" w:color="auto" w:fill="C6EFCE"/>
            <w:noWrap/>
          </w:tcPr>
          <w:p w14:paraId="792F6CF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2.1 Instrumente financiare pentru sectorul privat – Garanția de portofoliu pentru reziliență </w:t>
            </w:r>
          </w:p>
        </w:tc>
        <w:tc>
          <w:tcPr>
            <w:tcW w:w="1089" w:type="dxa"/>
            <w:tcBorders>
              <w:top w:val="nil"/>
              <w:left w:val="single" w:sz="4" w:space="0" w:color="auto"/>
              <w:bottom w:val="single" w:sz="4" w:space="0" w:color="auto"/>
              <w:right w:val="single" w:sz="4" w:space="0" w:color="auto"/>
            </w:tcBorders>
            <w:shd w:val="clear" w:color="auto" w:fill="C6EFCE"/>
            <w:noWrap/>
          </w:tcPr>
          <w:p w14:paraId="2B73A50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0E8FFF3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100 % din resursele alocate instrumentului,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453E1DB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7B060B27"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31E6E10A"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0153F88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080" w:type="dxa"/>
            <w:tcBorders>
              <w:top w:val="nil"/>
              <w:left w:val="single" w:sz="4" w:space="0" w:color="auto"/>
              <w:bottom w:val="single" w:sz="4" w:space="0" w:color="auto"/>
              <w:right w:val="single" w:sz="4" w:space="0" w:color="auto"/>
            </w:tcBorders>
            <w:shd w:val="clear" w:color="auto" w:fill="C6EFCE"/>
            <w:noWrap/>
          </w:tcPr>
          <w:p w14:paraId="0D71255D"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100</w:t>
            </w:r>
          </w:p>
        </w:tc>
        <w:tc>
          <w:tcPr>
            <w:tcW w:w="1200" w:type="dxa"/>
            <w:tcBorders>
              <w:top w:val="nil"/>
              <w:left w:val="single" w:sz="4" w:space="0" w:color="auto"/>
              <w:bottom w:val="single" w:sz="4" w:space="0" w:color="auto"/>
              <w:right w:val="single" w:sz="4" w:space="0" w:color="auto"/>
            </w:tcBorders>
            <w:shd w:val="clear" w:color="auto" w:fill="C6EFCE"/>
            <w:noWrap/>
          </w:tcPr>
          <w:p w14:paraId="48B3129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18DDEE5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150E0F0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100 % din cuantumul total al resurselor alocate instrumentului, în conformitate cu cerințele specificate la jalonul 247, aprobate de Comitetul pentru investiții al InvestEU.</w:t>
            </w:r>
          </w:p>
        </w:tc>
      </w:tr>
      <w:tr w:rsidR="000A27B3" w:rsidRPr="005209CD" w14:paraId="6126708A"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ADB2E7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250</w:t>
            </w:r>
          </w:p>
        </w:tc>
        <w:tc>
          <w:tcPr>
            <w:tcW w:w="1844" w:type="dxa"/>
            <w:tcBorders>
              <w:top w:val="nil"/>
              <w:left w:val="single" w:sz="4" w:space="0" w:color="auto"/>
              <w:bottom w:val="single" w:sz="4" w:space="0" w:color="auto"/>
              <w:right w:val="single" w:sz="4" w:space="0" w:color="auto"/>
            </w:tcBorders>
            <w:shd w:val="clear" w:color="auto" w:fill="C6EFCE"/>
            <w:noWrap/>
          </w:tcPr>
          <w:p w14:paraId="7592262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2.2 Instrumente financiare pentru sectorul privat – Garanția de portofoliu pentru acțiune climatică </w:t>
            </w:r>
          </w:p>
        </w:tc>
        <w:tc>
          <w:tcPr>
            <w:tcW w:w="1089" w:type="dxa"/>
            <w:tcBorders>
              <w:top w:val="nil"/>
              <w:left w:val="single" w:sz="4" w:space="0" w:color="auto"/>
              <w:bottom w:val="single" w:sz="4" w:space="0" w:color="auto"/>
              <w:right w:val="single" w:sz="4" w:space="0" w:color="auto"/>
            </w:tcBorders>
            <w:shd w:val="clear" w:color="auto" w:fill="C6EFCE"/>
            <w:noWrap/>
          </w:tcPr>
          <w:p w14:paraId="02CDA1E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25C99DC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contribuție dintre Comisia Europeană și Guvernul României.</w:t>
            </w:r>
          </w:p>
        </w:tc>
        <w:tc>
          <w:tcPr>
            <w:tcW w:w="1766" w:type="dxa"/>
            <w:tcBorders>
              <w:top w:val="nil"/>
              <w:left w:val="single" w:sz="4" w:space="0" w:color="auto"/>
              <w:bottom w:val="single" w:sz="4" w:space="0" w:color="auto"/>
              <w:right w:val="single" w:sz="4" w:space="0" w:color="auto"/>
            </w:tcBorders>
            <w:shd w:val="clear" w:color="auto" w:fill="C6EFCE"/>
            <w:noWrap/>
          </w:tcPr>
          <w:p w14:paraId="42B7646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Acord semnat</w:t>
            </w:r>
          </w:p>
        </w:tc>
        <w:tc>
          <w:tcPr>
            <w:tcW w:w="1234" w:type="dxa"/>
            <w:tcBorders>
              <w:top w:val="nil"/>
              <w:left w:val="single" w:sz="4" w:space="0" w:color="auto"/>
              <w:bottom w:val="single" w:sz="4" w:space="0" w:color="auto"/>
              <w:right w:val="single" w:sz="4" w:space="0" w:color="auto"/>
            </w:tcBorders>
            <w:shd w:val="clear" w:color="auto" w:fill="C6EFCE"/>
            <w:noWrap/>
          </w:tcPr>
          <w:p w14:paraId="1093338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A2CD52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24F91BF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03B2CFF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7DDFF1A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134711E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contribuție dintre Comisia Europeană și Guvernul României.</w:t>
            </w:r>
          </w:p>
          <w:p w14:paraId="28868A3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 Criteriile de selecție pentru asigurarea conformității cu Orientările tehnice DNSH (2021/C58/01) a tranzacțiilor care beneficiază de sprijin în cadrul acestei măsuri prin utilizarea unei evaluări a sustenabilității și a unei liste de excludere.</w:t>
            </w:r>
          </w:p>
          <w:p w14:paraId="4C71E5EE" w14:textId="3BD9D635"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b. Criterii pentru asigurarea conformității instrumentului financiar cu Nota de orientare a Comisiei din 22</w:t>
            </w:r>
            <w:r w:rsidR="00ED2A55">
              <w:rPr>
                <w:rFonts w:ascii="Times New Roman" w:hAnsi="Times New Roman"/>
                <w:noProof/>
                <w:sz w:val="24"/>
              </w:rPr>
              <w:t> </w:t>
            </w:r>
            <w:r>
              <w:rPr>
                <w:rFonts w:ascii="Times New Roman" w:hAnsi="Times New Roman"/>
                <w:noProof/>
                <w:sz w:val="24"/>
              </w:rPr>
              <w:t>ianuarie 2021 [SWD(2021) 12 final] referitoare la instrumentele financiare.</w:t>
            </w:r>
          </w:p>
          <w:p w14:paraId="488EB5E6" w14:textId="77777777" w:rsidR="00500CF9" w:rsidRPr="009F1DC7" w:rsidRDefault="00500CF9">
            <w:pPr>
              <w:spacing w:after="0" w:line="240" w:lineRule="auto"/>
              <w:jc w:val="both"/>
              <w:rPr>
                <w:rFonts w:ascii="Times New Roman" w:hAnsi="Times New Roman" w:cs="Times New Roman"/>
                <w:noProof/>
                <w:sz w:val="24"/>
                <w:szCs w:val="24"/>
              </w:rPr>
            </w:pPr>
          </w:p>
          <w:p w14:paraId="25E51B9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Având în vedere că instrumentul propus este implementat ca o contribuție la InvestEU (eventuală suplimentare a unui produs existent în cadrul compartimentului UE), îndeplinirea obiectivelor de la literele (a) și (b) menționate mai sus va fi asigurată prin aplicarea dispozițiilor InvestEU și a politicii de creditare și a criteriilor de excludere ale partenerului de implementare selectat. În acordul de garantare dintre Comisia Europeană și Fondul European de Investiții (FEI) se vor specifica excluderile suplimentare necesare pentru a se asigura conformitatea cu Orientările tehnice privind aplicarea principiului de „a nu aduce prejudicii semnificative” (2021/C58/01).</w:t>
            </w:r>
          </w:p>
          <w:p w14:paraId="61610E7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Instrumentul de finanțare va lua forma unei garanții de portofoliu, implementate de FEI, și va furniza finanțare și investiții IMM-urilor cu până la 249 de angajați, întreprinderilor cu până la 500 de angajați și persoanelor fizice („beneficiarilor”) prin intermediul capitalului circulant, al liniilor de credit, al împrumuturilor pentru investiții sau al leasingului, destinate investițiilor și finanțării pentru îmbunătățirea eficienței energetice în întreprinderi și în sectorul rezidențial și al clădirilor. Se preconizează că cel puțin 250 de beneficiari vor primi sprijin în cadrul instrumentului. Scopul instrumentului va fi de a aborda provocările cu care se confruntă în prezent România în sprijinirea investițiilor în sectoarele eficienței energetice și energiei din surse regenerabile. Obiectivele specifice și ambițiile în materie de eficiență energetică ale instrumentului, precum și structura și criteriile de eligibilitate vor fi pe deplin aliniate și vor corespunde celor ale instrumentului InvestEU UE – componenta pentru UE, în curs de elaborare.</w:t>
            </w:r>
          </w:p>
          <w:p w14:paraId="63746FB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Structura instrumentului va permite mobilizarea de fonduri private. </w:t>
            </w:r>
          </w:p>
          <w:p w14:paraId="04EF088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Orice venituri ale instrumentului financiar, inclusiv din rambursări, precum și profiturile obținute prin utilizarea fondurilor Mecanismului de redresare și reziliență, din care se scad remunerația administratorului fondului și a intermediarilor financiari, se vor utiliza pentru aceleași obiective de politică, inclusiv după 2026.</w:t>
            </w:r>
          </w:p>
        </w:tc>
      </w:tr>
      <w:tr w:rsidR="000A27B3" w:rsidRPr="005209CD" w14:paraId="2C58A27B"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AB84E0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251</w:t>
            </w:r>
          </w:p>
        </w:tc>
        <w:tc>
          <w:tcPr>
            <w:tcW w:w="1844" w:type="dxa"/>
            <w:tcBorders>
              <w:top w:val="nil"/>
              <w:left w:val="single" w:sz="4" w:space="0" w:color="auto"/>
              <w:bottom w:val="single" w:sz="4" w:space="0" w:color="auto"/>
              <w:right w:val="single" w:sz="4" w:space="0" w:color="auto"/>
            </w:tcBorders>
            <w:shd w:val="clear" w:color="auto" w:fill="C6EFCE"/>
            <w:noWrap/>
          </w:tcPr>
          <w:p w14:paraId="2B95371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2.2 Instrumente financiare pentru sectorul privat – Garanția de portofoliu pentru acțiune climatică </w:t>
            </w:r>
          </w:p>
        </w:tc>
        <w:tc>
          <w:tcPr>
            <w:tcW w:w="1089" w:type="dxa"/>
            <w:tcBorders>
              <w:top w:val="nil"/>
              <w:left w:val="single" w:sz="4" w:space="0" w:color="auto"/>
              <w:bottom w:val="single" w:sz="4" w:space="0" w:color="auto"/>
              <w:right w:val="single" w:sz="4" w:space="0" w:color="auto"/>
            </w:tcBorders>
            <w:shd w:val="clear" w:color="auto" w:fill="C6EFCE"/>
            <w:noWrap/>
          </w:tcPr>
          <w:p w14:paraId="166FF03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5F5FF71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Operațiuni de finanțare sau de investiții în valoare de cel puțin 50 % din cuantumul total al resurselor alocate instrumentului, aprobate de Comitetul pentru investiții al InvestEU. </w:t>
            </w:r>
          </w:p>
        </w:tc>
        <w:tc>
          <w:tcPr>
            <w:tcW w:w="1766" w:type="dxa"/>
            <w:tcBorders>
              <w:top w:val="nil"/>
              <w:left w:val="single" w:sz="4" w:space="0" w:color="auto"/>
              <w:bottom w:val="single" w:sz="4" w:space="0" w:color="auto"/>
              <w:right w:val="single" w:sz="4" w:space="0" w:color="auto"/>
            </w:tcBorders>
            <w:shd w:val="clear" w:color="auto" w:fill="C6EFCE"/>
            <w:noWrap/>
          </w:tcPr>
          <w:p w14:paraId="7F96867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4CB17904"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4F7C7CF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5D3333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4260F89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200" w:type="dxa"/>
            <w:tcBorders>
              <w:top w:val="nil"/>
              <w:left w:val="single" w:sz="4" w:space="0" w:color="auto"/>
              <w:bottom w:val="single" w:sz="4" w:space="0" w:color="auto"/>
              <w:right w:val="single" w:sz="4" w:space="0" w:color="auto"/>
            </w:tcBorders>
            <w:shd w:val="clear" w:color="auto" w:fill="C6EFCE"/>
            <w:noWrap/>
          </w:tcPr>
          <w:p w14:paraId="1D2D551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6F26B2A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nil"/>
              <w:left w:val="single" w:sz="4" w:space="0" w:color="auto"/>
              <w:bottom w:val="single" w:sz="4" w:space="0" w:color="auto"/>
              <w:right w:val="single" w:sz="4" w:space="0" w:color="auto"/>
            </w:tcBorders>
            <w:shd w:val="clear" w:color="auto" w:fill="C6EFCE"/>
            <w:noWrap/>
          </w:tcPr>
          <w:p w14:paraId="3AA0228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50 % din cuantumul total al resurselor alocate instrumentului, în conformitate cu cerințele specificate la jalonul 250, aprobate de Comitetul pentru investiții al InvestEU.</w:t>
            </w:r>
          </w:p>
        </w:tc>
      </w:tr>
      <w:tr w:rsidR="000A27B3" w:rsidRPr="005209CD" w14:paraId="1125F907"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5F5E069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252</w:t>
            </w:r>
          </w:p>
        </w:tc>
        <w:tc>
          <w:tcPr>
            <w:tcW w:w="1844" w:type="dxa"/>
            <w:tcBorders>
              <w:top w:val="nil"/>
              <w:left w:val="single" w:sz="4" w:space="0" w:color="auto"/>
              <w:bottom w:val="single" w:sz="4" w:space="0" w:color="auto"/>
              <w:right w:val="single" w:sz="4" w:space="0" w:color="auto"/>
            </w:tcBorders>
            <w:shd w:val="clear" w:color="auto" w:fill="C6EFCE"/>
            <w:noWrap/>
          </w:tcPr>
          <w:p w14:paraId="352F109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2.2 Instrumente financiare pentru sectorul privat – Garanția de portofoliu pentru acțiune climatică </w:t>
            </w:r>
          </w:p>
        </w:tc>
        <w:tc>
          <w:tcPr>
            <w:tcW w:w="1089" w:type="dxa"/>
            <w:tcBorders>
              <w:top w:val="nil"/>
              <w:left w:val="single" w:sz="4" w:space="0" w:color="auto"/>
              <w:bottom w:val="single" w:sz="4" w:space="0" w:color="auto"/>
              <w:right w:val="single" w:sz="4" w:space="0" w:color="auto"/>
            </w:tcBorders>
            <w:shd w:val="clear" w:color="auto" w:fill="C6EFCE"/>
            <w:noWrap/>
          </w:tcPr>
          <w:p w14:paraId="699C4CD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2C3DBC9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100 % din cuantumul total al resurselor alocate instrumentului,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57789B7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48F0D6F5"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5A734DB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1479681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080" w:type="dxa"/>
            <w:tcBorders>
              <w:top w:val="nil"/>
              <w:left w:val="single" w:sz="4" w:space="0" w:color="auto"/>
              <w:bottom w:val="single" w:sz="4" w:space="0" w:color="auto"/>
              <w:right w:val="single" w:sz="4" w:space="0" w:color="auto"/>
            </w:tcBorders>
            <w:shd w:val="clear" w:color="auto" w:fill="C6EFCE"/>
            <w:noWrap/>
          </w:tcPr>
          <w:p w14:paraId="109AB81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100</w:t>
            </w:r>
          </w:p>
        </w:tc>
        <w:tc>
          <w:tcPr>
            <w:tcW w:w="1200" w:type="dxa"/>
            <w:tcBorders>
              <w:top w:val="nil"/>
              <w:left w:val="single" w:sz="4" w:space="0" w:color="auto"/>
              <w:bottom w:val="single" w:sz="4" w:space="0" w:color="auto"/>
              <w:right w:val="single" w:sz="4" w:space="0" w:color="auto"/>
            </w:tcBorders>
            <w:shd w:val="clear" w:color="auto" w:fill="C6EFCE"/>
            <w:noWrap/>
          </w:tcPr>
          <w:p w14:paraId="1A95D2C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00C3F68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78D4A76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100 % din cuantumul total al resurselor alocate instrumentului, în conformitate cu cerințele specificate la jalonul 250, aprobate de Comitetul pentru investiții al InvestEU.</w:t>
            </w:r>
          </w:p>
        </w:tc>
      </w:tr>
      <w:tr w:rsidR="000A27B3" w:rsidRPr="005209CD" w14:paraId="54EE96BD"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8CF36D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253</w:t>
            </w:r>
          </w:p>
        </w:tc>
        <w:tc>
          <w:tcPr>
            <w:tcW w:w="1844" w:type="dxa"/>
            <w:tcBorders>
              <w:top w:val="nil"/>
              <w:left w:val="single" w:sz="4" w:space="0" w:color="auto"/>
              <w:bottom w:val="single" w:sz="4" w:space="0" w:color="auto"/>
              <w:right w:val="single" w:sz="4" w:space="0" w:color="auto"/>
            </w:tcBorders>
            <w:shd w:val="clear" w:color="auto" w:fill="C6EFCE"/>
            <w:noWrap/>
          </w:tcPr>
          <w:p w14:paraId="4076CF6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2.3 Instrumente financiare pentru sectorul privat – Fondul de fonduri de capital de risc pentru redresare </w:t>
            </w:r>
          </w:p>
        </w:tc>
        <w:tc>
          <w:tcPr>
            <w:tcW w:w="1089" w:type="dxa"/>
            <w:tcBorders>
              <w:top w:val="nil"/>
              <w:left w:val="single" w:sz="4" w:space="0" w:color="auto"/>
              <w:bottom w:val="single" w:sz="4" w:space="0" w:color="auto"/>
              <w:right w:val="single" w:sz="4" w:space="0" w:color="auto"/>
            </w:tcBorders>
            <w:shd w:val="clear" w:color="auto" w:fill="C6EFCE"/>
            <w:noWrap/>
          </w:tcPr>
          <w:p w14:paraId="28FECC5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51F1714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Semnarea acordului de finanțare între Fondul European de Investiții și Guvernul României pentru crearea Fondului de fonduri de capital de risc pentru redresare (denumit în continuare „fondul”) și adoptarea politicii de investiții a fondului. </w:t>
            </w:r>
          </w:p>
        </w:tc>
        <w:tc>
          <w:tcPr>
            <w:tcW w:w="1766" w:type="dxa"/>
            <w:tcBorders>
              <w:top w:val="nil"/>
              <w:left w:val="single" w:sz="4" w:space="0" w:color="auto"/>
              <w:bottom w:val="single" w:sz="4" w:space="0" w:color="auto"/>
              <w:right w:val="single" w:sz="4" w:space="0" w:color="auto"/>
            </w:tcBorders>
            <w:shd w:val="clear" w:color="auto" w:fill="C6EFCE"/>
            <w:noWrap/>
          </w:tcPr>
          <w:p w14:paraId="36949F6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Acord semnat</w:t>
            </w:r>
          </w:p>
        </w:tc>
        <w:tc>
          <w:tcPr>
            <w:tcW w:w="1234" w:type="dxa"/>
            <w:tcBorders>
              <w:top w:val="nil"/>
              <w:left w:val="single" w:sz="4" w:space="0" w:color="auto"/>
              <w:bottom w:val="single" w:sz="4" w:space="0" w:color="auto"/>
              <w:right w:val="single" w:sz="4" w:space="0" w:color="auto"/>
            </w:tcBorders>
            <w:shd w:val="clear" w:color="auto" w:fill="C6EFCE"/>
            <w:noWrap/>
          </w:tcPr>
          <w:p w14:paraId="7EB49CCA"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1EFF82D"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1E10CDD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05B63FF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3BC0FF2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7608A6B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finanțare între Fondul European de Investiții și Guvernul României și adoptarea politicii de investiții a fondului. Acesta din urmă:</w:t>
            </w:r>
          </w:p>
          <w:p w14:paraId="44F0EC3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fi adoptat de organele de conducere ale instrumentului financiar;</w:t>
            </w:r>
          </w:p>
          <w:p w14:paraId="69A2A7C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respecta Nota de orientare a Comisiei din 22 ianuarie 2021 [SWD(2021) 12 final] referitoare la instrumentele financiare.</w:t>
            </w:r>
          </w:p>
          <w:p w14:paraId="200ABD0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include criteriile de selecție pentru asigurarea conformității cu Orientările tehnice DNSH (2021/C58/01) a tranzacțiilor care beneficiază de sprijin în cadrul acestei măsuri prin utilizarea evaluării sustenabilității, a unei liste de excludere și a cerinței de conformitate cu legislația UE și națională relevantă în materie de mediu;</w:t>
            </w:r>
          </w:p>
          <w:p w14:paraId="5701AF0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include cerința beneficiarii care obțin peste 50 % din veniturile proprii în cursul exercițiului financiar precedent din activități sau active incluse pe lista de excludere să adopte și să publice planuri privind tranziția verde.</w:t>
            </w:r>
          </w:p>
          <w:p w14:paraId="76A5377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Fondul va oferi sprijin sub formă de instrumente financiare (capitaluri proprii) IMM-urilor, întreprinderilor cu capitalizare medie, inclusiv întreprinderilor nou-înființate, întreprinderilor aflate în stadii incipiente și avansate de dezvoltare, precum și proiectelor de infrastructură axate pe energia din surse regenerabile și eficiența energetică. Sprijinul va fi furnizat prin intermediul fondurilor de capital de risc și al fondurilor de infrastructură. Numărul-țintă de beneficiari este de 100.</w:t>
            </w:r>
          </w:p>
          <w:p w14:paraId="3B4E0E2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Gestionarea fondului va fi încredințată Fondului european de investiții (FEI). Se va institui un comitet de investiții care va fi responsabil de aprobarea operațiunilor cu intermediarii, în conformitate cu propunerile administratorul fondului (FEI), pe baza nevoilor pieței și într-un mod deschis și conform cu condițiile pieței. Comisioanele de management ale FEI vor include un element de performanță. </w:t>
            </w:r>
          </w:p>
          <w:p w14:paraId="3C82998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Structura fondului va permite mobilizarea de fonduri private. </w:t>
            </w:r>
          </w:p>
          <w:p w14:paraId="7947DCC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Orice venituri ale fondului sau ale instrumentelor financiare, inclusiv din rambursări, precum și profiturile obținute prin utilizarea fondurilor Mecanismului de redresare și reziliență, din care se scad remunerația administratorului fondului și a intermediarilor financiari, se vor utiliza pentru aceleași obiective de politică, inclusiv după 2026.</w:t>
            </w:r>
          </w:p>
        </w:tc>
      </w:tr>
      <w:tr w:rsidR="000A27B3" w:rsidRPr="005209CD" w14:paraId="333851F6"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019AAA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254</w:t>
            </w:r>
          </w:p>
        </w:tc>
        <w:tc>
          <w:tcPr>
            <w:tcW w:w="1844" w:type="dxa"/>
            <w:tcBorders>
              <w:top w:val="nil"/>
              <w:left w:val="single" w:sz="4" w:space="0" w:color="auto"/>
              <w:bottom w:val="single" w:sz="4" w:space="0" w:color="auto"/>
              <w:right w:val="single" w:sz="4" w:space="0" w:color="auto"/>
            </w:tcBorders>
            <w:shd w:val="clear" w:color="auto" w:fill="C6EFCE"/>
            <w:noWrap/>
          </w:tcPr>
          <w:p w14:paraId="53B481E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2.3 Instrumente financiare pentru sectorul privat – Fondul de fonduri de capital de risc pentru redresare </w:t>
            </w:r>
          </w:p>
        </w:tc>
        <w:tc>
          <w:tcPr>
            <w:tcW w:w="1089" w:type="dxa"/>
            <w:tcBorders>
              <w:top w:val="nil"/>
              <w:left w:val="single" w:sz="4" w:space="0" w:color="auto"/>
              <w:bottom w:val="single" w:sz="4" w:space="0" w:color="auto"/>
              <w:right w:val="single" w:sz="4" w:space="0" w:color="auto"/>
            </w:tcBorders>
            <w:shd w:val="clear" w:color="auto" w:fill="C6EFCE"/>
            <w:noWrap/>
          </w:tcPr>
          <w:p w14:paraId="4EE8BF2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51FA308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50 % din cuantumul total al fondurilor sau al investițiilor vizate,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0623AFF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Comitetul pentru investiții va aproba cel puțin 50 % din valoarea totală a finanțării sau a investițiilor vizate.</w:t>
            </w:r>
          </w:p>
        </w:tc>
        <w:tc>
          <w:tcPr>
            <w:tcW w:w="1234" w:type="dxa"/>
            <w:tcBorders>
              <w:top w:val="nil"/>
              <w:left w:val="single" w:sz="4" w:space="0" w:color="auto"/>
              <w:bottom w:val="single" w:sz="4" w:space="0" w:color="auto"/>
              <w:right w:val="single" w:sz="4" w:space="0" w:color="auto"/>
            </w:tcBorders>
            <w:shd w:val="clear" w:color="auto" w:fill="C6EFCE"/>
            <w:noWrap/>
          </w:tcPr>
          <w:p w14:paraId="22215352"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3862F0D"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DC803C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7D44CAA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200" w:type="dxa"/>
            <w:tcBorders>
              <w:top w:val="nil"/>
              <w:left w:val="single" w:sz="4" w:space="0" w:color="auto"/>
              <w:bottom w:val="single" w:sz="4" w:space="0" w:color="auto"/>
              <w:right w:val="single" w:sz="4" w:space="0" w:color="auto"/>
            </w:tcBorders>
            <w:shd w:val="clear" w:color="auto" w:fill="C6EFCE"/>
            <w:noWrap/>
          </w:tcPr>
          <w:p w14:paraId="531FEDF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0AF81F1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6BCD04A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50 % din cuantumul total al fondurilor sau al investițiilor vizate, aprobate de Comitetul pentru investiții, în conformitate cu cerințele specificate la jalonul 253.</w:t>
            </w:r>
          </w:p>
        </w:tc>
      </w:tr>
      <w:tr w:rsidR="000A27B3" w:rsidRPr="005209CD" w14:paraId="70125FA7"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2AD15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255</w:t>
            </w:r>
          </w:p>
        </w:tc>
        <w:tc>
          <w:tcPr>
            <w:tcW w:w="1844" w:type="dxa"/>
            <w:tcBorders>
              <w:top w:val="nil"/>
              <w:left w:val="single" w:sz="4" w:space="0" w:color="auto"/>
              <w:bottom w:val="single" w:sz="4" w:space="0" w:color="auto"/>
              <w:right w:val="single" w:sz="4" w:space="0" w:color="auto"/>
            </w:tcBorders>
            <w:shd w:val="clear" w:color="auto" w:fill="C6EFCE"/>
            <w:noWrap/>
          </w:tcPr>
          <w:p w14:paraId="1519B08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2.3 Instrumente financiare pentru sectorul privat – Fondul de fonduri de capital de risc pentru redresare </w:t>
            </w:r>
          </w:p>
        </w:tc>
        <w:tc>
          <w:tcPr>
            <w:tcW w:w="1089" w:type="dxa"/>
            <w:tcBorders>
              <w:top w:val="nil"/>
              <w:left w:val="single" w:sz="4" w:space="0" w:color="auto"/>
              <w:bottom w:val="single" w:sz="4" w:space="0" w:color="auto"/>
              <w:right w:val="single" w:sz="4" w:space="0" w:color="auto"/>
            </w:tcBorders>
            <w:shd w:val="clear" w:color="auto" w:fill="C6EFCE"/>
            <w:noWrap/>
          </w:tcPr>
          <w:p w14:paraId="1596352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3E81507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100 % din cuantumul total al fondurilor sau al investițiilor vizate,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01F99DE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Comitetul pentru investiții aprobă 100 % din valoarea totală a finanțării sau a investițiilor vizate</w:t>
            </w:r>
          </w:p>
        </w:tc>
        <w:tc>
          <w:tcPr>
            <w:tcW w:w="1234" w:type="dxa"/>
            <w:tcBorders>
              <w:top w:val="nil"/>
              <w:left w:val="single" w:sz="4" w:space="0" w:color="auto"/>
              <w:bottom w:val="single" w:sz="4" w:space="0" w:color="auto"/>
              <w:right w:val="single" w:sz="4" w:space="0" w:color="auto"/>
            </w:tcBorders>
            <w:shd w:val="clear" w:color="auto" w:fill="C6EFCE"/>
            <w:noWrap/>
          </w:tcPr>
          <w:p w14:paraId="602BA698"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05A302D8"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59B0D8F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080" w:type="dxa"/>
            <w:tcBorders>
              <w:top w:val="nil"/>
              <w:left w:val="single" w:sz="4" w:space="0" w:color="auto"/>
              <w:bottom w:val="single" w:sz="4" w:space="0" w:color="auto"/>
              <w:right w:val="single" w:sz="4" w:space="0" w:color="auto"/>
            </w:tcBorders>
            <w:shd w:val="clear" w:color="auto" w:fill="C6EFCE"/>
            <w:noWrap/>
          </w:tcPr>
          <w:p w14:paraId="7080FE1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100</w:t>
            </w:r>
          </w:p>
        </w:tc>
        <w:tc>
          <w:tcPr>
            <w:tcW w:w="1200" w:type="dxa"/>
            <w:tcBorders>
              <w:top w:val="nil"/>
              <w:left w:val="single" w:sz="4" w:space="0" w:color="auto"/>
              <w:bottom w:val="single" w:sz="4" w:space="0" w:color="auto"/>
              <w:right w:val="single" w:sz="4" w:space="0" w:color="auto"/>
            </w:tcBorders>
            <w:shd w:val="clear" w:color="auto" w:fill="C6EFCE"/>
            <w:noWrap/>
          </w:tcPr>
          <w:p w14:paraId="1FA050D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644ACAA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nil"/>
              <w:left w:val="single" w:sz="4" w:space="0" w:color="auto"/>
              <w:bottom w:val="single" w:sz="4" w:space="0" w:color="auto"/>
              <w:right w:val="single" w:sz="4" w:space="0" w:color="auto"/>
            </w:tcBorders>
            <w:shd w:val="clear" w:color="auto" w:fill="C6EFCE"/>
            <w:noWrap/>
          </w:tcPr>
          <w:p w14:paraId="244E6F59" w14:textId="1703432C"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Operațiuni de finanțare sau de investiții în valoare de 100 % din valoarea totală a finanțării sau a investițiilor vizate aprobate de Comitetul pentru investiții, în conformitate cu cerințele specificate la </w:t>
            </w:r>
            <w:r w:rsidR="005A192D">
              <w:rPr>
                <w:rFonts w:ascii="Times New Roman" w:hAnsi="Times New Roman"/>
                <w:noProof/>
                <w:sz w:val="24"/>
              </w:rPr>
              <w:t>jalonul</w:t>
            </w:r>
            <w:r>
              <w:rPr>
                <w:rFonts w:ascii="Times New Roman" w:hAnsi="Times New Roman"/>
                <w:noProof/>
                <w:sz w:val="24"/>
              </w:rPr>
              <w:t xml:space="preserve"> 253, până la 30 iunie 2026.</w:t>
            </w:r>
          </w:p>
        </w:tc>
      </w:tr>
      <w:tr w:rsidR="000A27B3" w:rsidRPr="005209CD" w14:paraId="3D9742B7"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0BEC7DF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256</w:t>
            </w:r>
          </w:p>
        </w:tc>
        <w:tc>
          <w:tcPr>
            <w:tcW w:w="1844" w:type="dxa"/>
            <w:tcBorders>
              <w:top w:val="nil"/>
              <w:left w:val="single" w:sz="4" w:space="0" w:color="auto"/>
              <w:bottom w:val="single" w:sz="4" w:space="0" w:color="auto"/>
              <w:right w:val="single" w:sz="4" w:space="0" w:color="auto"/>
            </w:tcBorders>
            <w:shd w:val="clear" w:color="auto" w:fill="C6EFCE"/>
            <w:noWrap/>
          </w:tcPr>
          <w:p w14:paraId="0AA8F64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2.4 Instrumente financiare pentru sectorul privat – Fondul pentru digitalizare, acțiune climatică și alte domenii de interes </w:t>
            </w:r>
          </w:p>
        </w:tc>
        <w:tc>
          <w:tcPr>
            <w:tcW w:w="1089" w:type="dxa"/>
            <w:tcBorders>
              <w:top w:val="nil"/>
              <w:left w:val="single" w:sz="4" w:space="0" w:color="auto"/>
              <w:bottom w:val="single" w:sz="4" w:space="0" w:color="auto"/>
              <w:right w:val="single" w:sz="4" w:space="0" w:color="auto"/>
            </w:tcBorders>
            <w:shd w:val="clear" w:color="auto" w:fill="C6EFCE"/>
            <w:noWrap/>
          </w:tcPr>
          <w:p w14:paraId="0EFBAB5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67E954B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Instituirea instrumentului financiar („fondul”) și adoptarea politicii de investiții a fondului.</w:t>
            </w:r>
          </w:p>
        </w:tc>
        <w:tc>
          <w:tcPr>
            <w:tcW w:w="1766" w:type="dxa"/>
            <w:tcBorders>
              <w:top w:val="nil"/>
              <w:left w:val="single" w:sz="4" w:space="0" w:color="auto"/>
              <w:bottom w:val="single" w:sz="4" w:space="0" w:color="auto"/>
              <w:right w:val="single" w:sz="4" w:space="0" w:color="auto"/>
            </w:tcBorders>
            <w:shd w:val="clear" w:color="auto" w:fill="C6EFCE"/>
            <w:noWrap/>
          </w:tcPr>
          <w:p w14:paraId="7D63D31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79A5CE54"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68E95689"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5AA9C6DF"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3E3F319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1" w:type="dxa"/>
            <w:tcBorders>
              <w:top w:val="nil"/>
              <w:left w:val="single" w:sz="4" w:space="0" w:color="auto"/>
              <w:bottom w:val="single" w:sz="4" w:space="0" w:color="auto"/>
              <w:right w:val="single" w:sz="4" w:space="0" w:color="auto"/>
            </w:tcBorders>
            <w:shd w:val="clear" w:color="auto" w:fill="C6EFCE"/>
            <w:noWrap/>
          </w:tcPr>
          <w:p w14:paraId="195DC91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3DF763E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finanțare dintre Fondul European de Investiții și Guvernul României și adoptarea politicii de investiții a fondului. Acesta din urmă:</w:t>
            </w:r>
          </w:p>
          <w:p w14:paraId="56C0366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fi adoptat de organele de conducere ale instrumentului financiar;</w:t>
            </w:r>
          </w:p>
          <w:p w14:paraId="26F43B6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respecta Nota de orientare a Comisiei din 22 ianuarie 2021 [SWD(2021) 12 final] referitoare la instrumentele financiare.</w:t>
            </w:r>
          </w:p>
          <w:p w14:paraId="0297AF6B" w14:textId="78340C78"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va include criteriile de selecție pentru asigurarea conformității cu Orientările tehnice privind aplicarea principiului „de a nu prejudicia semnificativ” (2021/C58/01) a tranzacțiilor care beneficiază de sprijin în cadrul acestei măsuri prin utilizarea evaluării sustenabilității, a unei liste de excludere și a cerinței de conformitate cu legislația UE și națională relevantă în materie de mediu; </w:t>
            </w:r>
          </w:p>
          <w:p w14:paraId="10315CE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va include un angajament de a investi cel puțin 33 % din fonduri pentru a sprijini tranziția climatică și 16 % din fonduri pentru sprijinirea tranziției digitale, utilizând metodologia din anexele VI și VII la Regulamentul privind Mecanismul de redresare și reziliență.</w:t>
            </w:r>
          </w:p>
          <w:p w14:paraId="50C62399" w14:textId="0CC76AA4"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Fondul va oferi sprijin prin instrumente financiare (de îndatorare) pentru cel puțin 25 de întreprinderi mari (cu peste 500 de angajați și/sau o cifră de afaceri anuală de peste 50 de milioane EUR și un bilanț anual total de peste 43 de milioane EUR), entități publice și vehicule cu scop special, prin investiții care contribuie la economia cu emisii scăzute de dioxid de carbon, precum și investiții în digitalizare și în active fixe, cu scopul de a încuraja un volum mai mare de investiții care să contribuie la obiectivele climatice și digitale din partea societăților-țintă și, de asemenea, de a încuraja dezvoltarea și extinderea întreprinderilor, care, la rândul său, va crea noi oportunități economice și va sprijini redresarea economică. Suma alocată domeniilor de intervenție legate de climă, în conformitate cu anexa VI la Regulamentul privind Mecanismul de redresare și reziliență, este de 100 de milioane EUR. Suma alocată domeniilor de intervenție legate de digitalizare, în conformitate cu anexa VII la Regulamentul privind Mecanismul de redresare și reziliență, este de 50 de milioane EUR. Fondul poate include, de asemenea, cheltuieli suplimentare legate de climă și digitalizare. </w:t>
            </w:r>
          </w:p>
          <w:p w14:paraId="5C5083F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Managementului fondului va fi încredințat Băncii Europene de Investiții (BEI). Se va institui un comitet de investiții care va incluse experți independenți și va fi responsabil de aprobarea componentelor legate de granturi a proiectelor destinatarilor finali (entitățile în care s-a investit), în conformitate cu propunerile administratorul fondului (BEI), pe baza nevoilor pieței și într-un mod deschis și conform cu condițiile pieței. </w:t>
            </w:r>
          </w:p>
          <w:p w14:paraId="17E37D5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Structura fondului va permite mobilizarea de fonduri private. </w:t>
            </w:r>
          </w:p>
          <w:p w14:paraId="0D4C279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Orice venituri ale fondului sau ale instrumentelor financiare, inclusiv din rambursări, precum și profiturile obținute prin utilizarea fondurilor Mecanismului de redresare și reziliență, din care se scad remunerația administratorului fondului și a intermediarilor financiari, se vor utiliza pentru aceleași obiective de politică, inclusiv după 2026.</w:t>
            </w:r>
          </w:p>
        </w:tc>
      </w:tr>
      <w:tr w:rsidR="000A27B3" w:rsidRPr="005209CD" w14:paraId="71DCF8AC"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EE73A2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257</w:t>
            </w:r>
          </w:p>
        </w:tc>
        <w:tc>
          <w:tcPr>
            <w:tcW w:w="1844" w:type="dxa"/>
            <w:tcBorders>
              <w:top w:val="nil"/>
              <w:left w:val="single" w:sz="4" w:space="0" w:color="auto"/>
              <w:bottom w:val="single" w:sz="4" w:space="0" w:color="auto"/>
              <w:right w:val="single" w:sz="4" w:space="0" w:color="auto"/>
            </w:tcBorders>
            <w:shd w:val="clear" w:color="auto" w:fill="C6EFCE"/>
            <w:noWrap/>
          </w:tcPr>
          <w:p w14:paraId="37AFA61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rPr>
              <w:t>Investiția 2.4 Instrumente financiare pentru sectorul privat – Fondul pentru digitalizare, acțiune climatică și alte domenii de interes</w:t>
            </w:r>
          </w:p>
        </w:tc>
        <w:tc>
          <w:tcPr>
            <w:tcW w:w="1089" w:type="dxa"/>
            <w:tcBorders>
              <w:top w:val="nil"/>
              <w:left w:val="single" w:sz="4" w:space="0" w:color="auto"/>
              <w:bottom w:val="single" w:sz="4" w:space="0" w:color="auto"/>
              <w:right w:val="single" w:sz="4" w:space="0" w:color="auto"/>
            </w:tcBorders>
            <w:shd w:val="clear" w:color="auto" w:fill="C6EFCE"/>
            <w:noWrap/>
          </w:tcPr>
          <w:p w14:paraId="6882AC3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7815DC9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30 % din beneficiarii vizați au beneficiat de sprijin</w:t>
            </w:r>
          </w:p>
        </w:tc>
        <w:tc>
          <w:tcPr>
            <w:tcW w:w="1766" w:type="dxa"/>
            <w:tcBorders>
              <w:top w:val="nil"/>
              <w:left w:val="single" w:sz="4" w:space="0" w:color="auto"/>
              <w:bottom w:val="single" w:sz="4" w:space="0" w:color="auto"/>
              <w:right w:val="single" w:sz="4" w:space="0" w:color="auto"/>
            </w:tcBorders>
            <w:shd w:val="clear" w:color="auto" w:fill="C6EFCE"/>
            <w:noWrap/>
          </w:tcPr>
          <w:p w14:paraId="79BBD36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35A94AAB"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3AA24389"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E05A83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3A1286A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p>
        </w:tc>
        <w:tc>
          <w:tcPr>
            <w:tcW w:w="1200" w:type="dxa"/>
            <w:tcBorders>
              <w:top w:val="nil"/>
              <w:left w:val="single" w:sz="4" w:space="0" w:color="auto"/>
              <w:bottom w:val="single" w:sz="4" w:space="0" w:color="auto"/>
              <w:right w:val="single" w:sz="4" w:space="0" w:color="auto"/>
            </w:tcBorders>
            <w:shd w:val="clear" w:color="auto" w:fill="C6EFCE"/>
            <w:noWrap/>
          </w:tcPr>
          <w:p w14:paraId="73C5156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6AD1FA1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1474F64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30 % dintre beneficiarii vizați care primesc sprijin, astfel cum se specifică la jalonul 256, în conformitate cu politica de investiții și cu cerințele specificate la jalonul 256.</w:t>
            </w:r>
          </w:p>
          <w:p w14:paraId="661940EF" w14:textId="77777777" w:rsidR="00500CF9" w:rsidRPr="009F1DC7" w:rsidRDefault="00500CF9">
            <w:pPr>
              <w:spacing w:after="0" w:line="240" w:lineRule="auto"/>
              <w:jc w:val="both"/>
              <w:rPr>
                <w:rFonts w:ascii="Times New Roman" w:hAnsi="Times New Roman" w:cs="Times New Roman"/>
                <w:noProof/>
                <w:sz w:val="24"/>
                <w:szCs w:val="24"/>
              </w:rPr>
            </w:pPr>
          </w:p>
        </w:tc>
      </w:tr>
      <w:tr w:rsidR="000A27B3" w:rsidRPr="005209CD" w14:paraId="0BA2572C"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53CD53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258</w:t>
            </w:r>
          </w:p>
        </w:tc>
        <w:tc>
          <w:tcPr>
            <w:tcW w:w="1844" w:type="dxa"/>
            <w:tcBorders>
              <w:top w:val="nil"/>
              <w:left w:val="single" w:sz="4" w:space="0" w:color="auto"/>
              <w:bottom w:val="single" w:sz="4" w:space="0" w:color="auto"/>
              <w:right w:val="single" w:sz="4" w:space="0" w:color="auto"/>
            </w:tcBorders>
            <w:shd w:val="clear" w:color="auto" w:fill="C6EFCE"/>
            <w:noWrap/>
          </w:tcPr>
          <w:p w14:paraId="49CDA7F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rPr>
              <w:t>Investiția 2.4 Instrumente financiare pentru sectorul privat – Fondul pentru digitalizare, acțiune climatică și alte domenii de interes</w:t>
            </w:r>
          </w:p>
        </w:tc>
        <w:tc>
          <w:tcPr>
            <w:tcW w:w="1089" w:type="dxa"/>
            <w:tcBorders>
              <w:top w:val="nil"/>
              <w:left w:val="single" w:sz="4" w:space="0" w:color="auto"/>
              <w:bottom w:val="single" w:sz="4" w:space="0" w:color="auto"/>
              <w:right w:val="single" w:sz="4" w:space="0" w:color="auto"/>
            </w:tcBorders>
            <w:shd w:val="clear" w:color="auto" w:fill="C6EFCE"/>
            <w:noWrap/>
          </w:tcPr>
          <w:p w14:paraId="71B216B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581E056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100 % din beneficiarii vizați au beneficiat de sprijin.</w:t>
            </w:r>
          </w:p>
        </w:tc>
        <w:tc>
          <w:tcPr>
            <w:tcW w:w="1766" w:type="dxa"/>
            <w:tcBorders>
              <w:top w:val="nil"/>
              <w:left w:val="single" w:sz="4" w:space="0" w:color="auto"/>
              <w:bottom w:val="single" w:sz="4" w:space="0" w:color="auto"/>
              <w:right w:val="single" w:sz="4" w:space="0" w:color="auto"/>
            </w:tcBorders>
            <w:shd w:val="clear" w:color="auto" w:fill="C6EFCE"/>
            <w:noWrap/>
          </w:tcPr>
          <w:p w14:paraId="12C13C2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1A2E26F9"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799E0C4"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6550B5E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30</w:t>
            </w:r>
          </w:p>
        </w:tc>
        <w:tc>
          <w:tcPr>
            <w:tcW w:w="1080" w:type="dxa"/>
            <w:tcBorders>
              <w:top w:val="nil"/>
              <w:left w:val="single" w:sz="4" w:space="0" w:color="auto"/>
              <w:bottom w:val="single" w:sz="4" w:space="0" w:color="auto"/>
              <w:right w:val="single" w:sz="4" w:space="0" w:color="auto"/>
            </w:tcBorders>
            <w:shd w:val="clear" w:color="auto" w:fill="C6EFCE"/>
            <w:noWrap/>
          </w:tcPr>
          <w:p w14:paraId="645EBAE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100</w:t>
            </w:r>
          </w:p>
        </w:tc>
        <w:tc>
          <w:tcPr>
            <w:tcW w:w="1200" w:type="dxa"/>
            <w:tcBorders>
              <w:top w:val="nil"/>
              <w:left w:val="single" w:sz="4" w:space="0" w:color="auto"/>
              <w:bottom w:val="single" w:sz="4" w:space="0" w:color="auto"/>
              <w:right w:val="single" w:sz="4" w:space="0" w:color="auto"/>
            </w:tcBorders>
            <w:shd w:val="clear" w:color="auto" w:fill="C6EFCE"/>
            <w:noWrap/>
          </w:tcPr>
          <w:p w14:paraId="2134156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66266EE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nil"/>
              <w:left w:val="single" w:sz="4" w:space="0" w:color="auto"/>
              <w:bottom w:val="single" w:sz="4" w:space="0" w:color="auto"/>
              <w:right w:val="single" w:sz="4" w:space="0" w:color="auto"/>
            </w:tcBorders>
            <w:shd w:val="clear" w:color="auto" w:fill="C6EFCE"/>
            <w:noWrap/>
          </w:tcPr>
          <w:p w14:paraId="6B7892B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100 % din beneficiarii vizați care primesc sprijin, astfel cum se specifică în jalonul 256, în conformitate cu cerințele specificate în jalonul 256, până la 30 iunie 2026.</w:t>
            </w:r>
          </w:p>
        </w:tc>
      </w:tr>
      <w:tr w:rsidR="000A27B3" w:rsidRPr="005209CD" w14:paraId="5629D269"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DF6E5D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259</w:t>
            </w:r>
          </w:p>
        </w:tc>
        <w:tc>
          <w:tcPr>
            <w:tcW w:w="1844" w:type="dxa"/>
            <w:tcBorders>
              <w:top w:val="nil"/>
              <w:left w:val="single" w:sz="4" w:space="0" w:color="auto"/>
              <w:bottom w:val="single" w:sz="4" w:space="0" w:color="auto"/>
              <w:right w:val="single" w:sz="4" w:space="0" w:color="auto"/>
            </w:tcBorders>
            <w:shd w:val="clear" w:color="auto" w:fill="C6EFCE"/>
            <w:noWrap/>
          </w:tcPr>
          <w:p w14:paraId="33DD0F9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2.5 Instrumente financiare pentru sectorul privat - Investiții în eficiență energetică în sectorul rezidențial și al clădirilor</w:t>
            </w:r>
          </w:p>
        </w:tc>
        <w:tc>
          <w:tcPr>
            <w:tcW w:w="1089" w:type="dxa"/>
            <w:tcBorders>
              <w:top w:val="nil"/>
              <w:left w:val="single" w:sz="4" w:space="0" w:color="auto"/>
              <w:bottom w:val="single" w:sz="4" w:space="0" w:color="auto"/>
              <w:right w:val="single" w:sz="4" w:space="0" w:color="auto"/>
            </w:tcBorders>
            <w:shd w:val="clear" w:color="auto" w:fill="C6EFCE"/>
            <w:noWrap/>
          </w:tcPr>
          <w:p w14:paraId="42AB4E8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40F12A0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contribuție dintre Comisia Europeană și Guvernul României.</w:t>
            </w:r>
          </w:p>
        </w:tc>
        <w:tc>
          <w:tcPr>
            <w:tcW w:w="1766" w:type="dxa"/>
            <w:tcBorders>
              <w:top w:val="nil"/>
              <w:left w:val="single" w:sz="4" w:space="0" w:color="auto"/>
              <w:bottom w:val="single" w:sz="4" w:space="0" w:color="auto"/>
              <w:right w:val="single" w:sz="4" w:space="0" w:color="auto"/>
            </w:tcBorders>
            <w:shd w:val="clear" w:color="auto" w:fill="C6EFCE"/>
            <w:noWrap/>
          </w:tcPr>
          <w:p w14:paraId="7EE607D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59C88166"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C191745"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699E9D83"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050D96B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nil"/>
              <w:left w:val="single" w:sz="4" w:space="0" w:color="auto"/>
              <w:bottom w:val="single" w:sz="4" w:space="0" w:color="auto"/>
              <w:right w:val="single" w:sz="4" w:space="0" w:color="auto"/>
            </w:tcBorders>
            <w:shd w:val="clear" w:color="auto" w:fill="C6EFCE"/>
            <w:noWrap/>
          </w:tcPr>
          <w:p w14:paraId="755BA21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760" w:type="dxa"/>
            <w:tcBorders>
              <w:top w:val="nil"/>
              <w:left w:val="single" w:sz="4" w:space="0" w:color="auto"/>
              <w:bottom w:val="single" w:sz="4" w:space="0" w:color="auto"/>
              <w:right w:val="single" w:sz="4" w:space="0" w:color="auto"/>
            </w:tcBorders>
            <w:shd w:val="clear" w:color="auto" w:fill="C6EFCE"/>
            <w:noWrap/>
          </w:tcPr>
          <w:p w14:paraId="5765AA9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Semnarea acordului de contribuție dintre Comisia Europeană și Guvernul României.</w:t>
            </w:r>
          </w:p>
          <w:p w14:paraId="724D334C" w14:textId="77777777" w:rsidR="00500CF9" w:rsidRPr="000A27B3" w:rsidRDefault="00500CF9" w:rsidP="00500CF9">
            <w:pPr>
              <w:pStyle w:val="ListParagraph"/>
              <w:numPr>
                <w:ilvl w:val="0"/>
                <w:numId w:val="77"/>
              </w:numPr>
              <w:spacing w:after="0" w:line="240" w:lineRule="auto"/>
              <w:ind w:hanging="414"/>
              <w:jc w:val="both"/>
              <w:rPr>
                <w:rFonts w:ascii="Times New Roman" w:hAnsi="Times New Roman" w:cs="Times New Roman"/>
                <w:noProof/>
                <w:sz w:val="24"/>
                <w:szCs w:val="24"/>
              </w:rPr>
            </w:pPr>
            <w:r>
              <w:rPr>
                <w:rFonts w:ascii="Times New Roman" w:hAnsi="Times New Roman"/>
                <w:noProof/>
                <w:sz w:val="24"/>
              </w:rPr>
              <w:t>Criteriile de selecție pentru asigurarea conformității cu Orientările tehnice DNSH (2021/C58/01) a tranzacțiilor care beneficiază de sprijin în cadrul acestei măsuri prin utilizarea unei evaluări a sustenabilității și a unei liste de excludere.</w:t>
            </w:r>
          </w:p>
          <w:p w14:paraId="16B5D469" w14:textId="77777777" w:rsidR="00500CF9" w:rsidRPr="000A27B3" w:rsidRDefault="00500CF9" w:rsidP="00500CF9">
            <w:pPr>
              <w:pStyle w:val="ListParagraph"/>
              <w:numPr>
                <w:ilvl w:val="0"/>
                <w:numId w:val="77"/>
              </w:numPr>
              <w:spacing w:after="0" w:line="240" w:lineRule="auto"/>
              <w:ind w:hanging="414"/>
              <w:jc w:val="both"/>
              <w:rPr>
                <w:rFonts w:ascii="Times New Roman" w:hAnsi="Times New Roman" w:cs="Times New Roman"/>
                <w:noProof/>
                <w:sz w:val="24"/>
                <w:szCs w:val="24"/>
              </w:rPr>
            </w:pPr>
            <w:r>
              <w:rPr>
                <w:rFonts w:ascii="Times New Roman" w:hAnsi="Times New Roman"/>
                <w:noProof/>
                <w:sz w:val="24"/>
              </w:rPr>
              <w:t>Criterii pentru asigurarea conformității instrumentului financiar cu Nota de orientare a Comisiei din 22 ianuarie 2021 [SWD(2021) 12 final] referitoare la instrumentele financiare.</w:t>
            </w:r>
          </w:p>
          <w:p w14:paraId="58A285E7" w14:textId="77777777" w:rsidR="00500CF9" w:rsidRPr="000A27B3" w:rsidRDefault="00500CF9" w:rsidP="00500CF9">
            <w:pPr>
              <w:pStyle w:val="ListParagraph"/>
              <w:numPr>
                <w:ilvl w:val="0"/>
                <w:numId w:val="77"/>
              </w:numPr>
              <w:spacing w:after="0" w:line="240" w:lineRule="auto"/>
              <w:ind w:hanging="414"/>
              <w:jc w:val="both"/>
              <w:rPr>
                <w:rFonts w:ascii="Times New Roman" w:hAnsi="Times New Roman" w:cs="Times New Roman"/>
                <w:noProof/>
                <w:sz w:val="24"/>
                <w:szCs w:val="24"/>
              </w:rPr>
            </w:pPr>
            <w:r>
              <w:rPr>
                <w:rFonts w:ascii="Times New Roman" w:hAnsi="Times New Roman"/>
                <w:noProof/>
                <w:sz w:val="24"/>
              </w:rPr>
              <w:t xml:space="preserve">Având în vedere că instrumentul propus este implementat ca o contribuție la InvestEU, îndeplinirea obiectivelor de la literele (a) și (b) menționate mai sus va fi asigurată prin aplicarea dispozițiilor InvestEU și a politicii de creditare și a criteriilor de excludere ale partenerului de implementare selectat. În acordul de garantare dintre Comisia Europeană și Banca Europeană pentru Reconstrucție și Dezvoltare (BERD) se vor specifica excluderile suplimentare necesare pentru a se asigura conformitatea cu Orientările tehnice privind aplicarea principiului de „a nu aduce prejudicii semnificative” (2021/C58/01). </w:t>
            </w:r>
          </w:p>
          <w:p w14:paraId="6DF7CCE0" w14:textId="018DDD7E"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Instrumentul financiar ia forma unei garanții de portofoliu, pusă în aplicare de Banca Europeană pentru Reconstrucție și Dezvoltare (BERD), și furnizează finanțare și investiții pentru eficiența energetică și energia din surse regenerabile în sectorul rezidențial și al clădirilor pentru IMM</w:t>
            </w:r>
            <w:r w:rsidR="00ED2A55">
              <w:rPr>
                <w:rFonts w:ascii="Times New Roman" w:hAnsi="Times New Roman"/>
                <w:noProof/>
                <w:sz w:val="24"/>
              </w:rPr>
              <w:t>­</w:t>
            </w:r>
            <w:r>
              <w:rPr>
                <w:rFonts w:ascii="Times New Roman" w:hAnsi="Times New Roman"/>
                <w:noProof/>
                <w:sz w:val="24"/>
              </w:rPr>
              <w:t>uri cu (până la 249 de angajați), societăți cu până la 500 de angajați și persoane fizice („beneficiari”). Se preconizează că cel puțin 100 de beneficiari vor primi sprijin în cadrul instrumentului.</w:t>
            </w:r>
          </w:p>
          <w:p w14:paraId="567BA50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Structura instrumentului va permite mobilizarea de fonduri private. </w:t>
            </w:r>
          </w:p>
          <w:p w14:paraId="6077274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Orice venituri ale instrumentului financiar, inclusiv din rambursări, precum și profiturile obținute prin utilizarea fondurilor Mecanismului de redresare și reziliență, din care se scad remunerația administratorului fondului și a intermediarilor financiari, se vor utiliza pentru aceleași obiective de politică, inclusiv după 2026.</w:t>
            </w:r>
          </w:p>
        </w:tc>
      </w:tr>
      <w:tr w:rsidR="000A27B3" w:rsidRPr="005209CD" w14:paraId="2B2704E4"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D79F24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260</w:t>
            </w:r>
          </w:p>
        </w:tc>
        <w:tc>
          <w:tcPr>
            <w:tcW w:w="1844" w:type="dxa"/>
            <w:tcBorders>
              <w:top w:val="nil"/>
              <w:left w:val="single" w:sz="4" w:space="0" w:color="auto"/>
              <w:bottom w:val="single" w:sz="4" w:space="0" w:color="auto"/>
              <w:right w:val="single" w:sz="4" w:space="0" w:color="auto"/>
            </w:tcBorders>
            <w:shd w:val="clear" w:color="auto" w:fill="C6EFCE"/>
            <w:noWrap/>
          </w:tcPr>
          <w:p w14:paraId="6A4FF8A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rPr>
              <w:t>Investiția 2.5 Instrumente financiare pentru sectorul privat - Investiții în eficiență energetică în sectorul rezidențial și al clădirilor</w:t>
            </w:r>
          </w:p>
        </w:tc>
        <w:tc>
          <w:tcPr>
            <w:tcW w:w="1089" w:type="dxa"/>
            <w:tcBorders>
              <w:top w:val="nil"/>
              <w:left w:val="single" w:sz="4" w:space="0" w:color="auto"/>
              <w:bottom w:val="single" w:sz="4" w:space="0" w:color="auto"/>
              <w:right w:val="single" w:sz="4" w:space="0" w:color="auto"/>
            </w:tcBorders>
            <w:shd w:val="clear" w:color="auto" w:fill="C6EFCE"/>
            <w:noWrap/>
          </w:tcPr>
          <w:p w14:paraId="1903630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31FBED0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50 % din cuantumul total al fondurilor sau al investițiilor vizate,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28BFD57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626D2679"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1069CD8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45FF225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67D4489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200" w:type="dxa"/>
            <w:tcBorders>
              <w:top w:val="nil"/>
              <w:left w:val="single" w:sz="4" w:space="0" w:color="auto"/>
              <w:bottom w:val="single" w:sz="4" w:space="0" w:color="auto"/>
              <w:right w:val="single" w:sz="4" w:space="0" w:color="auto"/>
            </w:tcBorders>
            <w:shd w:val="clear" w:color="auto" w:fill="C6EFCE"/>
            <w:noWrap/>
          </w:tcPr>
          <w:p w14:paraId="55F136B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21CD32B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nil"/>
              <w:left w:val="single" w:sz="4" w:space="0" w:color="auto"/>
              <w:bottom w:val="single" w:sz="4" w:space="0" w:color="auto"/>
              <w:right w:val="single" w:sz="4" w:space="0" w:color="auto"/>
            </w:tcBorders>
            <w:shd w:val="clear" w:color="auto" w:fill="C6EFCE"/>
            <w:noWrap/>
          </w:tcPr>
          <w:p w14:paraId="581EA82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Operațiuni de finanțare sau de investiții în valoare de cel puțin 50 % din cuantumul total al investiției avute în vedere, în conformitate cu cerințele specificate la jalonul 259, aprobate de Comitetul pentru investiții al InvestEU.</w:t>
            </w:r>
          </w:p>
        </w:tc>
      </w:tr>
      <w:tr w:rsidR="000A27B3" w:rsidRPr="005209CD" w14:paraId="7B2933F2"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12F3754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261</w:t>
            </w:r>
          </w:p>
        </w:tc>
        <w:tc>
          <w:tcPr>
            <w:tcW w:w="1844" w:type="dxa"/>
            <w:tcBorders>
              <w:top w:val="nil"/>
              <w:left w:val="single" w:sz="4" w:space="0" w:color="auto"/>
              <w:bottom w:val="single" w:sz="4" w:space="0" w:color="auto"/>
              <w:right w:val="single" w:sz="4" w:space="0" w:color="auto"/>
            </w:tcBorders>
            <w:shd w:val="clear" w:color="auto" w:fill="C6EFCE"/>
            <w:noWrap/>
          </w:tcPr>
          <w:p w14:paraId="20E7AF9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rPr>
              <w:t>Investiția 2.5 Instrumente financiare pentru sectorul privat - Investiții în eficiență energetică în sectorul rezidențial și al clădirilor</w:t>
            </w:r>
          </w:p>
        </w:tc>
        <w:tc>
          <w:tcPr>
            <w:tcW w:w="1089" w:type="dxa"/>
            <w:tcBorders>
              <w:top w:val="nil"/>
              <w:left w:val="single" w:sz="4" w:space="0" w:color="auto"/>
              <w:bottom w:val="single" w:sz="4" w:space="0" w:color="auto"/>
              <w:right w:val="single" w:sz="4" w:space="0" w:color="auto"/>
            </w:tcBorders>
            <w:shd w:val="clear" w:color="auto" w:fill="C6EFCE"/>
            <w:noWrap/>
          </w:tcPr>
          <w:p w14:paraId="7348ED0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4FBB15D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cel puțin 100 % din cuantumul total al fondurilor sau al investițiilor vizate, aprobate de Comitetul pentru investiții al InvestEU.</w:t>
            </w:r>
          </w:p>
        </w:tc>
        <w:tc>
          <w:tcPr>
            <w:tcW w:w="1766" w:type="dxa"/>
            <w:tcBorders>
              <w:top w:val="nil"/>
              <w:left w:val="single" w:sz="4" w:space="0" w:color="auto"/>
              <w:bottom w:val="single" w:sz="4" w:space="0" w:color="auto"/>
              <w:right w:val="single" w:sz="4" w:space="0" w:color="auto"/>
            </w:tcBorders>
            <w:shd w:val="clear" w:color="auto" w:fill="C6EFCE"/>
            <w:noWrap/>
          </w:tcPr>
          <w:p w14:paraId="5740C3C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6AA35C64"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181C63E3"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1430C31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w:t>
            </w:r>
          </w:p>
        </w:tc>
        <w:tc>
          <w:tcPr>
            <w:tcW w:w="1080" w:type="dxa"/>
            <w:tcBorders>
              <w:top w:val="nil"/>
              <w:left w:val="single" w:sz="4" w:space="0" w:color="auto"/>
              <w:bottom w:val="single" w:sz="4" w:space="0" w:color="auto"/>
              <w:right w:val="single" w:sz="4" w:space="0" w:color="auto"/>
            </w:tcBorders>
            <w:shd w:val="clear" w:color="auto" w:fill="C6EFCE"/>
            <w:noWrap/>
          </w:tcPr>
          <w:p w14:paraId="2DB9626F"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100</w:t>
            </w:r>
          </w:p>
        </w:tc>
        <w:tc>
          <w:tcPr>
            <w:tcW w:w="1200" w:type="dxa"/>
            <w:tcBorders>
              <w:top w:val="nil"/>
              <w:left w:val="single" w:sz="4" w:space="0" w:color="auto"/>
              <w:bottom w:val="single" w:sz="4" w:space="0" w:color="auto"/>
              <w:right w:val="single" w:sz="4" w:space="0" w:color="auto"/>
            </w:tcBorders>
            <w:shd w:val="clear" w:color="auto" w:fill="C6EFCE"/>
            <w:noWrap/>
          </w:tcPr>
          <w:p w14:paraId="3C0219A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37A034D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181866B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Operațiuni de finanțare sau de investiții în valoare de 100 % din cuantumul total al investiției avute în vedere, în conformitate cu cerințele specificate la jalonul 259, aprobate de Comitetul pentru investiții al InvestEU.</w:t>
            </w:r>
          </w:p>
        </w:tc>
      </w:tr>
      <w:tr w:rsidR="000A27B3" w:rsidRPr="005209CD" w14:paraId="267B5322"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6BAD75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262</w:t>
            </w:r>
          </w:p>
        </w:tc>
        <w:tc>
          <w:tcPr>
            <w:tcW w:w="1844" w:type="dxa"/>
            <w:tcBorders>
              <w:top w:val="nil"/>
              <w:left w:val="single" w:sz="4" w:space="0" w:color="auto"/>
              <w:bottom w:val="single" w:sz="4" w:space="0" w:color="auto"/>
              <w:right w:val="single" w:sz="4" w:space="0" w:color="auto"/>
            </w:tcBorders>
            <w:shd w:val="clear" w:color="auto" w:fill="C6EFCE"/>
            <w:noWrap/>
          </w:tcPr>
          <w:p w14:paraId="78E39AA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3.1 Scheme de ajutor pentru sectorul privat – Schemă de ajutor pentru digitalizarea IMM-urilor</w:t>
            </w:r>
          </w:p>
        </w:tc>
        <w:tc>
          <w:tcPr>
            <w:tcW w:w="1089" w:type="dxa"/>
            <w:tcBorders>
              <w:top w:val="nil"/>
              <w:left w:val="single" w:sz="4" w:space="0" w:color="auto"/>
              <w:bottom w:val="single" w:sz="4" w:space="0" w:color="auto"/>
              <w:right w:val="single" w:sz="4" w:space="0" w:color="auto"/>
            </w:tcBorders>
            <w:shd w:val="clear" w:color="auto" w:fill="C6EFCE"/>
            <w:noWrap/>
          </w:tcPr>
          <w:p w14:paraId="4EB0596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5E6367F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Selectarea administratorului schemei </w:t>
            </w:r>
          </w:p>
        </w:tc>
        <w:tc>
          <w:tcPr>
            <w:tcW w:w="1766" w:type="dxa"/>
            <w:tcBorders>
              <w:top w:val="nil"/>
              <w:left w:val="single" w:sz="4" w:space="0" w:color="auto"/>
              <w:bottom w:val="single" w:sz="4" w:space="0" w:color="auto"/>
              <w:right w:val="single" w:sz="4" w:space="0" w:color="auto"/>
            </w:tcBorders>
            <w:shd w:val="clear" w:color="auto" w:fill="C6EFCE"/>
            <w:noWrap/>
          </w:tcPr>
          <w:p w14:paraId="26983F8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Comunicarea selecției</w:t>
            </w:r>
          </w:p>
        </w:tc>
        <w:tc>
          <w:tcPr>
            <w:tcW w:w="1234" w:type="dxa"/>
            <w:tcBorders>
              <w:top w:val="nil"/>
              <w:left w:val="single" w:sz="4" w:space="0" w:color="auto"/>
              <w:bottom w:val="single" w:sz="4" w:space="0" w:color="auto"/>
              <w:right w:val="single" w:sz="4" w:space="0" w:color="auto"/>
            </w:tcBorders>
            <w:shd w:val="clear" w:color="auto" w:fill="C6EFCE"/>
            <w:noWrap/>
          </w:tcPr>
          <w:p w14:paraId="39C90A5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709F44BC"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nil"/>
              <w:left w:val="single" w:sz="4" w:space="0" w:color="auto"/>
              <w:bottom w:val="single" w:sz="4" w:space="0" w:color="auto"/>
              <w:right w:val="single" w:sz="4" w:space="0" w:color="auto"/>
            </w:tcBorders>
            <w:shd w:val="clear" w:color="auto" w:fill="C6EFCE"/>
            <w:noWrap/>
          </w:tcPr>
          <w:p w14:paraId="291CCDE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single" w:sz="4" w:space="0" w:color="auto"/>
              <w:bottom w:val="single" w:sz="4" w:space="0" w:color="auto"/>
              <w:right w:val="single" w:sz="4" w:space="0" w:color="auto"/>
            </w:tcBorders>
            <w:shd w:val="clear" w:color="auto" w:fill="C6EFCE"/>
            <w:noWrap/>
          </w:tcPr>
          <w:p w14:paraId="5114805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1" w:type="dxa"/>
            <w:tcBorders>
              <w:top w:val="nil"/>
              <w:left w:val="single" w:sz="4" w:space="0" w:color="auto"/>
              <w:bottom w:val="single" w:sz="4" w:space="0" w:color="auto"/>
              <w:right w:val="single" w:sz="4" w:space="0" w:color="auto"/>
            </w:tcBorders>
            <w:shd w:val="clear" w:color="auto" w:fill="C6EFCE"/>
            <w:noWrap/>
          </w:tcPr>
          <w:p w14:paraId="1A8B9C5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78FA55B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Selectarea unui administrator al schemei care va implementa schema </w:t>
            </w:r>
            <w:r>
              <w:rPr>
                <w:rFonts w:ascii="Times New Roman" w:hAnsi="Times New Roman"/>
                <w:i/>
                <w:noProof/>
                <w:sz w:val="24"/>
              </w:rPr>
              <w:t>de minimis</w:t>
            </w:r>
            <w:r>
              <w:rPr>
                <w:rFonts w:ascii="Times New Roman" w:hAnsi="Times New Roman"/>
                <w:noProof/>
                <w:sz w:val="24"/>
              </w:rPr>
              <w:t xml:space="preserve"> (lansarea cererii de propuneri, evaluarea, contractarea și monitorizarea proiectelor).</w:t>
            </w:r>
          </w:p>
          <w:p w14:paraId="36B6C3E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Criteriile de selecție a proiectelor vor asigura:</w:t>
            </w:r>
          </w:p>
          <w:p w14:paraId="1C85D214" w14:textId="77777777" w:rsidR="00500CF9" w:rsidRPr="000A27B3" w:rsidRDefault="00500CF9" w:rsidP="00500CF9">
            <w:pPr>
              <w:numPr>
                <w:ilvl w:val="0"/>
                <w:numId w:val="70"/>
              </w:numPr>
              <w:spacing w:before="120" w:after="0" w:line="240" w:lineRule="auto"/>
              <w:ind w:left="299" w:hanging="218"/>
              <w:contextualSpacing/>
              <w:jc w:val="both"/>
              <w:rPr>
                <w:rFonts w:ascii="Times New Roman" w:hAnsi="Times New Roman" w:cs="Times New Roman"/>
                <w:noProof/>
                <w:sz w:val="24"/>
                <w:szCs w:val="24"/>
              </w:rPr>
            </w:pPr>
            <w:r>
              <w:rPr>
                <w:rFonts w:ascii="Times New Roman" w:hAnsi="Times New Roman"/>
                <w:noProof/>
                <w:sz w:val="24"/>
              </w:rPr>
              <w:t>asumarea angajamentului de a investi 100 % din fonduri pentru a sprijini tranziția digitală, în conformitate cu domeniile de intervenție 010, 012, 021c și 021d din anexa VII la Regulamentul privind Mecanismul de redresare și reziliență.</w:t>
            </w:r>
          </w:p>
          <w:p w14:paraId="54D91158" w14:textId="77777777" w:rsidR="00500CF9" w:rsidRPr="000A27B3" w:rsidRDefault="00500CF9" w:rsidP="00500CF9">
            <w:pPr>
              <w:numPr>
                <w:ilvl w:val="0"/>
                <w:numId w:val="70"/>
              </w:numPr>
              <w:spacing w:before="120" w:after="0" w:line="240" w:lineRule="auto"/>
              <w:ind w:left="299" w:hanging="218"/>
              <w:contextualSpacing/>
              <w:jc w:val="both"/>
              <w:rPr>
                <w:rFonts w:ascii="Times New Roman" w:hAnsi="Times New Roman" w:cs="Times New Roman"/>
                <w:noProof/>
                <w:sz w:val="24"/>
                <w:szCs w:val="24"/>
              </w:rPr>
            </w:pPr>
            <w:r>
              <w:rPr>
                <w:rFonts w:ascii="Times New Roman" w:hAnsi="Times New Roman"/>
                <w:noProof/>
                <w:sz w:val="24"/>
              </w:rPr>
              <w:t xml:space="preserve">Conformitatea cu Orientările tehnice privind aplicarea principiului de „a nu aduce prejudicii semnificative” (2021/C58/01). Atunci când depune cererea pentru acordul de finanțare, planul de afaceri va prezenta orice riscuri potențiale care pot decurge pentru mediu și care sunt metodele de abordare a acestora. </w:t>
            </w:r>
          </w:p>
        </w:tc>
      </w:tr>
      <w:tr w:rsidR="000A27B3" w:rsidRPr="005209CD" w14:paraId="2A490816"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643103F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263</w:t>
            </w:r>
          </w:p>
        </w:tc>
        <w:tc>
          <w:tcPr>
            <w:tcW w:w="1844" w:type="dxa"/>
            <w:tcBorders>
              <w:top w:val="nil"/>
              <w:left w:val="single" w:sz="4" w:space="0" w:color="auto"/>
              <w:bottom w:val="single" w:sz="4" w:space="0" w:color="auto"/>
              <w:right w:val="single" w:sz="4" w:space="0" w:color="auto"/>
            </w:tcBorders>
            <w:shd w:val="clear" w:color="auto" w:fill="C6EFCE"/>
            <w:noWrap/>
          </w:tcPr>
          <w:p w14:paraId="4772C31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3.1 Scheme de ajutor pentru sectorul privat – Schemă de ajutor pentru digitalizarea IMM-urilor</w:t>
            </w:r>
          </w:p>
        </w:tc>
        <w:tc>
          <w:tcPr>
            <w:tcW w:w="1089" w:type="dxa"/>
            <w:tcBorders>
              <w:top w:val="nil"/>
              <w:left w:val="single" w:sz="4" w:space="0" w:color="auto"/>
              <w:bottom w:val="single" w:sz="4" w:space="0" w:color="auto"/>
              <w:right w:val="single" w:sz="4" w:space="0" w:color="auto"/>
            </w:tcBorders>
            <w:shd w:val="clear" w:color="auto" w:fill="C6EFCE"/>
            <w:noWrap/>
          </w:tcPr>
          <w:p w14:paraId="18B2724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10D7582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Numărul de contracte de finanțare semnate </w:t>
            </w:r>
          </w:p>
        </w:tc>
        <w:tc>
          <w:tcPr>
            <w:tcW w:w="1766" w:type="dxa"/>
            <w:tcBorders>
              <w:top w:val="nil"/>
              <w:left w:val="single" w:sz="4" w:space="0" w:color="auto"/>
              <w:bottom w:val="single" w:sz="4" w:space="0" w:color="auto"/>
              <w:right w:val="single" w:sz="4" w:space="0" w:color="auto"/>
            </w:tcBorders>
            <w:shd w:val="clear" w:color="auto" w:fill="C6EFCE"/>
            <w:noWrap/>
          </w:tcPr>
          <w:p w14:paraId="305E814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34924CD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nil"/>
              <w:left w:val="single" w:sz="4" w:space="0" w:color="auto"/>
              <w:bottom w:val="single" w:sz="4" w:space="0" w:color="auto"/>
              <w:right w:val="single" w:sz="4" w:space="0" w:color="auto"/>
            </w:tcBorders>
            <w:shd w:val="clear" w:color="auto" w:fill="C6EFCE"/>
            <w:noWrap/>
          </w:tcPr>
          <w:p w14:paraId="6B9AE25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2FE9343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5492</w:t>
            </w:r>
          </w:p>
        </w:tc>
        <w:tc>
          <w:tcPr>
            <w:tcW w:w="1200" w:type="dxa"/>
            <w:tcBorders>
              <w:top w:val="nil"/>
              <w:left w:val="single" w:sz="4" w:space="0" w:color="auto"/>
              <w:bottom w:val="single" w:sz="4" w:space="0" w:color="auto"/>
              <w:right w:val="single" w:sz="4" w:space="0" w:color="auto"/>
            </w:tcBorders>
            <w:shd w:val="clear" w:color="auto" w:fill="C6EFCE"/>
            <w:noWrap/>
          </w:tcPr>
          <w:p w14:paraId="2083EB8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7FEF8EE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nil"/>
              <w:left w:val="single" w:sz="4" w:space="0" w:color="auto"/>
              <w:bottom w:val="single" w:sz="4" w:space="0" w:color="auto"/>
              <w:right w:val="single" w:sz="4" w:space="0" w:color="auto"/>
            </w:tcBorders>
            <w:shd w:val="clear" w:color="auto" w:fill="C6EFCE"/>
            <w:noWrap/>
          </w:tcPr>
          <w:p w14:paraId="244B281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Numărul de contracte de finanțare semnate cu întreprinderile, care permit adoptarea de tehnologii/soluții digitale precum inteligența artificială, datele, tehnologia de cloud, platformele, tehnologia blockchain și transformarea digitală a proceselor de lucru ale întreprinderilor (de ex. utilizarea tehnologiilor digitale pentru automatizarea proceselor de lucru, utilizarea datelor pentru managementul dinamic al activelor și un leadership predictiv/prescriptiv, utilizarea/dezvoltarea platformelor locale pentru vânzarea de produse/servicii, dezvoltarea de noi servicii digitale) în conformitate cu cerințele specificate la jalonul 262.</w:t>
            </w:r>
          </w:p>
          <w:p w14:paraId="724DB5E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La sfârșitul proiectului de investiții, se trimite un raport tehnic întocmit de un auditor independent, care atestă conformitatea cu Orientările tehnice DNSH (2021/C58/01).</w:t>
            </w:r>
          </w:p>
        </w:tc>
      </w:tr>
      <w:tr w:rsidR="000A27B3" w:rsidRPr="005209CD" w14:paraId="1C5B5AC2"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4EC7F67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264</w:t>
            </w:r>
          </w:p>
        </w:tc>
        <w:tc>
          <w:tcPr>
            <w:tcW w:w="1844" w:type="dxa"/>
            <w:tcBorders>
              <w:top w:val="nil"/>
              <w:left w:val="single" w:sz="4" w:space="0" w:color="auto"/>
              <w:bottom w:val="single" w:sz="4" w:space="0" w:color="auto"/>
              <w:right w:val="single" w:sz="4" w:space="0" w:color="auto"/>
            </w:tcBorders>
            <w:shd w:val="clear" w:color="auto" w:fill="C6EFCE"/>
            <w:noWrap/>
          </w:tcPr>
          <w:p w14:paraId="68469E6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3.2 Scheme de ajutor pentru sectorul privat - Schema de minimis pentru ajutarea firmelor din România în procesul de listare la bursă</w:t>
            </w:r>
          </w:p>
        </w:tc>
        <w:tc>
          <w:tcPr>
            <w:tcW w:w="1089" w:type="dxa"/>
            <w:tcBorders>
              <w:top w:val="nil"/>
              <w:left w:val="single" w:sz="4" w:space="0" w:color="auto"/>
              <w:bottom w:val="single" w:sz="4" w:space="0" w:color="auto"/>
              <w:right w:val="single" w:sz="4" w:space="0" w:color="auto"/>
            </w:tcBorders>
            <w:shd w:val="clear" w:color="auto" w:fill="C6EFCE"/>
            <w:noWrap/>
          </w:tcPr>
          <w:p w14:paraId="78379C3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nil"/>
              <w:left w:val="single" w:sz="4" w:space="0" w:color="auto"/>
              <w:bottom w:val="single" w:sz="4" w:space="0" w:color="auto"/>
              <w:right w:val="single" w:sz="4" w:space="0" w:color="auto"/>
            </w:tcBorders>
            <w:shd w:val="clear" w:color="auto" w:fill="C6EFCE"/>
            <w:noWrap/>
          </w:tcPr>
          <w:p w14:paraId="0871298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Selectarea administratorului schemei </w:t>
            </w:r>
          </w:p>
        </w:tc>
        <w:tc>
          <w:tcPr>
            <w:tcW w:w="1766" w:type="dxa"/>
            <w:tcBorders>
              <w:top w:val="nil"/>
              <w:left w:val="single" w:sz="4" w:space="0" w:color="auto"/>
              <w:bottom w:val="single" w:sz="4" w:space="0" w:color="auto"/>
              <w:right w:val="single" w:sz="4" w:space="0" w:color="auto"/>
            </w:tcBorders>
            <w:shd w:val="clear" w:color="auto" w:fill="C6EFCE"/>
            <w:noWrap/>
          </w:tcPr>
          <w:p w14:paraId="7851D17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Comunicarea selecției</w:t>
            </w:r>
          </w:p>
        </w:tc>
        <w:tc>
          <w:tcPr>
            <w:tcW w:w="1234" w:type="dxa"/>
            <w:tcBorders>
              <w:top w:val="nil"/>
              <w:left w:val="single" w:sz="4" w:space="0" w:color="auto"/>
              <w:bottom w:val="single" w:sz="4" w:space="0" w:color="auto"/>
              <w:right w:val="single" w:sz="4" w:space="0" w:color="auto"/>
            </w:tcBorders>
            <w:shd w:val="clear" w:color="auto" w:fill="C6EFCE"/>
            <w:noWrap/>
          </w:tcPr>
          <w:p w14:paraId="75DDA462"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nil"/>
              <w:left w:val="single" w:sz="4" w:space="0" w:color="auto"/>
              <w:bottom w:val="single" w:sz="4" w:space="0" w:color="auto"/>
              <w:right w:val="single" w:sz="4" w:space="0" w:color="auto"/>
            </w:tcBorders>
            <w:shd w:val="clear" w:color="auto" w:fill="C6EFCE"/>
            <w:noWrap/>
          </w:tcPr>
          <w:p w14:paraId="52F84201"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nil"/>
              <w:left w:val="single" w:sz="4" w:space="0" w:color="auto"/>
              <w:bottom w:val="single" w:sz="4" w:space="0" w:color="auto"/>
              <w:right w:val="single" w:sz="4" w:space="0" w:color="auto"/>
            </w:tcBorders>
            <w:shd w:val="clear" w:color="auto" w:fill="C6EFCE"/>
            <w:noWrap/>
          </w:tcPr>
          <w:p w14:paraId="19090AB0"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200" w:type="dxa"/>
            <w:tcBorders>
              <w:top w:val="nil"/>
              <w:left w:val="single" w:sz="4" w:space="0" w:color="auto"/>
              <w:bottom w:val="single" w:sz="4" w:space="0" w:color="auto"/>
              <w:right w:val="single" w:sz="4" w:space="0" w:color="auto"/>
            </w:tcBorders>
            <w:shd w:val="clear" w:color="auto" w:fill="C6EFCE"/>
            <w:noWrap/>
          </w:tcPr>
          <w:p w14:paraId="0AEBD21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1" w:type="dxa"/>
            <w:tcBorders>
              <w:top w:val="nil"/>
              <w:left w:val="single" w:sz="4" w:space="0" w:color="auto"/>
              <w:bottom w:val="single" w:sz="4" w:space="0" w:color="auto"/>
              <w:right w:val="single" w:sz="4" w:space="0" w:color="auto"/>
            </w:tcBorders>
            <w:shd w:val="clear" w:color="auto" w:fill="C6EFCE"/>
            <w:noWrap/>
          </w:tcPr>
          <w:p w14:paraId="13E863A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nil"/>
              <w:left w:val="single" w:sz="4" w:space="0" w:color="auto"/>
              <w:bottom w:val="single" w:sz="4" w:space="0" w:color="auto"/>
              <w:right w:val="single" w:sz="4" w:space="0" w:color="auto"/>
            </w:tcBorders>
            <w:shd w:val="clear" w:color="auto" w:fill="C6EFCE"/>
            <w:noWrap/>
          </w:tcPr>
          <w:p w14:paraId="5543AB3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Selectarea unui administrator al schemei care va implementa schema </w:t>
            </w:r>
            <w:r>
              <w:rPr>
                <w:rFonts w:ascii="Times New Roman" w:hAnsi="Times New Roman"/>
                <w:i/>
                <w:noProof/>
                <w:sz w:val="24"/>
              </w:rPr>
              <w:t>de minimis</w:t>
            </w:r>
            <w:r>
              <w:rPr>
                <w:rFonts w:ascii="Times New Roman" w:hAnsi="Times New Roman"/>
                <w:noProof/>
                <w:sz w:val="24"/>
              </w:rPr>
              <w:t xml:space="preserve"> (lansarea cererii de propuneri, evaluarea, contractarea și monitorizarea proiectelor).</w:t>
            </w:r>
          </w:p>
          <w:p w14:paraId="200C945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Se vor acorda granturi societăților care doresc să emită acțiuni, precalificate pentru cotare, în conformitate cu condițiile Bursei de Valori București, pe baza principiului „primul venit, primul servit”. </w:t>
            </w:r>
          </w:p>
          <w:p w14:paraId="1DA34691"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Scopul este de a pregăti societățile care aderă la regulile de cotare ale Bursei de Valori București să beneficieze cu succes de fonduri de pe piața de capital pe oricare dintre segmentele de piață disponibile.</w:t>
            </w:r>
          </w:p>
          <w:p w14:paraId="1BD6D94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Pentru a se asigura respectarea Orientărilor tehnice DNSH (2021/C58/01), întreprinderile care au obținut mai mult de 50 % din veniturile lor în cursul exercițiului financiar precedent din activități sau active incluse pe lista de excludere au obligația de a adopta și de a publica planuri privind tranziția verde.</w:t>
            </w:r>
          </w:p>
        </w:tc>
      </w:tr>
      <w:tr w:rsidR="000A27B3" w:rsidRPr="005209CD" w14:paraId="59D3A479" w14:textId="77777777" w:rsidTr="00ED2A55">
        <w:trPr>
          <w:trHeight w:val="309"/>
          <w:jc w:val="center"/>
        </w:trPr>
        <w:tc>
          <w:tcPr>
            <w:tcW w:w="606" w:type="dxa"/>
            <w:tcBorders>
              <w:top w:val="nil"/>
              <w:left w:val="single" w:sz="4" w:space="0" w:color="auto"/>
              <w:bottom w:val="single" w:sz="4" w:space="0" w:color="auto"/>
              <w:right w:val="single" w:sz="4" w:space="0" w:color="auto"/>
            </w:tcBorders>
            <w:shd w:val="clear" w:color="auto" w:fill="C6EFCE"/>
            <w:noWrap/>
          </w:tcPr>
          <w:p w14:paraId="77B57AA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265</w:t>
            </w:r>
          </w:p>
        </w:tc>
        <w:tc>
          <w:tcPr>
            <w:tcW w:w="1844" w:type="dxa"/>
            <w:tcBorders>
              <w:top w:val="nil"/>
              <w:left w:val="single" w:sz="4" w:space="0" w:color="auto"/>
              <w:bottom w:val="single" w:sz="4" w:space="0" w:color="auto"/>
              <w:right w:val="single" w:sz="4" w:space="0" w:color="auto"/>
            </w:tcBorders>
            <w:shd w:val="clear" w:color="auto" w:fill="C6EFCE"/>
            <w:noWrap/>
          </w:tcPr>
          <w:p w14:paraId="082F18A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3.2 Scheme de ajutor pentru sectorul privat - Schema </w:t>
            </w:r>
            <w:r>
              <w:rPr>
                <w:rFonts w:ascii="Times New Roman" w:hAnsi="Times New Roman"/>
                <w:i/>
                <w:noProof/>
                <w:sz w:val="24"/>
              </w:rPr>
              <w:t>de minimis</w:t>
            </w:r>
            <w:r>
              <w:rPr>
                <w:rFonts w:ascii="Times New Roman" w:hAnsi="Times New Roman"/>
                <w:noProof/>
                <w:sz w:val="24"/>
              </w:rPr>
              <w:t xml:space="preserve"> pentru ajutarea firmelor din România în procesul de listare la bursă</w:t>
            </w:r>
          </w:p>
        </w:tc>
        <w:tc>
          <w:tcPr>
            <w:tcW w:w="1089" w:type="dxa"/>
            <w:tcBorders>
              <w:top w:val="nil"/>
              <w:left w:val="single" w:sz="4" w:space="0" w:color="auto"/>
              <w:bottom w:val="single" w:sz="4" w:space="0" w:color="auto"/>
              <w:right w:val="single" w:sz="4" w:space="0" w:color="auto"/>
            </w:tcBorders>
            <w:shd w:val="clear" w:color="auto" w:fill="C6EFCE"/>
            <w:noWrap/>
          </w:tcPr>
          <w:p w14:paraId="11D1C3A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nil"/>
              <w:left w:val="single" w:sz="4" w:space="0" w:color="auto"/>
              <w:bottom w:val="single" w:sz="4" w:space="0" w:color="auto"/>
              <w:right w:val="single" w:sz="4" w:space="0" w:color="auto"/>
            </w:tcBorders>
            <w:shd w:val="clear" w:color="auto" w:fill="C6EFCE"/>
            <w:noWrap/>
          </w:tcPr>
          <w:p w14:paraId="374C3A6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Numărul de contracte de finanțare semnate care vor permite listarea la Bursa de Valori București</w:t>
            </w:r>
          </w:p>
        </w:tc>
        <w:tc>
          <w:tcPr>
            <w:tcW w:w="1766" w:type="dxa"/>
            <w:tcBorders>
              <w:top w:val="nil"/>
              <w:left w:val="single" w:sz="4" w:space="0" w:color="auto"/>
              <w:bottom w:val="single" w:sz="4" w:space="0" w:color="auto"/>
              <w:right w:val="single" w:sz="4" w:space="0" w:color="auto"/>
            </w:tcBorders>
            <w:shd w:val="clear" w:color="auto" w:fill="C6EFCE"/>
            <w:noWrap/>
          </w:tcPr>
          <w:p w14:paraId="026985F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nil"/>
              <w:left w:val="single" w:sz="4" w:space="0" w:color="auto"/>
              <w:bottom w:val="single" w:sz="4" w:space="0" w:color="auto"/>
              <w:right w:val="single" w:sz="4" w:space="0" w:color="auto"/>
            </w:tcBorders>
            <w:shd w:val="clear" w:color="auto" w:fill="C6EFCE"/>
            <w:noWrap/>
          </w:tcPr>
          <w:p w14:paraId="25453AE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nil"/>
              <w:left w:val="single" w:sz="4" w:space="0" w:color="auto"/>
              <w:bottom w:val="single" w:sz="4" w:space="0" w:color="auto"/>
              <w:right w:val="single" w:sz="4" w:space="0" w:color="auto"/>
            </w:tcBorders>
            <w:shd w:val="clear" w:color="auto" w:fill="C6EFCE"/>
            <w:noWrap/>
          </w:tcPr>
          <w:p w14:paraId="6BF2B35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nil"/>
              <w:left w:val="single" w:sz="4" w:space="0" w:color="auto"/>
              <w:bottom w:val="single" w:sz="4" w:space="0" w:color="auto"/>
              <w:right w:val="single" w:sz="4" w:space="0" w:color="auto"/>
            </w:tcBorders>
            <w:shd w:val="clear" w:color="auto" w:fill="C6EFCE"/>
            <w:noWrap/>
          </w:tcPr>
          <w:p w14:paraId="58D83E7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280</w:t>
            </w:r>
          </w:p>
        </w:tc>
        <w:tc>
          <w:tcPr>
            <w:tcW w:w="1200" w:type="dxa"/>
            <w:tcBorders>
              <w:top w:val="nil"/>
              <w:left w:val="single" w:sz="4" w:space="0" w:color="auto"/>
              <w:bottom w:val="single" w:sz="4" w:space="0" w:color="auto"/>
              <w:right w:val="single" w:sz="4" w:space="0" w:color="auto"/>
            </w:tcBorders>
            <w:shd w:val="clear" w:color="auto" w:fill="C6EFCE"/>
            <w:noWrap/>
          </w:tcPr>
          <w:p w14:paraId="7AE15E4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nil"/>
              <w:left w:val="single" w:sz="4" w:space="0" w:color="auto"/>
              <w:bottom w:val="single" w:sz="4" w:space="0" w:color="auto"/>
              <w:right w:val="single" w:sz="4" w:space="0" w:color="auto"/>
            </w:tcBorders>
            <w:shd w:val="clear" w:color="auto" w:fill="C6EFCE"/>
            <w:noWrap/>
          </w:tcPr>
          <w:p w14:paraId="32EABE1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760" w:type="dxa"/>
            <w:tcBorders>
              <w:top w:val="nil"/>
              <w:left w:val="single" w:sz="4" w:space="0" w:color="auto"/>
              <w:bottom w:val="single" w:sz="4" w:space="0" w:color="auto"/>
              <w:right w:val="single" w:sz="4" w:space="0" w:color="auto"/>
            </w:tcBorders>
            <w:shd w:val="clear" w:color="auto" w:fill="C6EFCE"/>
            <w:noWrap/>
          </w:tcPr>
          <w:p w14:paraId="728B01D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Numărul de contracte de finanțare semnate de administratorul ajutorului de stat cu întreprinderile, care vor permite cotarea la Bursa de Valori București, în conformitate cu Orientările Tehnice DNSH (2021/C58/01) și cu cerințele stabilite la jalonul 264. Acest sprijin va influența direct motivația întreprinderilor de a obține acces la piața de capital și va stimula crearea de lichidități pe piață.</w:t>
            </w:r>
          </w:p>
        </w:tc>
      </w:tr>
      <w:tr w:rsidR="000A27B3" w:rsidRPr="005209CD" w14:paraId="60F17A47"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759957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266</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32C8CCF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4. Proiecte transfrontaliere</w:t>
            </w:r>
          </w:p>
          <w:p w14:paraId="5C6B7FB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 multinaționale</w:t>
            </w:r>
          </w:p>
          <w:p w14:paraId="231039F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Procesoare de mică putere</w:t>
            </w:r>
          </w:p>
          <w:p w14:paraId="408DB84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w:t>
            </w:r>
          </w:p>
          <w:p w14:paraId="17E3C1C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cipuri</w:t>
            </w:r>
          </w:p>
          <w:p w14:paraId="178CDEE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semiconductoare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1250434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2C328C5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Hotărârii Guvernului prin care se alocă finanțarea necesară de 500 de milioane EUR pentru sprijinirea extinderii capacităților naționale până la prima dezvoltare industrială și participarea sau asocierea la un proiect multinațional.</w:t>
            </w:r>
          </w:p>
          <w:p w14:paraId="2A3F5F6B" w14:textId="77777777" w:rsidR="00500CF9" w:rsidRPr="009F1DC7" w:rsidRDefault="00500CF9">
            <w:pPr>
              <w:spacing w:after="0" w:line="240" w:lineRule="auto"/>
              <w:jc w:val="both"/>
              <w:rPr>
                <w:rFonts w:ascii="Times New Roman" w:hAnsi="Times New Roman" w:cs="Times New Roman"/>
                <w:noProof/>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5C3C55F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11BB23F3"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35EE9BB"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B399D92"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6C5EE6C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0FC8E43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28E8168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Hotărârea Guvernului va stabili cadrul de reglementare care va indica procedurile și termenele de depunere a proiectelor, criteriile de eligibilitate și cerințele pentru potențialii beneficiari și va stabili, de asemenea, o alocare bugetară de 500 de milioane EUR.</w:t>
            </w:r>
          </w:p>
          <w:p w14:paraId="6AB51F3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Vor fi stabilite informații suplimentare în funcție de participarea și a altor state membre la aceste proiecte.</w:t>
            </w:r>
          </w:p>
          <w:p w14:paraId="417C846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 preconizează că proiectul multinațional - Procesoare cu consum redus de energie și cipuri semiconductoare va fi executat în principal prin participarea sau asocierea la un proiect important de interes european comun.</w:t>
            </w:r>
          </w:p>
        </w:tc>
      </w:tr>
      <w:tr w:rsidR="000A27B3" w:rsidRPr="000A27B3" w14:paraId="0FBCFEE5"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AECDB7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267</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5BAC771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4. Proiecte transfrontaliere</w:t>
            </w:r>
          </w:p>
          <w:p w14:paraId="026187C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 multinaționale</w:t>
            </w:r>
          </w:p>
          <w:p w14:paraId="72A359C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Procesoare de mică putere</w:t>
            </w:r>
          </w:p>
          <w:p w14:paraId="7FB8EC4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w:t>
            </w:r>
          </w:p>
          <w:p w14:paraId="744C883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cipuri</w:t>
            </w:r>
          </w:p>
          <w:p w14:paraId="3711FFD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semiconductoare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890C9E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59F555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Entități selectate pentru a participa sau a se asocia la proiect</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7C9B1A44"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654B8D2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1E73D58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CD3A89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10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3EF8393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53B7FD4C" w14:textId="52C35D7B"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47D324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10 entități vor fi selectate pentru a participa sau a se asocia la proiectul multinațional – Procesoare cu consum redus de energie și cipuri semiconductoare</w:t>
            </w:r>
          </w:p>
          <w:p w14:paraId="61FF070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 preconizează că proiectul multinațional va fi executat în principal prin participarea sau asocierea la un proiect important de interes european comun.</w:t>
            </w:r>
          </w:p>
        </w:tc>
      </w:tr>
      <w:tr w:rsidR="000A27B3" w:rsidRPr="000A27B3" w14:paraId="264D27B0"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08B53E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268</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5C1DE3E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4. Proiecte transfrontaliere</w:t>
            </w:r>
          </w:p>
          <w:p w14:paraId="01BC4CB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 multinaționale</w:t>
            </w:r>
          </w:p>
          <w:p w14:paraId="2FD6D1E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Procesoare de mică putere</w:t>
            </w:r>
          </w:p>
          <w:p w14:paraId="5F3E8BB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w:t>
            </w:r>
          </w:p>
          <w:p w14:paraId="7D81E5C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cipuri</w:t>
            </w:r>
          </w:p>
          <w:p w14:paraId="7B5A0E3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semiconductoare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8E1247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041794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Entități din consorțiile care participă la cererile de proiecte ale Întreprinderii Comune Tehnologii Digitale Esențiale (KDT JU)</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6AD720B0"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5A0DF61A" w14:textId="77777777" w:rsidR="00500CF9" w:rsidRPr="000A27B3" w:rsidRDefault="00500CF9">
            <w:pPr>
              <w:spacing w:after="0" w:line="240" w:lineRule="auto"/>
              <w:rPr>
                <w:rFonts w:ascii="Times New Roman" w:hAnsi="Times New Roman" w:cs="Times New Roman"/>
                <w:noProof/>
                <w:sz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64A7168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91896D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3</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3F5F360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42A8A3D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AA2BEF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3 entități din consorții vor participa la cererile de proiecte ale Întreprinderii Comune Tehnologii Digitale Esențiale (KDT JU).</w:t>
            </w:r>
          </w:p>
          <w:p w14:paraId="308491E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Participanții la proiectul multinațional privind procesoarele de mică putere și</w:t>
            </w:r>
          </w:p>
          <w:p w14:paraId="68DDF6A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cipurile semiconductoare contribuie, într-un context multinațional, la crearea de capacități în domeniul în care întreprinderea comună KDT JU lansează cereri de propuneri de proiecte. Activitățile celor două mecanisme sunt complementare.</w:t>
            </w:r>
          </w:p>
        </w:tc>
      </w:tr>
      <w:tr w:rsidR="000A27B3" w:rsidRPr="000A27B3" w14:paraId="5A89F303"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78F8406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269</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66CCD6B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4. Proiecte transfrontaliere</w:t>
            </w:r>
          </w:p>
          <w:p w14:paraId="5B54FB3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 multinaționale</w:t>
            </w:r>
          </w:p>
          <w:p w14:paraId="6636990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Procesoare de mică putere</w:t>
            </w:r>
          </w:p>
          <w:p w14:paraId="57990A1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și</w:t>
            </w:r>
          </w:p>
          <w:p w14:paraId="2524F3D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cipuri</w:t>
            </w:r>
          </w:p>
          <w:p w14:paraId="15AA5C2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semiconductoare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439D81E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C8E71CA" w14:textId="344F3273"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Fondurile sunt angajate pentru entitățile selectate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FAFFC31"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750536B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Milioane EUR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6410CEBD" w14:textId="3FE474A3"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3D814C7" w14:textId="60186A6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360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43A21A9E" w14:textId="23B6DF6A"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3CE3F0D9" w14:textId="24A52249"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F9B7952" w14:textId="58134BDB"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360 de milioane EUR din fondurile alocate au fost angajate prin semnarea de contracte cu entitățile selectate.</w:t>
            </w:r>
          </w:p>
        </w:tc>
      </w:tr>
      <w:tr w:rsidR="000A27B3" w:rsidRPr="000A27B3" w14:paraId="6A33C178"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793CAB1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270</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77C1B2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Raționalizarea guvernanței în domeniul cercetării, dezvoltării și inovării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F2B390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1837BDC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Unitatea de implementare a reformelor din cadrul mecanismului de sprijin al politicilor (PSF) este instituită și operațională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2D7834E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Adoptarea unui act normativ pentru operaționalizarea Unitatea de implementare a reformelor din cadrul mecanismului de sprijin al politicilor (PSF)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7792C2A1"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441A195"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4E0BE26"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6CEB9CA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25E5C5C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AE0462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unei unități temporare de implementare a reformelor în cadrul mecanismului de sprijinire a politicilor, cu mandatul de a implementa și a monitoriza recomandările mecanismului de sprijin al politicilor care au fost transpuse în reforme ale ecosistemului național de cercetare, dezvoltare și inovare.</w:t>
            </w:r>
          </w:p>
          <w:p w14:paraId="08F0BD4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Noua unitate, cu sprijinul mecanismului de sprijin al politicilor, va reproiecta, în coordonare cu autoritățile publice relevante, arhitectura și funcțiile sistemului de cercetare, dezvoltare și inovare, pentru a îmbunătăți calitatea investițiilor în cercetare și inovare pentru un sistem rezilient și performant. În acest scop, mandatul unității se va axa, printre altele, pe 5 priorități: </w:t>
            </w:r>
          </w:p>
          <w:p w14:paraId="169A4F19" w14:textId="77777777" w:rsidR="00500CF9" w:rsidRPr="000A27B3" w:rsidRDefault="00500CF9" w:rsidP="00500CF9">
            <w:pPr>
              <w:pStyle w:val="ListParagraph"/>
              <w:numPr>
                <w:ilvl w:val="0"/>
                <w:numId w:val="78"/>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guvernanța sistemului de cercetare, dezvoltare și inovare; </w:t>
            </w:r>
          </w:p>
          <w:p w14:paraId="38D920B0" w14:textId="77777777" w:rsidR="00500CF9" w:rsidRPr="000A27B3" w:rsidRDefault="00500CF9" w:rsidP="00500CF9">
            <w:pPr>
              <w:pStyle w:val="ListParagraph"/>
              <w:numPr>
                <w:ilvl w:val="0"/>
                <w:numId w:val="78"/>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condițiile-cadru pentru cercetarea publică, resursele umane pentru cercetare și inovare; </w:t>
            </w:r>
          </w:p>
          <w:p w14:paraId="7CC7D906" w14:textId="4C7CCC11" w:rsidR="00500CF9" w:rsidRPr="000A27B3" w:rsidRDefault="00500CF9" w:rsidP="00500CF9">
            <w:pPr>
              <w:pStyle w:val="ListParagraph"/>
              <w:numPr>
                <w:ilvl w:val="0"/>
                <w:numId w:val="78"/>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internaționalizarea organizațiilor de cercetare, dezvoltare și inovare; </w:t>
            </w:r>
          </w:p>
          <w:p w14:paraId="19DDBA43" w14:textId="77777777" w:rsidR="00500CF9" w:rsidRPr="000A27B3" w:rsidRDefault="00500CF9" w:rsidP="00500CF9">
            <w:pPr>
              <w:pStyle w:val="ListParagraph"/>
              <w:numPr>
                <w:ilvl w:val="0"/>
                <w:numId w:val="78"/>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parteneriatele public-privat în domeniul cercetării, dezvoltării și inovării; </w:t>
            </w:r>
          </w:p>
          <w:p w14:paraId="6A3F5236" w14:textId="77777777" w:rsidR="00500CF9" w:rsidRPr="000A27B3" w:rsidRDefault="00500CF9" w:rsidP="00500CF9">
            <w:pPr>
              <w:pStyle w:val="ListParagraph"/>
              <w:numPr>
                <w:ilvl w:val="0"/>
                <w:numId w:val="78"/>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impactul fondurilor structurale asupra sistemului de cercetare, dezvoltare și inovare. </w:t>
            </w:r>
          </w:p>
          <w:p w14:paraId="1A41D27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Unitatea va fi operațională în perioada 2021-2026 și va avea un număr de 17 angajați în echivalent normă întreagă.</w:t>
            </w:r>
          </w:p>
        </w:tc>
      </w:tr>
      <w:tr w:rsidR="000A27B3" w:rsidRPr="000A27B3" w14:paraId="4E4112B9"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5E92192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271</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5DC7B2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2. Raționalizarea guvernanței în domeniul cercetării, dezvoltării și inovării</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166CB28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6308A89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Ponderea recomandărilor din cadrul mecanismului de sprijin al politicilor puse în aplicare până la sfârșitul anului 2026</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5E38D617" w14:textId="77777777" w:rsidR="00500CF9" w:rsidRPr="009F1DC7" w:rsidRDefault="00500CF9">
            <w:pPr>
              <w:spacing w:after="0" w:line="240" w:lineRule="auto"/>
              <w:jc w:val="both"/>
              <w:rPr>
                <w:rFonts w:ascii="Times New Roman" w:hAnsi="Times New Roman" w:cs="Times New Roman"/>
                <w:noProof/>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457A0865"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5A0F4F0"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AE18AC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994F9C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80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633F6E8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1380416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A5AF3A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România va pune în aplicare recomandările detaliate în viitoare evaluare </w:t>
            </w:r>
            <w:r>
              <w:rPr>
                <w:rFonts w:ascii="Times New Roman" w:hAnsi="Times New Roman"/>
                <w:i/>
                <w:noProof/>
                <w:sz w:val="24"/>
              </w:rPr>
              <w:t>inter pares</w:t>
            </w:r>
            <w:r>
              <w:rPr>
                <w:rFonts w:ascii="Times New Roman" w:hAnsi="Times New Roman"/>
                <w:noProof/>
                <w:sz w:val="24"/>
              </w:rPr>
              <w:t xml:space="preserve"> efectuată în cadrul Mecanismului de sprijinire a politicilor, respectând, în același timp, etapele și prioritățile care vor fi sugerate de mecanismul de sprijin al politicilor stabilite la jalonul 270.</w:t>
            </w:r>
          </w:p>
        </w:tc>
      </w:tr>
      <w:tr w:rsidR="000A27B3" w:rsidRPr="000A27B3" w14:paraId="49E0C76F"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317815A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272</w:t>
            </w:r>
          </w:p>
          <w:p w14:paraId="66E293D5" w14:textId="77777777" w:rsidR="00500CF9" w:rsidRPr="000A27B3" w:rsidRDefault="00500CF9">
            <w:pPr>
              <w:spacing w:after="0" w:line="240" w:lineRule="auto"/>
              <w:jc w:val="center"/>
              <w:rPr>
                <w:rFonts w:ascii="Times New Roman" w:hAnsi="Times New Roman" w:cs="Times New Roman"/>
                <w:noProof/>
                <w:sz w:val="24"/>
                <w:szCs w:val="24"/>
                <w:lang w:val="en-GB"/>
              </w:rPr>
            </w:pP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1D4E441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2. Raționalizarea guvernanței în domeniul cercetării, dezvoltării și inovării</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E9828C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E608FF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unui sistem permanent care să elaboreze, pună în aplicare, monitorizeze și evalueze politica în domeniul cercetării, dezvoltării și inovării</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297FC96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Act legislativ care indică intrarea în vigoare a sistemului permanent care elaborează, pune în aplicare, monitorizează și evaluează politica în domeniul cercetării, dezvoltării și inovării</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265D4F21" w14:textId="77777777" w:rsidR="00500CF9" w:rsidRPr="009F1DC7" w:rsidRDefault="00500CF9">
            <w:pPr>
              <w:spacing w:after="0" w:line="240" w:lineRule="auto"/>
              <w:jc w:val="both"/>
              <w:rPr>
                <w:rFonts w:ascii="Times New Roman" w:hAnsi="Times New Roman" w:cs="Times New Roman"/>
                <w:noProof/>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64B16400" w14:textId="77777777" w:rsidR="00500CF9" w:rsidRPr="009F1DC7" w:rsidRDefault="00500CF9">
            <w:pPr>
              <w:spacing w:after="0" w:line="240" w:lineRule="auto"/>
              <w:jc w:val="both"/>
              <w:rPr>
                <w:rFonts w:ascii="Times New Roman" w:hAnsi="Times New Roman" w:cs="Times New Roman"/>
                <w:noProof/>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04564AFD" w14:textId="77777777" w:rsidR="00500CF9" w:rsidRPr="009F1DC7" w:rsidRDefault="00500CF9">
            <w:pPr>
              <w:spacing w:after="0" w:line="240" w:lineRule="auto"/>
              <w:jc w:val="both"/>
              <w:rPr>
                <w:rFonts w:ascii="Times New Roman" w:hAnsi="Times New Roman" w:cs="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7D87907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54BE2D2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1ED6F7D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România va institui un sistem permanent care să asigure elaborarea și punerea în aplicare, monitorizarea și evaluarea armonizate ale politicii în domeniul cercetării, dezvoltării și inovării la nivelul ministerelor și agențiilor, cu o durată de viață mai largă decât calendarul Mecanismului de redresare și reziliență, pe baza recomandărilor mecanismului de sprijinire a politicilor pentru perioada 2021-2022.</w:t>
            </w:r>
          </w:p>
          <w:p w14:paraId="37EE3E82" w14:textId="77777777" w:rsidR="00500CF9" w:rsidRPr="009F1DC7" w:rsidRDefault="00500CF9">
            <w:pPr>
              <w:spacing w:after="0" w:line="240" w:lineRule="auto"/>
              <w:jc w:val="both"/>
              <w:rPr>
                <w:rFonts w:ascii="Times New Roman" w:hAnsi="Times New Roman" w:cs="Times New Roman"/>
                <w:noProof/>
                <w:sz w:val="24"/>
                <w:szCs w:val="24"/>
              </w:rPr>
            </w:pPr>
          </w:p>
        </w:tc>
      </w:tr>
      <w:tr w:rsidR="000A27B3" w:rsidRPr="000A27B3" w14:paraId="266A3E5C"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4F4FCEB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273</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3BABAD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2. Raționalizarea guvernanței în domeniul cercetării, dezvoltării și inovării</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6D9FB5C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230E93E7" w14:textId="1C7BAF79"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Ordonanței Guvernului de instituire a unui organism unic care să înglobeze consiliile existente, să asigure coordonarea interministerială și să comunice cu sectorul privat</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14CC656" w14:textId="4A96D575"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într-o ordonanță a Guvernului care indică intrarea în vigoare a legislației de instituire a organismului unic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7961744E" w14:textId="77777777" w:rsidR="00500CF9" w:rsidRPr="009F1DC7" w:rsidRDefault="00500CF9">
            <w:pPr>
              <w:spacing w:after="0" w:line="240" w:lineRule="auto"/>
              <w:jc w:val="both"/>
              <w:rPr>
                <w:rFonts w:ascii="Times New Roman" w:hAnsi="Times New Roman" w:cs="Times New Roman"/>
                <w:noProof/>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2AB7D4D7" w14:textId="77777777" w:rsidR="00500CF9" w:rsidRPr="009F1DC7" w:rsidRDefault="00500CF9">
            <w:pPr>
              <w:spacing w:after="0" w:line="240" w:lineRule="auto"/>
              <w:jc w:val="both"/>
              <w:rPr>
                <w:rFonts w:ascii="Times New Roman" w:hAnsi="Times New Roman" w:cs="Times New Roman"/>
                <w:noProof/>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696D0EE6" w14:textId="77777777" w:rsidR="00500CF9" w:rsidRPr="009F1DC7" w:rsidRDefault="00500CF9">
            <w:pPr>
              <w:spacing w:after="0" w:line="240" w:lineRule="auto"/>
              <w:jc w:val="both"/>
              <w:rPr>
                <w:rFonts w:ascii="Times New Roman" w:hAnsi="Times New Roman" w:cs="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17E182B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4161902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6E4464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Modificările legislative (și anume, cele aduse OG 57/2002) vor permite crearea unui nou organism cu rol decizional, axat pe domeniul cercetării, dezvoltării și inovării și pe politicile de specializare inteligentă, la nivel guvernamental, împreună cu ministerele responsabile. </w:t>
            </w:r>
          </w:p>
          <w:p w14:paraId="0E68829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Acest organism va asigura coordonarea activităților de cercetare, dezvoltare și inovare (inclusiv inovarea și antreprenoriatul bazate pe cercetare) la nivel național și va fi structurat în conformitate cu recomandările pentru cercetare, dezvoltare și inovare pentru perioada 2021-2022 ale mecanismului de sprijinire a politicilor. </w:t>
            </w:r>
          </w:p>
          <w:p w14:paraId="5A666CD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Secretariatul acestui organism va fi asigurat de Ministerul Cercetării, Inovării și Digitalizării. </w:t>
            </w:r>
          </w:p>
        </w:tc>
      </w:tr>
      <w:tr w:rsidR="000A27B3" w:rsidRPr="000A27B3" w14:paraId="17B971FD"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54E7297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274</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32F60A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3. Reforma carierei de cercetător</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0B9AA72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470B528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legislației privind cariera și statutul cercetătorului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1869798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legislației privind cariera și statutul cercetătorului</w:t>
            </w:r>
          </w:p>
          <w:p w14:paraId="216724C1" w14:textId="77777777" w:rsidR="00500CF9" w:rsidRPr="000A27B3" w:rsidRDefault="00500CF9">
            <w:pPr>
              <w:spacing w:after="0" w:line="240" w:lineRule="auto"/>
              <w:jc w:val="both"/>
              <w:rPr>
                <w:rFonts w:ascii="Times New Roman" w:hAnsi="Times New Roman" w:cs="Times New Roman"/>
                <w:noProof/>
                <w:sz w:val="24"/>
                <w:szCs w:val="24"/>
                <w:lang w:val="en-GB"/>
              </w:rPr>
            </w:pPr>
          </w:p>
          <w:p w14:paraId="0CF9C041" w14:textId="77777777" w:rsidR="00500CF9" w:rsidRPr="000A27B3" w:rsidRDefault="00500CF9">
            <w:pPr>
              <w:spacing w:after="0" w:line="240" w:lineRule="auto"/>
              <w:jc w:val="both"/>
              <w:rPr>
                <w:rFonts w:ascii="Times New Roman" w:hAnsi="Times New Roman" w:cs="Times New Roman"/>
                <w:noProof/>
                <w:sz w:val="24"/>
                <w:szCs w:val="24"/>
                <w:lang w:val="en-GB"/>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645143A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1C9DF0F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231A7D0"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75FFDB5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738E46F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4461C2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Legea 319/2003 modificată va detalia indicatorii-cheie de performanță (pe baza standardelor internaționale de cercetare) care vor fi utilizați pentru a evalua performanța cercetătorilor, iar Legea 206/204 modificată va detalia standardele privind „buna conduită în cercetarea științifică” și, prin urmare, accesul la finanțare și la burse.</w:t>
            </w:r>
          </w:p>
          <w:p w14:paraId="00B389B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Noile acte legislative vor viza alinierea la cele mai bune practici europene, inclusiv: </w:t>
            </w:r>
          </w:p>
          <w:p w14:paraId="02B81BFD" w14:textId="77777777" w:rsidR="00500CF9" w:rsidRPr="000A27B3" w:rsidRDefault="00500CF9" w:rsidP="00500CF9">
            <w:pPr>
              <w:pStyle w:val="ListParagraph"/>
              <w:numPr>
                <w:ilvl w:val="0"/>
                <w:numId w:val="79"/>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promovarea în cariera de cercetător pe baza principiului meritului </w:t>
            </w:r>
          </w:p>
          <w:p w14:paraId="6C1663D8" w14:textId="77777777" w:rsidR="00500CF9" w:rsidRPr="000A27B3" w:rsidRDefault="00500CF9" w:rsidP="00500CF9">
            <w:pPr>
              <w:pStyle w:val="ListParagraph"/>
              <w:numPr>
                <w:ilvl w:val="0"/>
                <w:numId w:val="79"/>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recrutarea pe baza unor proceduri transparente, deschise și competitive </w:t>
            </w:r>
          </w:p>
          <w:p w14:paraId="32013DE1" w14:textId="77777777" w:rsidR="00500CF9" w:rsidRPr="000A27B3" w:rsidRDefault="00500CF9" w:rsidP="00500CF9">
            <w:pPr>
              <w:pStyle w:val="ListParagraph"/>
              <w:numPr>
                <w:ilvl w:val="0"/>
                <w:numId w:val="79"/>
              </w:numPr>
              <w:spacing w:after="0" w:line="240" w:lineRule="auto"/>
              <w:jc w:val="both"/>
              <w:rPr>
                <w:rFonts w:ascii="Times New Roman" w:hAnsi="Times New Roman" w:cs="Times New Roman"/>
                <w:noProof/>
                <w:sz w:val="24"/>
                <w:szCs w:val="24"/>
              </w:rPr>
            </w:pPr>
            <w:r>
              <w:rPr>
                <w:rFonts w:ascii="Times New Roman" w:hAnsi="Times New Roman"/>
                <w:noProof/>
                <w:sz w:val="24"/>
              </w:rPr>
              <w:t>bunele practici în materie de etică și integritate în cercetarea științifică.</w:t>
            </w:r>
          </w:p>
          <w:p w14:paraId="74AFBB5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Noua legislație va include, de asemenea, un cadru de stimulente financiare și nefinanciare pentru a încuraja punerea în aplicare a Cartei europene a cercetătorilor și a Codului de recrutare a cercetătorilor de către institutele de cercetare. Acesta va fi instituit în special în contextul cerințelor de eligibilitate pentru cererile de propuneri competitive, al criteriilor de evaluare a organizațiilor, al finanțării instituționale și în legătură cu jaloanele 280 și 283.</w:t>
            </w:r>
          </w:p>
          <w:p w14:paraId="14B2502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Aceste noi proceduri legislative vor ține cont și de recomandările formulate în cadrul mecanismului de sprijinire a politicilor din cadrul programului Orizont Europa 2021-2022.</w:t>
            </w:r>
          </w:p>
        </w:tc>
      </w:tr>
      <w:tr w:rsidR="000A27B3" w:rsidRPr="000A27B3" w14:paraId="2FC4DAD0"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4056A28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275</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56A5973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3. Reforma carierei de cercetător</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29A6FD1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648023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Instituțiile care au aderat la Carta europeană a cercetătorilor și la Codul de recrutare a cercetătorilor au inițiat procesul de elaborare, implementare și evaluare a planurilor de acțiune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138AE8C8"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5310F57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4CA64BB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5</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22B2C79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16</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3FA033E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7FF4711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FA3A4C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 lângă cele 5 instituții deja existente, 9 alte instituții care au aderat la Carta europeană a cercetătorilor și la Codul de recrutare a cercetătorilor vor inițiază procesul de elaborare, punere în aplicare și evaluare a planurilor de acțiune bazate pe baza instrumentului „Strategia de resurse umane pentru cercetători” (HRS4R) al Comisiei Europene, care ajută angajatorii și finanțatorii să pună în aplicare principiile cartei și ale codului în instituțiile lor.</w:t>
            </w:r>
          </w:p>
          <w:p w14:paraId="23F60259" w14:textId="7B7B82F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Până în septembrie 2021, 16 instituții din România au aderat la Carta europeană a cercetătorilor și la Codul de recrutare a cercetătorilor și doar 5</w:t>
            </w:r>
            <w:r w:rsidR="00ED2A55">
              <w:rPr>
                <w:rFonts w:ascii="Times New Roman" w:hAnsi="Times New Roman"/>
                <w:noProof/>
                <w:sz w:val="24"/>
              </w:rPr>
              <w:t> </w:t>
            </w:r>
            <w:r>
              <w:rPr>
                <w:rFonts w:ascii="Times New Roman" w:hAnsi="Times New Roman"/>
                <w:noProof/>
                <w:sz w:val="24"/>
              </w:rPr>
              <w:t xml:space="preserve">instituții au inițiat procesul de elaborare, punere în aplicare și evaluare a planurilor de acțiune </w:t>
            </w:r>
          </w:p>
        </w:tc>
      </w:tr>
      <w:tr w:rsidR="000A27B3" w:rsidRPr="000A27B3" w14:paraId="57DD6ACA"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E0B262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276</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CC419D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4. Consolidarea cooperării dintre mediul de afaceri și cel de cercetare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0A1FF4E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702BA0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modificărilor legislative ce vizează crearea unui mediu favorabil investițiilor publice și private în cercetare, dezvoltare și inovare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EA85BCB"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modificărilor în vederea simplificării investițiilor în domeniul cercetării, dezvoltării și inovării</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6BD630C4"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1319CDF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FFFFCE9"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7A96519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73C594C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DE97EA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modificărilor legislative în vederea creării unui mediu favorabil investițiilor publice și private în cercetare, dezvoltare și inovare Modificările: </w:t>
            </w:r>
          </w:p>
          <w:p w14:paraId="01AD4103" w14:textId="4E3B5A31" w:rsidR="00500CF9" w:rsidRPr="000A27B3" w:rsidRDefault="00500CF9" w:rsidP="00500CF9">
            <w:pPr>
              <w:numPr>
                <w:ilvl w:val="0"/>
                <w:numId w:val="70"/>
              </w:numPr>
              <w:spacing w:before="120" w:after="0" w:line="240" w:lineRule="auto"/>
              <w:ind w:left="315" w:hanging="300"/>
              <w:contextualSpacing/>
              <w:jc w:val="both"/>
              <w:rPr>
                <w:rFonts w:ascii="Times New Roman" w:eastAsia="Times New Roman" w:hAnsi="Times New Roman" w:cs="Times New Roman"/>
                <w:noProof/>
                <w:sz w:val="24"/>
                <w:szCs w:val="24"/>
              </w:rPr>
            </w:pPr>
            <w:r>
              <w:rPr>
                <w:rFonts w:ascii="Times New Roman" w:hAnsi="Times New Roman"/>
                <w:noProof/>
                <w:sz w:val="24"/>
              </w:rPr>
              <w:t>vor simplifica și raționaliza legislația națională privind contractarea, finanțarea, monitorizarea și evaluarea programelor din cadrul proiectelor de cercetare, dezvoltare și inovare</w:t>
            </w:r>
          </w:p>
          <w:p w14:paraId="6EA3D04D" w14:textId="566509E2" w:rsidR="00500CF9" w:rsidRPr="000A27B3" w:rsidRDefault="00500CF9" w:rsidP="00500CF9">
            <w:pPr>
              <w:numPr>
                <w:ilvl w:val="0"/>
                <w:numId w:val="70"/>
              </w:numPr>
              <w:spacing w:before="120" w:after="0" w:line="240" w:lineRule="auto"/>
              <w:ind w:left="315" w:hanging="300"/>
              <w:contextualSpacing/>
              <w:jc w:val="both"/>
              <w:rPr>
                <w:rFonts w:ascii="Times New Roman" w:eastAsia="Times New Roman" w:hAnsi="Times New Roman" w:cs="Times New Roman"/>
                <w:noProof/>
                <w:sz w:val="24"/>
                <w:szCs w:val="24"/>
              </w:rPr>
            </w:pPr>
            <w:r>
              <w:rPr>
                <w:rFonts w:ascii="Times New Roman" w:hAnsi="Times New Roman"/>
                <w:noProof/>
                <w:sz w:val="24"/>
              </w:rPr>
              <w:t>vor asigura digitalizarea tuturor procedurilor legate de contractarea, finanțarea, monitorizarea și evaluarea programelor de cercetare, dezvoltare și inovare</w:t>
            </w:r>
          </w:p>
          <w:p w14:paraId="1D7B0D5E" w14:textId="12854A99" w:rsidR="00500CF9" w:rsidRPr="000A27B3" w:rsidRDefault="00500CF9" w:rsidP="00500CF9">
            <w:pPr>
              <w:numPr>
                <w:ilvl w:val="0"/>
                <w:numId w:val="70"/>
              </w:numPr>
              <w:spacing w:before="120" w:after="0" w:line="240" w:lineRule="auto"/>
              <w:ind w:left="315" w:hanging="300"/>
              <w:contextualSpacing/>
              <w:jc w:val="both"/>
              <w:rPr>
                <w:rFonts w:ascii="Times New Roman" w:hAnsi="Times New Roman" w:cs="Times New Roman"/>
                <w:noProof/>
                <w:sz w:val="24"/>
                <w:szCs w:val="24"/>
              </w:rPr>
            </w:pPr>
            <w:r>
              <w:rPr>
                <w:rFonts w:ascii="Times New Roman" w:hAnsi="Times New Roman"/>
                <w:noProof/>
                <w:sz w:val="24"/>
              </w:rPr>
              <w:t xml:space="preserve">vor asigura publicarea integrală a tuturor rezultatelor proiectelor finanțate din fonduri publice, cu excepția proiectelor în domeniul securității și apărării </w:t>
            </w:r>
          </w:p>
          <w:p w14:paraId="14BC8F37" w14:textId="77777777" w:rsidR="00500CF9" w:rsidRPr="000A27B3" w:rsidRDefault="00500CF9" w:rsidP="00500CF9">
            <w:pPr>
              <w:numPr>
                <w:ilvl w:val="0"/>
                <w:numId w:val="70"/>
              </w:numPr>
              <w:spacing w:before="120" w:after="0" w:line="240" w:lineRule="auto"/>
              <w:ind w:left="315" w:hanging="300"/>
              <w:contextualSpacing/>
              <w:jc w:val="both"/>
              <w:rPr>
                <w:rFonts w:ascii="Times New Roman" w:hAnsi="Times New Roman" w:cs="Times New Roman"/>
                <w:noProof/>
                <w:sz w:val="24"/>
                <w:szCs w:val="24"/>
              </w:rPr>
            </w:pPr>
            <w:r>
              <w:rPr>
                <w:rFonts w:ascii="Times New Roman" w:hAnsi="Times New Roman"/>
                <w:noProof/>
                <w:sz w:val="24"/>
              </w:rPr>
              <w:t>vor asigura evaluarea tuturor proiectelor de cercetare, dezvoltare și inovare cu o valoare mai mare de 500 000 EUR finanțate din fonduri publice de către cercetători recunoscuți la nivel internațional înainte de a fi aprobate de autoritatea contractantă publică, asigurându-se astfel evitarea conflictelor de interese</w:t>
            </w:r>
          </w:p>
          <w:p w14:paraId="20CEF013" w14:textId="77777777" w:rsidR="00500CF9" w:rsidRPr="000A27B3" w:rsidRDefault="00500CF9" w:rsidP="00500CF9">
            <w:pPr>
              <w:numPr>
                <w:ilvl w:val="0"/>
                <w:numId w:val="70"/>
              </w:numPr>
              <w:spacing w:before="120" w:after="0" w:line="240" w:lineRule="auto"/>
              <w:ind w:left="315" w:hanging="300"/>
              <w:contextualSpacing/>
              <w:jc w:val="both"/>
              <w:rPr>
                <w:rFonts w:ascii="Times New Roman" w:eastAsia="Times New Roman" w:hAnsi="Times New Roman" w:cs="Times New Roman"/>
                <w:noProof/>
                <w:sz w:val="24"/>
                <w:szCs w:val="24"/>
              </w:rPr>
            </w:pPr>
            <w:r>
              <w:rPr>
                <w:rFonts w:ascii="Times New Roman" w:hAnsi="Times New Roman"/>
                <w:noProof/>
                <w:sz w:val="24"/>
              </w:rPr>
              <w:t>vor asigura revizuirea critică a rezultatelor proiectelor de cercetare selectate cu o valoare mai mare de 500 000 EUR de către cercetătorii recunoscuți la nivel internațional (ca parte a comitetelor de coordonare a proiectelor) înainte de a fi aprobate de autoritatea contractantă publică, asigurându-se astfel evitarea conflictelor de interese. Sunt organizate audieri publice pentru evaluarea la jumătatea perioadei a proiectelor de cercetare, dezvoltare și inovare. Analizele de evaluare sunt trimise consorțiului de proiecte în conformitate cu practicile programului Orizont Europa.</w:t>
            </w:r>
          </w:p>
          <w:p w14:paraId="3DDCBA21" w14:textId="77777777" w:rsidR="00500CF9" w:rsidRPr="000A27B3" w:rsidRDefault="00500CF9" w:rsidP="00500CF9">
            <w:pPr>
              <w:numPr>
                <w:ilvl w:val="0"/>
                <w:numId w:val="70"/>
              </w:numPr>
              <w:spacing w:before="120" w:after="0" w:line="240" w:lineRule="auto"/>
              <w:ind w:left="315" w:hanging="300"/>
              <w:contextualSpacing/>
              <w:jc w:val="both"/>
              <w:rPr>
                <w:rFonts w:ascii="Times New Roman" w:hAnsi="Times New Roman" w:cs="Times New Roman"/>
                <w:noProof/>
                <w:sz w:val="24"/>
                <w:szCs w:val="24"/>
              </w:rPr>
            </w:pPr>
            <w:r>
              <w:rPr>
                <w:rFonts w:ascii="Times New Roman" w:hAnsi="Times New Roman"/>
                <w:noProof/>
                <w:sz w:val="24"/>
              </w:rPr>
              <w:t>Noua strategie pentru cercetare, inovare și specializare inteligentă va asigura o participare sporită a întreprinderilor la proiecte de cercetare, dezvoltare și inovare finanțate din fonduri publice, pentru a sprijini integrarea sectorului de afaceri românesc în lanțurile valorice europene strategice, acordând prioritate implicării IMM-urilor și a întreprinderilor nou-înființate în aceste domenii, astfel cum se specifică în „Strategia României privind antreprenoriatul” (care urmează să fie adoptată de Ministerul Economiei).</w:t>
            </w:r>
          </w:p>
        </w:tc>
      </w:tr>
      <w:tr w:rsidR="000A27B3" w:rsidRPr="000A27B3" w14:paraId="5CD8109B"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456A95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277</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6BAA4B6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4. Consolidarea cooperării dintre mediul de afaceri și cel de cercetare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7F1BE3D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6BFFBFAF" w14:textId="6CA50049"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40 % din proiectele de cercetare, dezvoltare și inovare finanțate din fonduri publice au ca partener cel puțin o entitate comercială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D69990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Procentul de proiecte cu cel puțin un partener din sectorul afacerilor, finanțate de Ministerul Cercetării, Digitalizării și Inovării și de agențiile acestuia.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67209681"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683AC175"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11C833E"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2DE39DEB"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102E034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5040C2D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F806CB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40 % din proiectele de cercetare, dezvoltare și inovare finanțate din fonduri publice au cel puțin o entitate comercială activă, inclusiv IMM-uri și întreprinderi nou-înființate, în calitate de partener în cadrul proiectelor finanțate de Ministerul Cercetării, Digitalizării și Inovării și de agențiile sale. </w:t>
            </w:r>
          </w:p>
        </w:tc>
      </w:tr>
      <w:tr w:rsidR="000A27B3" w:rsidRPr="000A27B3" w14:paraId="10FD691E"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801FFD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278</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FC1E7A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5. Sprijin pentru integrarea organizațiilor de cercetare, dezvoltare și inovare din România în Spațiul european de cercetare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3CDFC84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0124B5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unei legi încurajează, facilitează și reglementează integrarea voluntară și funcțională și fuzionarea instituțiilor de cercetare din România.</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8E2224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unei legi care</w:t>
            </w:r>
          </w:p>
          <w:p w14:paraId="6648C7A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încurajează, facilitează și reglementează integrarea voluntară și funcțională și fuzionarea instituțiilor de cercetare din România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111FC8FB"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0B6DF5F7"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1481C1BA" w14:textId="77777777" w:rsidR="00500CF9" w:rsidRPr="009F1DC7" w:rsidRDefault="00500CF9">
            <w:pPr>
              <w:spacing w:after="0" w:line="240" w:lineRule="auto"/>
              <w:jc w:val="both"/>
              <w:rPr>
                <w:rFonts w:ascii="Times New Roman" w:eastAsia="Times New Roman" w:hAnsi="Times New Roman" w:cs="Times New Roman"/>
                <w:noProof/>
                <w:sz w:val="24"/>
                <w:szCs w:val="24"/>
                <w:lang w:eastAsia="en-GB"/>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50F1AA8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6226D79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72A066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Legea va intra în vigoare pentru a aborda problema gradului ridicat de fragmentare a sistemului de cercetare din România. Acest lucru va încuraja, facilita și reglementa integrarea instituțiilor de cercetare. Cadrul legislativ va ține seama de recomandările mecanismului de sprijinire a politicilor din cadrul programului Orizont Europa pentru perioada 2021-2022 și va preciza cel puțin:</w:t>
            </w:r>
          </w:p>
          <w:p w14:paraId="7243DCD4" w14:textId="77777777"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sz w:val="24"/>
                <w:szCs w:val="24"/>
              </w:rPr>
            </w:pPr>
            <w:r>
              <w:rPr>
                <w:rFonts w:ascii="Times New Roman" w:hAnsi="Times New Roman"/>
                <w:noProof/>
                <w:sz w:val="24"/>
              </w:rPr>
              <w:t>o evaluare externă periodică (adică o dată la 5 ani) a tuturor institutelor de cercetare și dezvoltare din România, inclusiv a celor de la nivel universitar, pe baza standardelor internaționale favorabile excelenței științifice și impactului socio-economic, în vederea abordării gradului ridicat de fragmentare a sistemului de cercetare și dezvoltare și a integrării acestora în Spațiul european de cercetare. Unul dintre criteriile care trebuie incluse în evaluare este măsura în care organizațiile de cercetare exploatează în comun structuri de cercetare.</w:t>
            </w:r>
          </w:p>
          <w:p w14:paraId="307B9B31" w14:textId="1E78016C"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sz w:val="24"/>
                <w:szCs w:val="24"/>
              </w:rPr>
            </w:pPr>
            <w:r>
              <w:rPr>
                <w:rFonts w:ascii="Times New Roman" w:hAnsi="Times New Roman"/>
                <w:noProof/>
                <w:sz w:val="24"/>
              </w:rPr>
              <w:t xml:space="preserve">accesul organizațiilor de cercetare la sprijin financiar și nefinanciar, corelat cu rezultatele evaluării periodice menționate anterior. </w:t>
            </w:r>
          </w:p>
        </w:tc>
      </w:tr>
      <w:tr w:rsidR="000A27B3" w:rsidRPr="000A27B3" w14:paraId="1B61872C"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64B64DD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 xml:space="preserve"> 279</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0D5BFF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Reforma 5. Sprijin pentru integrarea organizațiilor de cercetare, dezvoltare și inovare din România în Spațiul european de cercetare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63327F22"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234426B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Procentul organizațiilor de cercetare care exploatează în comun infrastructuri și structuri de cercetare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88E6C37"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5ADA27C3" w14:textId="77777777" w:rsidR="00500CF9" w:rsidRPr="000A27B3" w:rsidRDefault="00500CF9">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E343D00" w14:textId="77777777" w:rsidR="00500CF9" w:rsidRPr="000A27B3" w:rsidRDefault="00500CF9">
            <w:pPr>
              <w:spacing w:after="0" w:line="240" w:lineRule="auto"/>
              <w:jc w:val="both"/>
              <w:rPr>
                <w:rFonts w:ascii="Times New Roman" w:eastAsia="Times New Roman" w:hAnsi="Times New Roman" w:cs="Times New Roman"/>
                <w:noProof/>
                <w:sz w:val="24"/>
                <w:szCs w:val="24"/>
                <w:lang w:val="en-GB"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5152F0C"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08BAB78E"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25 %</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7E206E0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3D2A835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22FCCD3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25 % dintre organizațiile de cercetare vor utiliza în comun infrastructură și structuri de cercetare.</w:t>
            </w:r>
          </w:p>
          <w:p w14:paraId="57596416"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România va raporta anual proporția tuturor organizațiilor de cercetare (astfel cum sunt enumerate în Sistemul european de infrastructuri de cercetare) care utilizează în comun infrastructură și structuri de cercetare.</w:t>
            </w:r>
          </w:p>
        </w:tc>
      </w:tr>
      <w:tr w:rsidR="000A27B3" w:rsidRPr="000A27B3" w14:paraId="33278C95"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78B5B0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280</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083016A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5. Instituirea și operaționalizarea centrelor de competențe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37E1C8D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6BE3384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Instituirea a 5 centre de competență</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6F2B08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Se înființează cinci centre de competență</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276B998B"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65EE2330"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BC8E364"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64C8764D"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796F554A"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F27F89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Pentru a aborda fragmentarea tematică a organizațiilor de cercetare, dezvoltare și inovare, se va organiza o cerere de propuneri competitive pentru selectarea a 5 proiecte complexe de cercetare, dezvoltare și inovare. Schema de finanțare se numește „Centrul de competențe”. </w:t>
            </w:r>
          </w:p>
          <w:p w14:paraId="7B7954E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Pe baza propunerilor de proiecte depuse în urma cererii de propuneri competitive, deschise și transparente organizate de Ministerul Cercetării, Digitalizării și Inovării, se vor înființa 5 centre de competență, câte unul pentru fiecare misiune Orizont. Scopul este de a implementa misiunile Orizont Europa la nivel național în mod coordonat și de a aborda problema fragmentării tematice. </w:t>
            </w:r>
          </w:p>
          <w:p w14:paraId="78BB391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Centrele de competență vor fi selectate pe baza:</w:t>
            </w:r>
          </w:p>
          <w:p w14:paraId="418B4961" w14:textId="74CA8C96"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rPr>
            </w:pPr>
            <w:r>
              <w:rPr>
                <w:rFonts w:ascii="Times New Roman" w:hAnsi="Times New Roman"/>
                <w:noProof/>
                <w:sz w:val="24"/>
              </w:rPr>
              <w:t xml:space="preserve">unor proiecte complexe și aplicate de cercetare, dezvoltare și inovare propuse de consorții formate din organizații publice și private de cercetare, dezvoltare și inovare, inclusiv întreprinderi mici și mijlocii, care vor pune în aplicare împreună agenda strategică de cercetare și inovare a misiunii </w:t>
            </w:r>
            <w:r w:rsidR="005A192D">
              <w:rPr>
                <w:rFonts w:ascii="Times New Roman" w:hAnsi="Times New Roman"/>
                <w:noProof/>
                <w:sz w:val="24"/>
              </w:rPr>
              <w:t>corespunzătoare</w:t>
            </w:r>
            <w:r>
              <w:rPr>
                <w:rFonts w:ascii="Times New Roman" w:hAnsi="Times New Roman"/>
                <w:noProof/>
                <w:sz w:val="24"/>
              </w:rPr>
              <w:t xml:space="preserve"> din cadrul programului Orizont Europa și vor furniza soluții de cercetare, dezvoltare și inovare pentru comunitățile locale. </w:t>
            </w:r>
          </w:p>
          <w:p w14:paraId="178AF677" w14:textId="77777777"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rPr>
            </w:pPr>
            <w:r>
              <w:rPr>
                <w:rFonts w:ascii="Times New Roman" w:hAnsi="Times New Roman"/>
                <w:noProof/>
                <w:sz w:val="24"/>
              </w:rPr>
              <w:t xml:space="preserve">Valoarea științifică a proiectului, nivelul său de excelență și coerența agendei de cercetare propuse cu agenda strategică de cercetare a misiunilor Orizont Europa vor fi principalele criterii de evaluare pentru selectarea propunerilor finanțate – una pentru fiecare misiune Orizont Europa. </w:t>
            </w:r>
          </w:p>
          <w:p w14:paraId="491E001B" w14:textId="77777777"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rPr>
            </w:pPr>
            <w:r>
              <w:rPr>
                <w:rFonts w:ascii="Times New Roman" w:hAnsi="Times New Roman"/>
                <w:noProof/>
                <w:sz w:val="24"/>
              </w:rPr>
              <w:t>Capacitatea administrativă, experiența și calitatea planului de management al proiectului vor fi, de asemenea, evaluate în cursul procesului de evaluare a proiectului desfășurat împreună cu experți internaționali. Complementaritatea între membrii consorțiului și experiența anterioară în materie de colaborare sunt, de asemenea, criterii care vor fi utilizate în procesul de selecție.</w:t>
            </w:r>
          </w:p>
          <w:p w14:paraId="1EF6F396" w14:textId="77777777"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rPr>
            </w:pPr>
            <w:r>
              <w:rPr>
                <w:rFonts w:ascii="Times New Roman" w:hAnsi="Times New Roman"/>
                <w:noProof/>
                <w:sz w:val="24"/>
              </w:rPr>
              <w:t>Activitățile eligibile sunt activități de cercetare și inovare, echipamente de cercetare modernizate, activități de diseminare și activități de sprijin (studii privind implementarea fiecărei misiuni în România), costuri legate de drepturile de proprietate intelectuală.</w:t>
            </w:r>
          </w:p>
          <w:p w14:paraId="02EB8AED" w14:textId="77777777"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rPr>
            </w:pPr>
            <w:r>
              <w:rPr>
                <w:rFonts w:ascii="Times New Roman" w:hAnsi="Times New Roman"/>
                <w:noProof/>
                <w:sz w:val="24"/>
              </w:rPr>
              <w:t xml:space="preserve">o cartografiere a resurselor de cercetare, dezvoltare și inovare, inclusiv a echipamentelor și infrastructurilor, legate de domeniile tematice ale misiunilor, care să fie, de asemenea, modernizate și utilizate în comun de către candidați. </w:t>
            </w:r>
          </w:p>
          <w:p w14:paraId="213D59E0" w14:textId="29168CAC"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rPr>
            </w:pPr>
            <w:r>
              <w:rPr>
                <w:rFonts w:ascii="Times New Roman" w:hAnsi="Times New Roman"/>
                <w:noProof/>
                <w:sz w:val="24"/>
              </w:rPr>
              <w:t>Un buget eligibil de maximum 5</w:t>
            </w:r>
            <w:r w:rsidR="00ED2A55">
              <w:rPr>
                <w:rFonts w:ascii="Times New Roman" w:hAnsi="Times New Roman"/>
                <w:noProof/>
                <w:sz w:val="24"/>
              </w:rPr>
              <w:t> </w:t>
            </w:r>
            <w:r>
              <w:rPr>
                <w:rFonts w:ascii="Times New Roman" w:hAnsi="Times New Roman"/>
                <w:noProof/>
                <w:sz w:val="24"/>
              </w:rPr>
              <w:t>milioane EUR/proiect și cu un număr minim de 5 parteneri (5</w:t>
            </w:r>
            <w:r w:rsidR="00ED2A55">
              <w:rPr>
                <w:rFonts w:ascii="Times New Roman" w:hAnsi="Times New Roman"/>
                <w:noProof/>
                <w:sz w:val="24"/>
              </w:rPr>
              <w:t> </w:t>
            </w:r>
            <w:r>
              <w:rPr>
                <w:rFonts w:ascii="Times New Roman" w:hAnsi="Times New Roman"/>
                <w:noProof/>
                <w:sz w:val="24"/>
              </w:rPr>
              <w:t>organizații publice de cercetare, dezvoltare și inovare + 5 organizații private de cercetare, dezvoltare și inovare). Va exista un buget maxim pentru IMM-uri de 200 000 EUR și un buget maxim pentru o organizație publică de cercetare, dezvoltare și inovare de 500 000 EUR. IMM-urile vor cofinanța activitățile de cercetare și inovare cu 25 %.</w:t>
            </w:r>
          </w:p>
          <w:p w14:paraId="49ADAD8F" w14:textId="77777777" w:rsidR="00500CF9" w:rsidRPr="000A27B3" w:rsidRDefault="00500CF9" w:rsidP="00500CF9">
            <w:pPr>
              <w:pStyle w:val="ListParagraph"/>
              <w:numPr>
                <w:ilvl w:val="0"/>
                <w:numId w:val="75"/>
              </w:numPr>
              <w:spacing w:after="0" w:line="240" w:lineRule="auto"/>
              <w:ind w:left="299" w:hanging="284"/>
              <w:jc w:val="both"/>
              <w:rPr>
                <w:rFonts w:ascii="Times New Roman" w:hAnsi="Times New Roman" w:cs="Times New Roman"/>
                <w:noProof/>
                <w:sz w:val="24"/>
                <w:szCs w:val="24"/>
              </w:rPr>
            </w:pPr>
            <w:r>
              <w:rPr>
                <w:rFonts w:ascii="Times New Roman" w:hAnsi="Times New Roman"/>
                <w:noProof/>
                <w:sz w:val="24"/>
              </w:rPr>
              <w:t>Un parteneriat cu autoritățile publice de la diferite niveluri de guvernanță și cu societatea civilă în vederea identificării de soluții de cercetare, dezvoltare și inovare legate de misiunile Orizont Europa. Ca atare, autoritățile publice vor fi implicate ca părți terțe fără a fi direct legate de consorțiul de cercetare al centrului de competențe și se vor număra printre destinatarii unora dintre produsele/serviciile/soluțiile identificate de cercetătorul din centrele de competențe.</w:t>
            </w:r>
          </w:p>
          <w:p w14:paraId="26E826DC" w14:textId="0D8A2981" w:rsidR="00500CF9" w:rsidRPr="000A27B3" w:rsidRDefault="00500CF9">
            <w:pPr>
              <w:spacing w:before="120" w:after="0" w:line="240" w:lineRule="auto"/>
              <w:jc w:val="both"/>
              <w:rPr>
                <w:rFonts w:ascii="Times New Roman" w:hAnsi="Times New Roman" w:cs="Times New Roman"/>
                <w:noProof/>
                <w:sz w:val="24"/>
                <w:szCs w:val="24"/>
              </w:rPr>
            </w:pPr>
            <w:r>
              <w:rPr>
                <w:rFonts w:ascii="Times New Roman" w:hAnsi="Times New Roman"/>
                <w:noProof/>
                <w:sz w:val="24"/>
              </w:rPr>
              <w:t>Fiecare centru de competențe selectat va urmări să sprijine cel puțin 3</w:t>
            </w:r>
            <w:r w:rsidR="00ED2A55">
              <w:rPr>
                <w:rFonts w:ascii="Times New Roman" w:hAnsi="Times New Roman"/>
                <w:noProof/>
                <w:sz w:val="24"/>
              </w:rPr>
              <w:t> </w:t>
            </w:r>
            <w:r>
              <w:rPr>
                <w:rFonts w:ascii="Times New Roman" w:hAnsi="Times New Roman"/>
                <w:noProof/>
                <w:sz w:val="24"/>
              </w:rPr>
              <w:t>candidaturi care depășesc pragul pentru Orizont Europa până în 2026.</w:t>
            </w:r>
          </w:p>
        </w:tc>
      </w:tr>
      <w:tr w:rsidR="000A27B3" w:rsidRPr="000A27B3" w14:paraId="31A3EE70"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F48EE9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281</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BF70FF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5. Instituirea și operaționalizarea centrelor de competențe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02C7E8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55FDD36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Bugetul atras de centrele de competență din proiectele de cercetare, dezvoltare și inovare ale sectorului privat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05A5287D"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2C0EEAC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Milioane EUR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3508916"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3A7F9D1" w14:textId="2CD35231"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1,25 </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6E27A52F" w14:textId="77777777" w:rsidR="00500CF9" w:rsidRPr="000A27B3" w:rsidRDefault="00500CF9">
            <w:pPr>
              <w:spacing w:after="0" w:line="240" w:lineRule="auto"/>
              <w:jc w:val="center"/>
              <w:rPr>
                <w:rFonts w:ascii="Times New Roman" w:hAnsi="Times New Roman" w:cs="Times New Roman"/>
                <w:noProof/>
                <w:sz w:val="24"/>
                <w:szCs w:val="24"/>
                <w:lang w:val="en-GB"/>
              </w:rPr>
            </w:pPr>
          </w:p>
          <w:p w14:paraId="01F8E94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4518E263" w14:textId="77777777" w:rsidR="00500CF9" w:rsidRPr="000A27B3" w:rsidRDefault="00500CF9">
            <w:pPr>
              <w:spacing w:after="0" w:line="240" w:lineRule="auto"/>
              <w:jc w:val="center"/>
              <w:rPr>
                <w:rFonts w:ascii="Times New Roman" w:hAnsi="Times New Roman" w:cs="Times New Roman"/>
                <w:noProof/>
                <w:sz w:val="24"/>
                <w:szCs w:val="24"/>
                <w:lang w:val="en-GB"/>
              </w:rPr>
            </w:pPr>
          </w:p>
          <w:p w14:paraId="66B1DB43"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50358E6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1,25 milioane EUR vor fi atrase de la sectorul privat pentru cofinanțarea activităților de cercetare, dezvoltare și inovare prin intermediul centrelor de competență (fiecare IMM va investi 25 % din bugetul primit ca parte a contribuției proprii); Întreprinderile mari sunt, de asemenea, eligibile să participe la centrele de competență.</w:t>
            </w:r>
          </w:p>
        </w:tc>
      </w:tr>
      <w:tr w:rsidR="000A27B3" w:rsidRPr="000A27B3" w14:paraId="3D5F588D"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78FF184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282</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6D54251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6. Programul de mentorat Orizont Europa</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50203C46"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FB51D9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vouchere acordate în cadrul programului de mentorat Orizont Europa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623C699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42AABF8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2B81C448"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2C53C0C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24170B6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231D2CF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31538CB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Ministerul Cercetării, Digitalizării și Inovării va acorda 500 de vouchere solicitanților care depun o propunere de proiect în cadrul cererilor de propuneri din cadrul programului Orizont Europa și au trecut de etapa de eligibilitate (și peste pragul stabilit pentru un criteriu de evaluare pentru 10 000 EUR) pentru:</w:t>
            </w:r>
          </w:p>
          <w:p w14:paraId="6D4A727E" w14:textId="77777777" w:rsidR="00500CF9" w:rsidRPr="000A27B3" w:rsidRDefault="00500CF9" w:rsidP="00500CF9">
            <w:pPr>
              <w:numPr>
                <w:ilvl w:val="0"/>
                <w:numId w:val="71"/>
              </w:numPr>
              <w:spacing w:before="120" w:line="240" w:lineRule="auto"/>
              <w:ind w:left="157" w:hanging="157"/>
              <w:contextualSpacing/>
              <w:jc w:val="both"/>
              <w:rPr>
                <w:rFonts w:ascii="Times New Roman" w:hAnsi="Times New Roman" w:cs="Times New Roman"/>
                <w:noProof/>
                <w:sz w:val="24"/>
                <w:szCs w:val="24"/>
              </w:rPr>
            </w:pPr>
            <w:r>
              <w:rPr>
                <w:rFonts w:ascii="Times New Roman" w:hAnsi="Times New Roman"/>
                <w:noProof/>
                <w:sz w:val="24"/>
              </w:rPr>
              <w:t>redactarea propunerilor de proiecte;</w:t>
            </w:r>
          </w:p>
          <w:p w14:paraId="5C172B15" w14:textId="77777777" w:rsidR="00500CF9" w:rsidRPr="000A27B3" w:rsidRDefault="00500CF9" w:rsidP="00500CF9">
            <w:pPr>
              <w:numPr>
                <w:ilvl w:val="0"/>
                <w:numId w:val="71"/>
              </w:numPr>
              <w:spacing w:before="120" w:line="240" w:lineRule="auto"/>
              <w:ind w:left="157" w:hanging="157"/>
              <w:contextualSpacing/>
              <w:jc w:val="both"/>
              <w:rPr>
                <w:rFonts w:ascii="Times New Roman" w:hAnsi="Times New Roman" w:cs="Times New Roman"/>
                <w:noProof/>
                <w:sz w:val="24"/>
                <w:szCs w:val="24"/>
              </w:rPr>
            </w:pPr>
            <w:r>
              <w:rPr>
                <w:rFonts w:ascii="Times New Roman" w:hAnsi="Times New Roman"/>
                <w:noProof/>
                <w:sz w:val="24"/>
              </w:rPr>
              <w:t>realizarea de schimburi de personal;</w:t>
            </w:r>
          </w:p>
          <w:p w14:paraId="7FDCA043" w14:textId="77777777" w:rsidR="00500CF9" w:rsidRPr="000A27B3" w:rsidRDefault="00500CF9" w:rsidP="00500CF9">
            <w:pPr>
              <w:numPr>
                <w:ilvl w:val="0"/>
                <w:numId w:val="71"/>
              </w:numPr>
              <w:spacing w:before="120" w:line="240" w:lineRule="auto"/>
              <w:ind w:left="157" w:hanging="157"/>
              <w:contextualSpacing/>
              <w:jc w:val="both"/>
              <w:rPr>
                <w:rFonts w:ascii="Times New Roman" w:hAnsi="Times New Roman" w:cs="Times New Roman"/>
                <w:noProof/>
                <w:sz w:val="24"/>
                <w:szCs w:val="24"/>
              </w:rPr>
            </w:pPr>
            <w:r>
              <w:rPr>
                <w:rFonts w:ascii="Times New Roman" w:hAnsi="Times New Roman"/>
                <w:noProof/>
                <w:sz w:val="24"/>
              </w:rPr>
              <w:t xml:space="preserve">participarea la evenimente de intermediere; </w:t>
            </w:r>
          </w:p>
          <w:p w14:paraId="4DFD3029" w14:textId="77777777" w:rsidR="00500CF9" w:rsidRPr="000A27B3" w:rsidRDefault="00500CF9" w:rsidP="00500CF9">
            <w:pPr>
              <w:numPr>
                <w:ilvl w:val="0"/>
                <w:numId w:val="71"/>
              </w:numPr>
              <w:spacing w:before="120" w:line="240" w:lineRule="auto"/>
              <w:ind w:left="157" w:hanging="157"/>
              <w:contextualSpacing/>
              <w:jc w:val="both"/>
              <w:rPr>
                <w:rFonts w:ascii="Times New Roman" w:hAnsi="Times New Roman" w:cs="Times New Roman"/>
                <w:noProof/>
                <w:sz w:val="24"/>
                <w:szCs w:val="24"/>
              </w:rPr>
            </w:pPr>
            <w:r>
              <w:rPr>
                <w:rFonts w:ascii="Times New Roman" w:hAnsi="Times New Roman"/>
                <w:noProof/>
                <w:sz w:val="24"/>
              </w:rPr>
              <w:t xml:space="preserve">utilizarea Infrastructurii luminii extreme – Fizică nucleară </w:t>
            </w:r>
          </w:p>
          <w:p w14:paraId="052D7E9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Pentru a se asigura conformitatea cu Orientările tehnice DNSH (2021/C58/01), activitățile de cercetare legate de activitățile/activele incluse pe lista de excludere nu vor fi eligibile. </w:t>
            </w:r>
          </w:p>
        </w:tc>
      </w:tr>
      <w:tr w:rsidR="000A27B3" w:rsidRPr="000A27B3" w14:paraId="1B244005"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DD4FB4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283</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3EB9B04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7. Consolidarea excelenței si susținerea participării României la parteneriatele si misiunile din cadrul programului Orizont Europa </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74ABB46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A34F13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 de contracte de finanțare a cercetării semnate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5C16B980"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6ED73A57"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51E60973"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010565B6"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55</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471B9DEE" w14:textId="610FC08C"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098690C0" w14:textId="345A9FCA"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A6BDA2A" w14:textId="3A33D7E0"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55 de contracte de finanțare a cercetării trebuie să fi fost semnate, după cum urmează: </w:t>
            </w:r>
          </w:p>
          <w:p w14:paraId="669D2A83" w14:textId="43F405B6" w:rsidR="00500CF9" w:rsidRPr="000A27B3" w:rsidRDefault="00500CF9" w:rsidP="00500CF9">
            <w:pPr>
              <w:pStyle w:val="ListParagraph"/>
              <w:numPr>
                <w:ilvl w:val="5"/>
                <w:numId w:val="77"/>
              </w:numPr>
              <w:spacing w:after="0" w:line="240" w:lineRule="auto"/>
              <w:ind w:left="439"/>
              <w:jc w:val="both"/>
              <w:rPr>
                <w:rFonts w:ascii="Times New Roman" w:hAnsi="Times New Roman" w:cs="Times New Roman"/>
                <w:noProof/>
                <w:sz w:val="24"/>
                <w:szCs w:val="24"/>
              </w:rPr>
            </w:pPr>
            <w:r>
              <w:rPr>
                <w:rFonts w:ascii="Times New Roman" w:hAnsi="Times New Roman"/>
                <w:noProof/>
                <w:sz w:val="24"/>
              </w:rPr>
              <w:t>cel puțin 35 de contracte de cofinanțare a proiectelor de cercetare recomandate pentru finanțare în cadrul parteneriatelor europene și al misiunilor UE, cu un buget maxim de 300 000 EUR pentru fiecare partener român;</w:t>
            </w:r>
          </w:p>
          <w:p w14:paraId="3674D8B4" w14:textId="6F0C6496" w:rsidR="00500CF9" w:rsidRPr="000A27B3" w:rsidRDefault="00500CF9" w:rsidP="00500CF9">
            <w:pPr>
              <w:pStyle w:val="ListParagraph"/>
              <w:numPr>
                <w:ilvl w:val="5"/>
                <w:numId w:val="77"/>
              </w:numPr>
              <w:spacing w:after="0" w:line="240" w:lineRule="auto"/>
              <w:ind w:left="439"/>
              <w:jc w:val="both"/>
              <w:rPr>
                <w:rFonts w:ascii="Times New Roman" w:hAnsi="Times New Roman" w:cs="Times New Roman"/>
                <w:noProof/>
                <w:sz w:val="24"/>
                <w:szCs w:val="24"/>
              </w:rPr>
            </w:pPr>
            <w:r>
              <w:rPr>
                <w:rFonts w:ascii="Times New Roman" w:hAnsi="Times New Roman"/>
                <w:noProof/>
                <w:sz w:val="24"/>
              </w:rPr>
              <w:t xml:space="preserve"> până la 10 contracte care finanțează proiecte complementare cu scopul de a spori impactul proiectelor Orizont Europa și Orizont 2020 care sunt deja finanțate, cu un buget maxim de 1 000 000 EUR pe proiect; și</w:t>
            </w:r>
          </w:p>
          <w:p w14:paraId="3BAA478F" w14:textId="17E107C8" w:rsidR="00500CF9" w:rsidRPr="000A27B3" w:rsidRDefault="00500CF9" w:rsidP="00500CF9">
            <w:pPr>
              <w:pStyle w:val="ListParagraph"/>
              <w:numPr>
                <w:ilvl w:val="5"/>
                <w:numId w:val="77"/>
              </w:numPr>
              <w:spacing w:after="0" w:line="240" w:lineRule="auto"/>
              <w:ind w:left="439"/>
              <w:jc w:val="both"/>
              <w:rPr>
                <w:rFonts w:ascii="Times New Roman" w:hAnsi="Times New Roman" w:cs="Times New Roman"/>
                <w:noProof/>
                <w:sz w:val="24"/>
                <w:szCs w:val="24"/>
              </w:rPr>
            </w:pPr>
            <w:r>
              <w:rPr>
                <w:rFonts w:ascii="Times New Roman" w:hAnsi="Times New Roman"/>
                <w:noProof/>
                <w:sz w:val="24"/>
              </w:rPr>
              <w:t xml:space="preserve"> până la 10 contracte care finanțează proiecte de consolidare a capacităților în materie de resurse umane în sinergie cu programele naționale/POCIDIF, cu un buget maxim de 500 000 EUR pe proiect.</w:t>
            </w:r>
          </w:p>
          <w:p w14:paraId="149EE88F" w14:textId="41F1EFF1"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Toate contractele acordă finanțare complementară proiectelor de cercetare, dezvoltare și inovare în contextul proiectelor de cercetare, dezvoltare și inovare care au fost recomandate pentru finanțare în cadrul parteneriatelor europene și al misiunilor UE și care au fost evaluate global la nivel european pe baza normelor Orizont 2020 și Orizont Europa, acordând prioritate proiectelor verzi sau digitale. </w:t>
            </w:r>
          </w:p>
          <w:p w14:paraId="7E9F7503" w14:textId="70182E49"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Contractele de finanțare a cercetării vor fi semnate separat cu fiecare partener român implicat în consorțiile de parteneriate ale UE sau în misiunea UE, în vederea sporirii participării cu succes la parteneriatele pentru cercetare, dezvoltare și inovare din cadrul programului Orizont Europa. </w:t>
            </w:r>
          </w:p>
          <w:p w14:paraId="5AA6F556" w14:textId="77777777" w:rsidR="00500CF9" w:rsidRPr="000A27B3" w:rsidRDefault="00500CF9">
            <w:pPr>
              <w:spacing w:after="0" w:line="240" w:lineRule="auto"/>
              <w:ind w:right="30"/>
              <w:jc w:val="both"/>
              <w:rPr>
                <w:rFonts w:ascii="Times New Roman" w:hAnsi="Times New Roman" w:cs="Times New Roman"/>
                <w:noProof/>
                <w:sz w:val="24"/>
                <w:szCs w:val="24"/>
              </w:rPr>
            </w:pPr>
            <w:r>
              <w:rPr>
                <w:rFonts w:ascii="Times New Roman" w:hAnsi="Times New Roman"/>
                <w:noProof/>
                <w:sz w:val="24"/>
              </w:rPr>
              <w:t xml:space="preserve">Tipurile de activități eligibile care vor fi finanțate pentru toate tipurile de proiecte sunt: </w:t>
            </w:r>
          </w:p>
          <w:p w14:paraId="521EDD7A" w14:textId="242D2017" w:rsidR="00500CF9" w:rsidRPr="000A27B3" w:rsidRDefault="00500CF9" w:rsidP="00500CF9">
            <w:pPr>
              <w:numPr>
                <w:ilvl w:val="0"/>
                <w:numId w:val="76"/>
              </w:numPr>
              <w:spacing w:before="120" w:after="0" w:line="240" w:lineRule="auto"/>
              <w:ind w:left="299" w:right="30" w:hanging="218"/>
              <w:contextualSpacing/>
              <w:jc w:val="both"/>
              <w:rPr>
                <w:rFonts w:ascii="Times New Roman" w:hAnsi="Times New Roman" w:cs="Times New Roman"/>
                <w:noProof/>
                <w:sz w:val="24"/>
                <w:szCs w:val="24"/>
              </w:rPr>
            </w:pPr>
            <w:r>
              <w:rPr>
                <w:rFonts w:ascii="Times New Roman" w:hAnsi="Times New Roman"/>
                <w:noProof/>
                <w:sz w:val="24"/>
              </w:rPr>
              <w:t xml:space="preserve">Cercetarea fundamentală; </w:t>
            </w:r>
          </w:p>
          <w:p w14:paraId="0523671E" w14:textId="77777777" w:rsidR="00500CF9" w:rsidRPr="000A27B3" w:rsidRDefault="00500CF9" w:rsidP="00500CF9">
            <w:pPr>
              <w:numPr>
                <w:ilvl w:val="0"/>
                <w:numId w:val="76"/>
              </w:numPr>
              <w:spacing w:before="120" w:after="0" w:line="240" w:lineRule="auto"/>
              <w:ind w:left="299" w:right="30" w:hanging="218"/>
              <w:contextualSpacing/>
              <w:jc w:val="both"/>
              <w:rPr>
                <w:rFonts w:ascii="Times New Roman" w:hAnsi="Times New Roman" w:cs="Times New Roman"/>
                <w:noProof/>
                <w:sz w:val="24"/>
                <w:szCs w:val="24"/>
              </w:rPr>
            </w:pPr>
            <w:r>
              <w:rPr>
                <w:rFonts w:ascii="Times New Roman" w:hAnsi="Times New Roman"/>
                <w:noProof/>
                <w:sz w:val="24"/>
              </w:rPr>
              <w:t xml:space="preserve">Cercetarea industrială; </w:t>
            </w:r>
          </w:p>
          <w:p w14:paraId="3A379C8D" w14:textId="77777777" w:rsidR="00500CF9" w:rsidRPr="000A27B3" w:rsidRDefault="00500CF9" w:rsidP="00500CF9">
            <w:pPr>
              <w:numPr>
                <w:ilvl w:val="0"/>
                <w:numId w:val="76"/>
              </w:numPr>
              <w:spacing w:before="120" w:after="0" w:line="240" w:lineRule="auto"/>
              <w:ind w:left="299" w:right="30" w:hanging="218"/>
              <w:contextualSpacing/>
              <w:jc w:val="both"/>
              <w:rPr>
                <w:rFonts w:ascii="Times New Roman" w:hAnsi="Times New Roman" w:cs="Times New Roman"/>
                <w:noProof/>
                <w:sz w:val="24"/>
                <w:szCs w:val="24"/>
              </w:rPr>
            </w:pPr>
            <w:r>
              <w:rPr>
                <w:rFonts w:ascii="Times New Roman" w:hAnsi="Times New Roman"/>
                <w:noProof/>
                <w:sz w:val="24"/>
              </w:rPr>
              <w:t xml:space="preserve">Dezvoltarea experimentală; </w:t>
            </w:r>
          </w:p>
          <w:p w14:paraId="027D9EF9" w14:textId="77777777" w:rsidR="00500CF9" w:rsidRPr="000A27B3" w:rsidRDefault="00500CF9" w:rsidP="00500CF9">
            <w:pPr>
              <w:numPr>
                <w:ilvl w:val="0"/>
                <w:numId w:val="76"/>
              </w:numPr>
              <w:spacing w:before="120" w:after="0" w:line="240" w:lineRule="auto"/>
              <w:ind w:left="299" w:right="30" w:hanging="218"/>
              <w:contextualSpacing/>
              <w:jc w:val="both"/>
              <w:rPr>
                <w:rFonts w:ascii="Times New Roman" w:hAnsi="Times New Roman" w:cs="Times New Roman"/>
                <w:noProof/>
                <w:sz w:val="24"/>
                <w:szCs w:val="24"/>
              </w:rPr>
            </w:pPr>
            <w:r>
              <w:rPr>
                <w:rFonts w:ascii="Times New Roman" w:hAnsi="Times New Roman"/>
                <w:noProof/>
                <w:sz w:val="24"/>
              </w:rPr>
              <w:t xml:space="preserve">Studiile de fezabilitate; </w:t>
            </w:r>
          </w:p>
          <w:p w14:paraId="28487074" w14:textId="77777777" w:rsidR="00500CF9" w:rsidRPr="000A27B3" w:rsidRDefault="00500CF9" w:rsidP="00500CF9">
            <w:pPr>
              <w:numPr>
                <w:ilvl w:val="0"/>
                <w:numId w:val="76"/>
              </w:numPr>
              <w:spacing w:before="120" w:after="0" w:line="240" w:lineRule="auto"/>
              <w:ind w:left="299" w:right="30" w:hanging="218"/>
              <w:contextualSpacing/>
              <w:jc w:val="both"/>
              <w:rPr>
                <w:rFonts w:ascii="Times New Roman" w:hAnsi="Times New Roman" w:cs="Times New Roman"/>
                <w:noProof/>
                <w:sz w:val="24"/>
                <w:szCs w:val="24"/>
              </w:rPr>
            </w:pPr>
            <w:r>
              <w:rPr>
                <w:rFonts w:ascii="Times New Roman" w:hAnsi="Times New Roman"/>
                <w:noProof/>
                <w:sz w:val="24"/>
              </w:rPr>
              <w:t>Activitățile de inovare;</w:t>
            </w:r>
          </w:p>
          <w:p w14:paraId="7E0EDC3E"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Pentru a se asigura conformitatea cu Orientările tehnice DNSH (2021/C58/01), activitățile de cercetare, dezvoltare și inovare legate de activitățile/activele incluse pe lista de excludere nu vor fi eligibile.</w:t>
            </w:r>
          </w:p>
        </w:tc>
      </w:tr>
      <w:tr w:rsidR="000A27B3" w:rsidRPr="000A27B3" w14:paraId="34ABDFE0"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58B8BF48"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284</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428F013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8. Dezvoltarea unui program pentru atragerea resurselor umane înalt specializate din străinătate în activități de cercetare, dezvoltare și inovare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032EE04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385E748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Proiecte conduse de cercetători internaționali care au beneficiat de finanțare </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1AA876F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4BE8ED79" w14:textId="77777777" w:rsidR="00500CF9" w:rsidRPr="009F1DC7" w:rsidRDefault="00500CF9">
            <w:pPr>
              <w:spacing w:after="0" w:line="240" w:lineRule="auto"/>
              <w:jc w:val="both"/>
              <w:rPr>
                <w:rFonts w:ascii="Times New Roman" w:eastAsia="Times New Roman" w:hAnsi="Times New Roman" w:cs="Times New Roman"/>
                <w:noProof/>
                <w:sz w:val="24"/>
                <w:szCs w:val="24"/>
                <w:lang w:val="fr-FR"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41EB0B95"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712817B0"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2A219C7F"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667D7AC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6DCA299"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100 proiecte conduse de cercetători internaționali de vârf sunt finanțate printr-un mecanism de finanțare. În 2022 se va lansa o cerere publică deschisă de candidaturi, iar candidații vor fi selectați pe baza mai multor criterii de calitate. Cercetătorii selectați vor asigura creșterea capacității de cercetare a organizației de cercetare, dezvoltare și inovare și vor îmbunătăți performanța instituțională a organizației-gazdă.</w:t>
            </w:r>
          </w:p>
          <w:p w14:paraId="0956B42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Criteriile de selecție pentru proiectele de cercetare vor include: </w:t>
            </w:r>
          </w:p>
          <w:p w14:paraId="5E4A1DA6" w14:textId="77777777" w:rsidR="00500CF9" w:rsidRPr="000A27B3" w:rsidRDefault="00500CF9" w:rsidP="00500CF9">
            <w:pPr>
              <w:pStyle w:val="ListParagraph"/>
              <w:numPr>
                <w:ilvl w:val="0"/>
                <w:numId w:val="80"/>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să fie un cercetător situat în afara României care a desfășurat activități de cercetare în afara României cel puțin în ultimii 3 ani; </w:t>
            </w:r>
          </w:p>
          <w:p w14:paraId="5C604F35" w14:textId="21F8E71E" w:rsidR="00500CF9" w:rsidRPr="000A27B3" w:rsidRDefault="00500CF9" w:rsidP="00500CF9">
            <w:pPr>
              <w:pStyle w:val="ListParagraph"/>
              <w:numPr>
                <w:ilvl w:val="0"/>
                <w:numId w:val="80"/>
              </w:numPr>
              <w:spacing w:after="0" w:line="240" w:lineRule="auto"/>
              <w:jc w:val="both"/>
              <w:rPr>
                <w:rFonts w:ascii="Times New Roman" w:hAnsi="Times New Roman" w:cs="Times New Roman"/>
                <w:noProof/>
                <w:sz w:val="24"/>
                <w:szCs w:val="24"/>
              </w:rPr>
            </w:pPr>
            <w:r>
              <w:rPr>
                <w:rFonts w:ascii="Times New Roman" w:hAnsi="Times New Roman"/>
                <w:noProof/>
                <w:sz w:val="24"/>
              </w:rPr>
              <w:t>cu doctorat obținut cu cel puțin 3</w:t>
            </w:r>
            <w:r w:rsidR="000A2A6F">
              <w:rPr>
                <w:rFonts w:ascii="Times New Roman" w:hAnsi="Times New Roman"/>
                <w:noProof/>
                <w:sz w:val="24"/>
              </w:rPr>
              <w:t> </w:t>
            </w:r>
            <w:r>
              <w:rPr>
                <w:rFonts w:ascii="Times New Roman" w:hAnsi="Times New Roman"/>
                <w:noProof/>
                <w:sz w:val="24"/>
              </w:rPr>
              <w:t xml:space="preserve">ani înainte de data solicitării grantului; </w:t>
            </w:r>
          </w:p>
          <w:p w14:paraId="75CB7F4A" w14:textId="77777777" w:rsidR="00500CF9" w:rsidRPr="000A27B3" w:rsidRDefault="00500CF9" w:rsidP="00500CF9">
            <w:pPr>
              <w:pStyle w:val="ListParagraph"/>
              <w:numPr>
                <w:ilvl w:val="0"/>
                <w:numId w:val="80"/>
              </w:numPr>
              <w:spacing w:after="0" w:line="240" w:lineRule="auto"/>
              <w:jc w:val="both"/>
              <w:rPr>
                <w:rFonts w:ascii="Times New Roman" w:hAnsi="Times New Roman" w:cs="Times New Roman"/>
                <w:noProof/>
                <w:sz w:val="24"/>
                <w:szCs w:val="24"/>
              </w:rPr>
            </w:pPr>
            <w:r>
              <w:rPr>
                <w:rFonts w:ascii="Times New Roman" w:hAnsi="Times New Roman"/>
                <w:noProof/>
                <w:sz w:val="24"/>
              </w:rPr>
              <w:t>care are capacitatea dovedită de a atrage în mod independent finanțare competitivă din partea echipelor sale de cercetare coordonatoare, inclusiv din partea doctoranzilor (condițiile specifice de eligibilitate ca cercetător principal trebuie specificate în dosarul de omologare);</w:t>
            </w:r>
          </w:p>
          <w:p w14:paraId="1ADF2E53" w14:textId="77777777" w:rsidR="00500CF9" w:rsidRPr="000A27B3" w:rsidRDefault="00500CF9" w:rsidP="00500CF9">
            <w:pPr>
              <w:pStyle w:val="ListParagraph"/>
              <w:numPr>
                <w:ilvl w:val="0"/>
                <w:numId w:val="80"/>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care coordonează grantul si fondurile proiectului si ia decizii privind alocarea resurselor; care publică independent ca prim autor și/sau ca autor de corespondență; </w:t>
            </w:r>
          </w:p>
          <w:p w14:paraId="7F00E41D" w14:textId="77777777" w:rsidR="00500CF9" w:rsidRPr="000A27B3" w:rsidRDefault="00500CF9" w:rsidP="00500CF9">
            <w:pPr>
              <w:pStyle w:val="ListParagraph"/>
              <w:numPr>
                <w:ilvl w:val="0"/>
                <w:numId w:val="80"/>
              </w:num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care construiește și supraveghează activitatea echipei, inclusiv a doctoranzilor și a cercetătorilor postdoctorali; </w:t>
            </w:r>
          </w:p>
          <w:p w14:paraId="603C350E" w14:textId="77777777" w:rsidR="00500CF9" w:rsidRPr="000A27B3" w:rsidRDefault="00500CF9" w:rsidP="00500CF9">
            <w:pPr>
              <w:pStyle w:val="ListParagraph"/>
              <w:numPr>
                <w:ilvl w:val="0"/>
                <w:numId w:val="80"/>
              </w:numPr>
              <w:spacing w:after="0" w:line="240" w:lineRule="auto"/>
              <w:jc w:val="both"/>
              <w:rPr>
                <w:rFonts w:ascii="Times New Roman" w:hAnsi="Times New Roman" w:cs="Times New Roman"/>
                <w:noProof/>
                <w:sz w:val="24"/>
                <w:szCs w:val="24"/>
              </w:rPr>
            </w:pPr>
            <w:r>
              <w:rPr>
                <w:rFonts w:ascii="Times New Roman" w:hAnsi="Times New Roman"/>
                <w:noProof/>
                <w:sz w:val="24"/>
              </w:rPr>
              <w:t>care are acces la spații și facilități pentru desfășurarea activității de cercetare. Cercetătorul de top trebuie să activeze în instituția-gazdă minimum 75 % din perioada acoperită de grant și va fi angajatul instituției-gazdă pe durata proiectului.”</w:t>
            </w:r>
          </w:p>
          <w:p w14:paraId="00CC3222"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Pentru a se asigura conformitatea cu Orientările tehnice DNSH (2021/C58/01), activitățile de cercetare, dezvoltare și inovare legate de activitățile/activele incluse pe lista de excludere nu vor fi eligibile.</w:t>
            </w:r>
          </w:p>
        </w:tc>
      </w:tr>
      <w:tr w:rsidR="000A27B3" w:rsidRPr="000A27B3" w14:paraId="60688786"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40B85D9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285</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BEAEDDC" w14:textId="76366D2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9. Program de sprijin pentru posesorii de certificate de excelență primite în cadrul concursului pentru burse individuale Marie Sklodowska Curie</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7EB41970"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5E40DC1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Beneficiari ai mărcii de excelență Marie Sklodowska Curie</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794848AD"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65190B62"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0CD6963B" w14:textId="77777777"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1F4E10EE" w14:textId="7234DEDB" w:rsidR="00500CF9" w:rsidRPr="000A27B3" w:rsidRDefault="00500CF9">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10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10EC367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50F2D31E"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E99F5DA" w14:textId="1A1B4999"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Cel puțin 10 deținători ai mărcii de excelență Marie Sklodowska Curie pentru burse individuale de excelență vor primi un grant pentru a realiza proiecte de cercetare în cadrul programelor Orizont 2020 și Orizont Europa.</w:t>
            </w:r>
          </w:p>
          <w:p w14:paraId="43795867" w14:textId="0D103418"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Întrucât proiectele au fost deja evaluate și au primit un certificat de marcă de excelență (care vor fi criteriile de eligibilitate), granturile vor fi selectate pe baza principiului „primul venit/primul servit”, în urma unei cereri deschise și transparente de exprimare a interesului. </w:t>
            </w:r>
          </w:p>
          <w:p w14:paraId="214147B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Pentru a se asigura conformitatea cu Orientările tehnice DNSH (2021/C58/01), activitățile de cercetare, dezvoltare și inovare legate de activitățile/activele incluse pe lista de excludere nu vor fi eligibile.</w:t>
            </w:r>
          </w:p>
        </w:tc>
      </w:tr>
      <w:tr w:rsidR="000A27B3" w:rsidRPr="000A27B3" w14:paraId="31618D25"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2524164B"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286</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7478035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10. Înființarea și susținerea financiară a unei rețele naționale de opt centre regionale de orientare în carieră ca parte a ERA TALENT PLATFORM</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3B247D51"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01E85124" w14:textId="5E36ED6A"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O rețea de universități publice care găzduiesc și operaționalizează 8 centre de orientare în cariera de cercetător</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487D74D8"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Atribuirea unui contract pentru universitățile publice care doresc să găzduiască și să asigure operaționalizarea a 8 centre de orientare în cariera de cercetător</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0FF8671A"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479818C0"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0FA6274" w14:textId="77777777" w:rsidR="00500CF9" w:rsidRPr="009F1DC7" w:rsidRDefault="00500CF9">
            <w:pPr>
              <w:spacing w:after="0" w:line="240" w:lineRule="auto"/>
              <w:jc w:val="both"/>
              <w:rPr>
                <w:rFonts w:ascii="Times New Roman" w:hAnsi="Times New Roman" w:cs="Times New Roman"/>
                <w:noProof/>
                <w:sz w:val="24"/>
                <w:szCs w:val="24"/>
                <w:lang w:val="fr-FR"/>
              </w:rPr>
            </w:pP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109FDAC7"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5F98C794"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032D56F4"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Ministerul Cercetării, Digitalizării și Inovării va lansa o cerere de propuneri pentru selectarea unei rețele de 8 universități publice interesate să găzduiască și să pună în funcțiune 8 centre de orientare în cariera de cercetător. Centrele vor răspunde nevoilor comunității științifice din toate regiunile României (centrele sunt găzduite de universități, dar serviciile sunt oferite comunităților regionale).</w:t>
            </w:r>
          </w:p>
          <w:p w14:paraId="7D6D8E7A"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Centrele regionale de orientare în cariera de cercetător vor avea următoarele roluri:</w:t>
            </w:r>
          </w:p>
          <w:p w14:paraId="67A43364" w14:textId="77777777" w:rsidR="00500CF9" w:rsidRPr="000A27B3" w:rsidRDefault="00500CF9" w:rsidP="00500CF9">
            <w:pPr>
              <w:numPr>
                <w:ilvl w:val="0"/>
                <w:numId w:val="71"/>
              </w:numPr>
              <w:spacing w:before="120"/>
              <w:ind w:left="157" w:hanging="157"/>
              <w:contextualSpacing/>
              <w:jc w:val="both"/>
              <w:rPr>
                <w:rFonts w:ascii="Times New Roman" w:hAnsi="Times New Roman" w:cs="Times New Roman"/>
                <w:noProof/>
                <w:sz w:val="24"/>
                <w:szCs w:val="24"/>
              </w:rPr>
            </w:pPr>
            <w:r>
              <w:rPr>
                <w:rFonts w:ascii="Times New Roman" w:hAnsi="Times New Roman"/>
                <w:noProof/>
                <w:sz w:val="24"/>
              </w:rPr>
              <w:t>vor oferi orientare în carieră cercetătorilor, iar 90 % dintre beneficiarii acestor servicii vor fi mulțumiți de serviciile primite;</w:t>
            </w:r>
          </w:p>
          <w:p w14:paraId="21546004" w14:textId="77777777" w:rsidR="00500CF9" w:rsidRPr="000A27B3" w:rsidRDefault="00500CF9" w:rsidP="00500CF9">
            <w:pPr>
              <w:numPr>
                <w:ilvl w:val="0"/>
                <w:numId w:val="71"/>
              </w:numPr>
              <w:spacing w:before="120"/>
              <w:ind w:left="157" w:hanging="157"/>
              <w:contextualSpacing/>
              <w:jc w:val="both"/>
              <w:rPr>
                <w:rFonts w:ascii="Times New Roman" w:hAnsi="Times New Roman" w:cs="Times New Roman"/>
                <w:noProof/>
                <w:sz w:val="24"/>
                <w:szCs w:val="24"/>
              </w:rPr>
            </w:pPr>
            <w:r>
              <w:rPr>
                <w:rFonts w:ascii="Times New Roman" w:hAnsi="Times New Roman"/>
                <w:noProof/>
                <w:sz w:val="24"/>
              </w:rPr>
              <w:t xml:space="preserve">vor desfășura activități de promovare a sistemului național de cercetare, dezvoltare și inovare, inclusiv prin crearea de sinergii directe cu investițiile 4.4 și cu cele 100 de granturi care urmează să fie finanțate și conduse de cercetători de vârf la nivel internațional </w:t>
            </w:r>
          </w:p>
          <w:p w14:paraId="3CF44761" w14:textId="1315574A" w:rsidR="00500CF9" w:rsidRPr="000A27B3" w:rsidRDefault="00500CF9" w:rsidP="00500CF9">
            <w:pPr>
              <w:numPr>
                <w:ilvl w:val="0"/>
                <w:numId w:val="71"/>
              </w:numPr>
              <w:spacing w:before="120"/>
              <w:ind w:left="157" w:hanging="157"/>
              <w:contextualSpacing/>
              <w:jc w:val="both"/>
              <w:rPr>
                <w:rFonts w:ascii="Times New Roman" w:hAnsi="Times New Roman" w:cs="Times New Roman"/>
                <w:noProof/>
                <w:sz w:val="24"/>
                <w:szCs w:val="24"/>
              </w:rPr>
            </w:pPr>
            <w:r>
              <w:rPr>
                <w:rFonts w:ascii="Times New Roman" w:hAnsi="Times New Roman"/>
                <w:noProof/>
                <w:sz w:val="24"/>
              </w:rPr>
              <w:t xml:space="preserve">vor lucra ca o rețea și vor deveni un punct unic de intrare pentru cariera de cercetare. Acesta este un instrument de implementare a reformelor carierei în cercetare (de exemplu, monitorizarea numărului de organizații de cercetare, dezvoltare și inovare care au aderat la Carta și la Codul cercetătorilor și ajută organizațiile care doresc să inițieze procedura pentru HRS4R). </w:t>
            </w:r>
          </w:p>
          <w:p w14:paraId="02632A7C" w14:textId="77777777" w:rsidR="00500CF9" w:rsidRPr="000A27B3" w:rsidRDefault="00500CF9" w:rsidP="00500CF9">
            <w:pPr>
              <w:numPr>
                <w:ilvl w:val="0"/>
                <w:numId w:val="71"/>
              </w:numPr>
              <w:spacing w:before="120"/>
              <w:ind w:left="157" w:hanging="157"/>
              <w:contextualSpacing/>
              <w:jc w:val="both"/>
              <w:rPr>
                <w:rFonts w:ascii="Times New Roman" w:hAnsi="Times New Roman" w:cs="Times New Roman"/>
                <w:noProof/>
                <w:sz w:val="24"/>
                <w:szCs w:val="24"/>
              </w:rPr>
            </w:pPr>
            <w:r>
              <w:rPr>
                <w:rFonts w:ascii="Times New Roman" w:hAnsi="Times New Roman"/>
                <w:noProof/>
                <w:sz w:val="24"/>
              </w:rPr>
              <w:t xml:space="preserve">vor lucra la pachetul integrat cu un program amplu axat pe știință cu și pentru societate (8 componente se axează pe diferite grupuri-țintă, de la elevi la studenți și la comunitățile locale), care este legat de orientarea în cariera de cercetare, promovând în același timp rezultatele cercetării românești în societate, sensibilizând publicul cu privire la beneficiile științei și atrăgând tinerii către carierele de cercetare. </w:t>
            </w:r>
          </w:p>
        </w:tc>
      </w:tr>
      <w:tr w:rsidR="000A27B3" w:rsidRPr="000A27B3" w14:paraId="6530EBE1" w14:textId="77777777" w:rsidTr="00ED2A55">
        <w:trPr>
          <w:trHeight w:val="309"/>
          <w:jc w:val="center"/>
        </w:trPr>
        <w:tc>
          <w:tcPr>
            <w:tcW w:w="606" w:type="dxa"/>
            <w:tcBorders>
              <w:top w:val="single" w:sz="4" w:space="0" w:color="auto"/>
              <w:left w:val="single" w:sz="4" w:space="0" w:color="auto"/>
              <w:bottom w:val="single" w:sz="4" w:space="0" w:color="auto"/>
              <w:right w:val="single" w:sz="4" w:space="0" w:color="auto"/>
            </w:tcBorders>
            <w:shd w:val="clear" w:color="auto" w:fill="C6EFCE"/>
            <w:noWrap/>
          </w:tcPr>
          <w:p w14:paraId="0670A3D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287</w:t>
            </w:r>
          </w:p>
        </w:tc>
        <w:tc>
          <w:tcPr>
            <w:tcW w:w="1844" w:type="dxa"/>
            <w:tcBorders>
              <w:top w:val="single" w:sz="4" w:space="0" w:color="auto"/>
              <w:left w:val="single" w:sz="4" w:space="0" w:color="auto"/>
              <w:bottom w:val="single" w:sz="4" w:space="0" w:color="auto"/>
              <w:right w:val="single" w:sz="4" w:space="0" w:color="auto"/>
            </w:tcBorders>
            <w:shd w:val="clear" w:color="auto" w:fill="C6EFCE"/>
            <w:noWrap/>
          </w:tcPr>
          <w:p w14:paraId="2A49CF4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Investiția 10. Înființarea și susținerea financiară a unei rețele naționale de opt centre regionale de orientare în carieră ca parte a ERA TALENT PLATFORM</w:t>
            </w:r>
          </w:p>
        </w:tc>
        <w:tc>
          <w:tcPr>
            <w:tcW w:w="1089" w:type="dxa"/>
            <w:tcBorders>
              <w:top w:val="single" w:sz="4" w:space="0" w:color="auto"/>
              <w:left w:val="single" w:sz="4" w:space="0" w:color="auto"/>
              <w:bottom w:val="single" w:sz="4" w:space="0" w:color="auto"/>
              <w:right w:val="single" w:sz="4" w:space="0" w:color="auto"/>
            </w:tcBorders>
            <w:shd w:val="clear" w:color="auto" w:fill="C6EFCE"/>
            <w:noWrap/>
          </w:tcPr>
          <w:p w14:paraId="6CA10F9C"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96" w:type="dxa"/>
            <w:tcBorders>
              <w:top w:val="single" w:sz="4" w:space="0" w:color="auto"/>
              <w:left w:val="single" w:sz="4" w:space="0" w:color="auto"/>
              <w:bottom w:val="single" w:sz="4" w:space="0" w:color="auto"/>
              <w:right w:val="single" w:sz="4" w:space="0" w:color="auto"/>
            </w:tcBorders>
            <w:shd w:val="clear" w:color="auto" w:fill="C6EFCE"/>
            <w:noWrap/>
          </w:tcPr>
          <w:p w14:paraId="79E0BE71"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Cercetătorii care au beneficiat de serviciile centrelor de orientare în carieră</w:t>
            </w:r>
          </w:p>
        </w:tc>
        <w:tc>
          <w:tcPr>
            <w:tcW w:w="1766" w:type="dxa"/>
            <w:tcBorders>
              <w:top w:val="single" w:sz="4" w:space="0" w:color="auto"/>
              <w:left w:val="single" w:sz="4" w:space="0" w:color="auto"/>
              <w:bottom w:val="single" w:sz="4" w:space="0" w:color="auto"/>
              <w:right w:val="single" w:sz="4" w:space="0" w:color="auto"/>
            </w:tcBorders>
            <w:shd w:val="clear" w:color="auto" w:fill="C6EFCE"/>
            <w:noWrap/>
          </w:tcPr>
          <w:p w14:paraId="3DF6EF1C"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34" w:type="dxa"/>
            <w:tcBorders>
              <w:top w:val="single" w:sz="4" w:space="0" w:color="auto"/>
              <w:left w:val="single" w:sz="4" w:space="0" w:color="auto"/>
              <w:bottom w:val="single" w:sz="4" w:space="0" w:color="auto"/>
              <w:right w:val="single" w:sz="4" w:space="0" w:color="auto"/>
            </w:tcBorders>
            <w:shd w:val="clear" w:color="auto" w:fill="C6EFCE"/>
            <w:noWrap/>
          </w:tcPr>
          <w:p w14:paraId="453FDAF7"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DC00EBF"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0C028723"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450</w:t>
            </w:r>
          </w:p>
        </w:tc>
        <w:tc>
          <w:tcPr>
            <w:tcW w:w="1200" w:type="dxa"/>
            <w:tcBorders>
              <w:top w:val="single" w:sz="4" w:space="0" w:color="auto"/>
              <w:left w:val="single" w:sz="4" w:space="0" w:color="auto"/>
              <w:bottom w:val="single" w:sz="4" w:space="0" w:color="auto"/>
              <w:right w:val="single" w:sz="4" w:space="0" w:color="auto"/>
            </w:tcBorders>
            <w:shd w:val="clear" w:color="auto" w:fill="C6EFCE"/>
            <w:noWrap/>
          </w:tcPr>
          <w:p w14:paraId="580703B5"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1" w:type="dxa"/>
            <w:tcBorders>
              <w:top w:val="single" w:sz="4" w:space="0" w:color="auto"/>
              <w:left w:val="single" w:sz="4" w:space="0" w:color="auto"/>
              <w:bottom w:val="single" w:sz="4" w:space="0" w:color="auto"/>
              <w:right w:val="single" w:sz="4" w:space="0" w:color="auto"/>
            </w:tcBorders>
            <w:shd w:val="clear" w:color="auto" w:fill="C6EFCE"/>
            <w:noWrap/>
          </w:tcPr>
          <w:p w14:paraId="20262739" w14:textId="77777777" w:rsidR="00500CF9" w:rsidRPr="000A27B3" w:rsidRDefault="00500CF9">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760" w:type="dxa"/>
            <w:tcBorders>
              <w:top w:val="single" w:sz="4" w:space="0" w:color="auto"/>
              <w:left w:val="single" w:sz="4" w:space="0" w:color="auto"/>
              <w:bottom w:val="single" w:sz="4" w:space="0" w:color="auto"/>
              <w:right w:val="single" w:sz="4" w:space="0" w:color="auto"/>
            </w:tcBorders>
            <w:shd w:val="clear" w:color="auto" w:fill="C6EFCE"/>
            <w:noWrap/>
          </w:tcPr>
          <w:p w14:paraId="72BB81D5" w14:textId="77777777"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450 de cercetători vor beneficia de serviciile centrelor de orientare în carieră</w:t>
            </w:r>
          </w:p>
          <w:p w14:paraId="1E70B733" w14:textId="48A73C0D" w:rsidR="00500CF9" w:rsidRPr="000A27B3" w:rsidRDefault="00500CF9">
            <w:pPr>
              <w:spacing w:after="0" w:line="240" w:lineRule="auto"/>
              <w:jc w:val="both"/>
              <w:rPr>
                <w:rFonts w:ascii="Times New Roman" w:hAnsi="Times New Roman" w:cs="Times New Roman"/>
                <w:noProof/>
                <w:sz w:val="24"/>
                <w:szCs w:val="24"/>
              </w:rPr>
            </w:pPr>
            <w:r>
              <w:rPr>
                <w:rFonts w:ascii="Times New Roman" w:hAnsi="Times New Roman"/>
                <w:noProof/>
                <w:sz w:val="24"/>
              </w:rPr>
              <w:t>Ministerul Cercetării, Digitalizării și Inovării va lansa o cerere de propuneri pentru selectarea unei rețele de 8 universități publice interesate să găzduiască și să pună în funcțiune 8</w:t>
            </w:r>
            <w:r w:rsidR="000A2A6F">
              <w:rPr>
                <w:rFonts w:ascii="Times New Roman" w:hAnsi="Times New Roman"/>
                <w:noProof/>
                <w:sz w:val="24"/>
              </w:rPr>
              <w:t> </w:t>
            </w:r>
            <w:r>
              <w:rPr>
                <w:rFonts w:ascii="Times New Roman" w:hAnsi="Times New Roman"/>
                <w:noProof/>
                <w:sz w:val="24"/>
              </w:rPr>
              <w:t xml:space="preserve">centre de orientare în cariera de cercetător. </w:t>
            </w:r>
          </w:p>
        </w:tc>
      </w:tr>
    </w:tbl>
    <w:p w14:paraId="20D5F41A" w14:textId="77777777" w:rsidR="00500CF9" w:rsidRPr="009F1DC7" w:rsidRDefault="00500CF9">
      <w:pPr>
        <w:spacing w:before="120" w:after="120" w:line="240" w:lineRule="auto"/>
        <w:jc w:val="both"/>
        <w:rPr>
          <w:rFonts w:ascii="Times New Roman" w:hAnsi="Times New Roman" w:cs="Times New Roman"/>
          <w:noProof/>
        </w:rPr>
      </w:pPr>
    </w:p>
    <w:p w14:paraId="4B02495C" w14:textId="77777777" w:rsidR="00500CF9" w:rsidRPr="009F1DC7" w:rsidRDefault="00500CF9">
      <w:pPr>
        <w:spacing w:before="120" w:after="120" w:line="240" w:lineRule="auto"/>
        <w:jc w:val="both"/>
        <w:rPr>
          <w:rFonts w:ascii="Times New Roman" w:hAnsi="Times New Roman" w:cs="Times New Roman"/>
          <w:noProof/>
        </w:rPr>
        <w:sectPr w:rsidR="00500CF9" w:rsidRPr="009F1DC7">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418" w:right="1134" w:bottom="1418" w:left="1134" w:header="709" w:footer="709" w:gutter="0"/>
          <w:cols w:space="720"/>
          <w:docGrid w:linePitch="360"/>
        </w:sectPr>
      </w:pPr>
    </w:p>
    <w:p w14:paraId="30151F64" w14:textId="77777777" w:rsidR="007873BE" w:rsidRPr="000A27B3" w:rsidRDefault="007873BE">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 xml:space="preserve">COMPONENTA 10: Fondul local </w:t>
      </w:r>
    </w:p>
    <w:p w14:paraId="35621905"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a planului de redresare și reziliență abordează provocările legate de disparitățile teritoriale și sociale din zonele urbane și rurale, precum și mobilitatea urbană. </w:t>
      </w:r>
    </w:p>
    <w:p w14:paraId="0F66988E" w14:textId="2307D270"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componente este de a sprijini o transformare urbană și rurală prin utilizarea unor soluții verzi și digitale. Printre reformele care sprijină investițiile se numără modificări de reglementare pentru a sprijini abordarea zonelor urbane și rurale funcționale, prin implementarea zonelor metropolitane și a consorțiilor administrative pentru a spori accesul la serviciile sociale publice locale, la educație, la asistență medicală, la locuințe și la o planificare teritorială îmbunătățită. Componenta include, de asemenea, reforme pentru mobilitatea urbană durabilă și ar trebui privită în legătură cu componenta „Transport sustenabil”. Investițiile sprijinite de aceste reforme vizează construirea de locuințe pentru tinerii vulnerabili și pentru specialiști din sănătate și învățământ, reînnoirea parcurilor de vehicule destinate transportului public, infrastructura pentru un transport ecologic și mai sigur, modernizarea clădirilor publice locale și elaborarea/actualizarea documentațiilor de amenajare a teritoriului și de urbanism în format digital.</w:t>
      </w:r>
      <w:r w:rsidR="004C4C72">
        <w:rPr>
          <w:rFonts w:ascii="Times New Roman" w:hAnsi="Times New Roman"/>
          <w:noProof/>
          <w:sz w:val="24"/>
        </w:rPr>
        <w:t xml:space="preserve"> </w:t>
      </w:r>
    </w:p>
    <w:p w14:paraId="6DF73ADA"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Reformele și investițiile contribuie la punerea în aplicare a recomandărilor specifice fiecărei țări (recomandările specifice de țară) transmise României în 2019 și 2020, cu privire la următoarele necesități: (i) „să direcționeze cu prioritate investițiile către tranziția verde și tranziția digitală, în special către transportul durabil, infrastructura de servicii digitale” (recomandarea specifică de țară 3, 2020), „ținând seama de disparitățile regionale” (recomandarea specifică de țară 4, 2019); (ii) „să ofere soluții adecvate de substituire a veniturilor și să extindă măsurile de protecție socială și accesul la serviciile esențiale pentru toți” (recomandarea specifică de țară 2, 2020) și „să sporească acoperirea și calitatea serviciilor sociale” (recomandarea specifică de țară 3, 2019); (iii) „să îmbunătățească eficacitatea și calitatea administrației publice, precum și previzibilitatea procesului decizional” (recomandarea specifică de țară 4, 2020).</w:t>
      </w:r>
    </w:p>
    <w:p w14:paraId="4099B109"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63297937" w14:textId="77777777" w:rsidR="007873BE" w:rsidRPr="000A27B3" w:rsidRDefault="007873BE">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J.1. </w:t>
      </w:r>
      <w:r>
        <w:rPr>
          <w:noProof/>
        </w:rPr>
        <w:tab/>
      </w:r>
      <w:r>
        <w:rPr>
          <w:rFonts w:ascii="Times New Roman" w:hAnsi="Times New Roman"/>
          <w:b/>
          <w:noProof/>
          <w:sz w:val="24"/>
        </w:rPr>
        <w:t>Descrierea reformelor și a investițiilor pentru care se prevede acordarea sprijinului financiar nerambursabil</w:t>
      </w:r>
    </w:p>
    <w:p w14:paraId="491C0FBE"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Reforma 1. Crearea cadrului pentru mobilitate urbană durabilă </w:t>
      </w:r>
    </w:p>
    <w:p w14:paraId="5494C0EB"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de a îmbunătăți condițiile de mobilitate în zonele urbane și rurale, de a reduce emisiile de gaze cu efect de seră generate de transporturi și de a spori siguranța rutieră în zonele urbane, prin soluții digitale și ecologice de transport. </w:t>
      </w:r>
    </w:p>
    <w:p w14:paraId="69B9C97E" w14:textId="77777777" w:rsidR="007873BE" w:rsidRPr="000A27B3" w:rsidRDefault="007873BE">
      <w:pPr>
        <w:spacing w:before="120" w:after="120" w:line="240" w:lineRule="auto"/>
        <w:jc w:val="both"/>
        <w:rPr>
          <w:rFonts w:ascii="Times New Roman" w:hAnsi="Times New Roman" w:cs="Times New Roman"/>
          <w:b/>
          <w:noProof/>
          <w:sz w:val="24"/>
        </w:rPr>
      </w:pPr>
      <w:r>
        <w:rPr>
          <w:rFonts w:ascii="Times New Roman" w:hAnsi="Times New Roman"/>
          <w:noProof/>
          <w:sz w:val="24"/>
        </w:rPr>
        <w:t>Reforma este pusă în aplicare prin intrarea în vigoare a unei legislații privind mobilitatea urbană durabilă și prin implementarea planurilor de mobilitate urbană durabilă la nivel subnațional. Legislația va include măsuri de stimulare a reînnoirii parcului de vehicule destinate transportului public cu vehicule nepoluante și măsuri de creștere a siguranței rutiere și de asigurare a unor standarde naționale minime de calitate. Aceasta obligă localitățile urbane să abordeze problema poluării aerului la nivel de oraș și de zonă funcțională prin adoptarea unei serii de politici în domeniul transporturilor, cum ar fi stabilirea unor zone cu emisii scăzute și a unor stimulente pentru utilizarea unor mijloace de transport alternative. În fine, legislația stabilește orientări pe care localitățile urbane trebuie să le urmeze la elaborarea planurilor de mobilitate urbană durabilă și însărcinează un organism național ad-hoc din cadrul Ministerului Dezvoltării, Lucrărilor Publice și Administrației să ofere sprijin, după caz.</w:t>
      </w:r>
    </w:p>
    <w:p w14:paraId="1773C39D"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reformei va fi finalizată până la 30 iunie 2026. Atât legislația, cât și organismul național care sprijină elaborarea planurilor de mobilitate urbană durabilă vor intra în funcțiune până la 31 decembrie 2022. </w:t>
      </w:r>
    </w:p>
    <w:p w14:paraId="4F241389"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Investiția 1 Mobilitate urbană durabilă </w:t>
      </w:r>
    </w:p>
    <w:p w14:paraId="360E3CC5"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spori accesul la soluții de mobilitate durabile și sigure în zonele urbane și rurale. </w:t>
      </w:r>
    </w:p>
    <w:p w14:paraId="5B3E2EC7" w14:textId="5AB3B7A3"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moderniza infrastructura de transport, asigurând durabilitatea mediului prin noi vehicule de transport public cu emisii zero, construind 5 600 de puncte suplimentare de reîncărcare pentru vehiculele electrice la nivel local/metropolitan. Investițiile vor consta, de asemenea, în sisteme de transport inteligente și alte infrastructuri TIC pentru a spori securitatea rutieră, a reduce timpul de călătorie și congestiile traficului. Investițiile vor contribui la creșterea ponderii călătoriilor cu transportul public local cu vehicule cu emisii zero (autobuze, troleibuze cu motoare cu emisii zero sau cu baterii, tramvaie) la 60 % în 2025, comparativ cu 45,4 % în 2019. De asemenea, în urma punerii în aplicare a investițiilor în stațiile de încărcare pentru vehicule electrice, România ar dispune în total de cel puțin 22 415 de puncte de reîncărcare, finanțate din diverse surse, inclusiv din Planul național de redresare și reziliență. Investițiile se vor baza, în egală măsură, pe alinierea obligatorie la planul de mobilitate urbană durabilă/planul integrat de dezvoltare durabilă/planul urbanistic general aprobat sau în curs de elaborare, asigurând acoperirea cu servicii de mobilitate în zona funcțională și periurbană, prioritizarea și promovarea transportului public în traficul local prin planificarea benzilor preferențiale și a benzilor de autobuz pe arterele cele mai frecventate/aglomerate, precum și pe încheierea unui contract de servicii publice cu operatorii economici în conformitate cu dispozițiile Regulamentului (CE) nr. 1370/2007.</w:t>
      </w:r>
    </w:p>
    <w:p w14:paraId="7B9560A1"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2CA9069D" w14:textId="77777777" w:rsidR="007873BE" w:rsidRPr="000A27B3" w:rsidRDefault="007873BE">
      <w:pPr>
        <w:rPr>
          <w:rFonts w:ascii="Times New Roman" w:hAnsi="Times New Roman" w:cs="Times New Roman"/>
          <w:noProof/>
          <w:sz w:val="24"/>
          <w:szCs w:val="24"/>
        </w:rPr>
      </w:pPr>
      <w:r>
        <w:rPr>
          <w:noProof/>
        </w:rPr>
        <w:br w:type="page"/>
      </w:r>
    </w:p>
    <w:p w14:paraId="6B6F6DE7" w14:textId="77777777" w:rsidR="007873BE" w:rsidRPr="009F1DC7" w:rsidRDefault="007873BE">
      <w:pPr>
        <w:spacing w:before="120" w:after="120" w:line="240" w:lineRule="auto"/>
        <w:jc w:val="both"/>
        <w:rPr>
          <w:rFonts w:ascii="Times New Roman" w:hAnsi="Times New Roman" w:cs="Times New Roman"/>
          <w:noProof/>
          <w:sz w:val="24"/>
          <w:szCs w:val="24"/>
          <w:lang w:val="fr-FR"/>
        </w:rPr>
        <w:sectPr w:rsidR="007873BE" w:rsidRPr="009F1DC7" w:rsidSect="00ED6412">
          <w:headerReference w:type="even" r:id="rId210"/>
          <w:headerReference w:type="default" r:id="rId211"/>
          <w:footerReference w:type="even" r:id="rId212"/>
          <w:footerReference w:type="default" r:id="rId213"/>
          <w:headerReference w:type="first" r:id="rId214"/>
          <w:footerReference w:type="first" r:id="rId215"/>
          <w:pgSz w:w="11906" w:h="16838"/>
          <w:pgMar w:top="1440" w:right="1440" w:bottom="1440" w:left="1440" w:header="708" w:footer="708" w:gutter="0"/>
          <w:cols w:space="708"/>
          <w:docGrid w:linePitch="360"/>
        </w:sectPr>
      </w:pPr>
    </w:p>
    <w:p w14:paraId="2CD831F4" w14:textId="77777777" w:rsidR="007873BE" w:rsidRPr="000A27B3" w:rsidRDefault="007873BE">
      <w:pPr>
        <w:keepNext/>
        <w:spacing w:before="120" w:after="120" w:line="240" w:lineRule="auto"/>
        <w:ind w:firstLine="720"/>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J.2. </w:t>
      </w:r>
      <w:r>
        <w:rPr>
          <w:noProof/>
        </w:rPr>
        <w:tab/>
      </w:r>
      <w:r>
        <w:rPr>
          <w:rFonts w:ascii="Times New Roman" w:hAnsi="Times New Roman"/>
          <w:b/>
          <w:noProof/>
          <w:sz w:val="24"/>
        </w:rPr>
        <w:t>Jaloane, ținte, indicatori și calendarul de monitorizare și implementare aplicabile sprijinului financiar nerambursabil</w:t>
      </w:r>
    </w:p>
    <w:tbl>
      <w:tblPr>
        <w:tblW w:w="15451" w:type="dxa"/>
        <w:jc w:val="center"/>
        <w:tblLayout w:type="fixed"/>
        <w:tblLook w:val="04A0" w:firstRow="1" w:lastRow="0" w:firstColumn="1" w:lastColumn="0" w:noHBand="0" w:noVBand="1"/>
      </w:tblPr>
      <w:tblGrid>
        <w:gridCol w:w="795"/>
        <w:gridCol w:w="1569"/>
        <w:gridCol w:w="1182"/>
        <w:gridCol w:w="1411"/>
        <w:gridCol w:w="1701"/>
        <w:gridCol w:w="1275"/>
        <w:gridCol w:w="1276"/>
        <w:gridCol w:w="1276"/>
        <w:gridCol w:w="1270"/>
        <w:gridCol w:w="709"/>
        <w:gridCol w:w="2987"/>
      </w:tblGrid>
      <w:tr w:rsidR="000A27B3" w:rsidRPr="000A27B3" w14:paraId="1AEA649A" w14:textId="77777777" w:rsidTr="00566C39">
        <w:trPr>
          <w:trHeight w:val="774"/>
          <w:tblHeader/>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D011B01"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75EC80"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FEBD24" w14:textId="4757E69F"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B61E33">
              <w:rPr>
                <w:rFonts w:ascii="Times New Roman" w:hAnsi="Times New Roman"/>
                <w:b/>
                <w:noProof/>
                <w:sz w:val="24"/>
              </w:rPr>
              <w:br/>
            </w:r>
            <w:r>
              <w:rPr>
                <w:rFonts w:ascii="Times New Roman" w:hAnsi="Times New Roman"/>
                <w:b/>
                <w:noProof/>
                <w:sz w:val="24"/>
              </w:rPr>
              <w:t>țintă</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AB1BB1"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6523AD4" w14:textId="65B8F2C8"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82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BA7B592" w14:textId="4B3DD0E8"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979" w:type="dxa"/>
            <w:gridSpan w:val="2"/>
            <w:tcBorders>
              <w:top w:val="single" w:sz="4" w:space="0" w:color="auto"/>
              <w:left w:val="nil"/>
              <w:bottom w:val="single" w:sz="4" w:space="0" w:color="auto"/>
              <w:right w:val="single" w:sz="4" w:space="0" w:color="auto"/>
            </w:tcBorders>
            <w:shd w:val="clear" w:color="auto" w:fill="BDD7EE"/>
            <w:vAlign w:val="center"/>
            <w:hideMark/>
          </w:tcPr>
          <w:p w14:paraId="6BEDAB15" w14:textId="260378F3"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B61E33">
              <w:rPr>
                <w:rFonts w:ascii="Times New Roman" w:hAnsi="Times New Roman"/>
                <w:b/>
                <w:noProof/>
                <w:sz w:val="24"/>
              </w:rPr>
              <w:br/>
            </w:r>
            <w:r>
              <w:rPr>
                <w:rFonts w:ascii="Times New Roman" w:hAnsi="Times New Roman"/>
                <w:b/>
                <w:noProof/>
                <w:sz w:val="24"/>
              </w:rPr>
              <w:t xml:space="preserve">țintelor </w:t>
            </w:r>
          </w:p>
        </w:tc>
        <w:tc>
          <w:tcPr>
            <w:tcW w:w="298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C92703"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27782D7F" w14:textId="77777777" w:rsidTr="00B61E33">
        <w:trPr>
          <w:trHeight w:val="502"/>
          <w:tblHeader/>
          <w:jc w:val="center"/>
        </w:trPr>
        <w:tc>
          <w:tcPr>
            <w:tcW w:w="795" w:type="dxa"/>
            <w:vMerge/>
            <w:tcBorders>
              <w:top w:val="single" w:sz="4" w:space="0" w:color="auto"/>
              <w:left w:val="single" w:sz="4" w:space="0" w:color="auto"/>
              <w:bottom w:val="single" w:sz="4" w:space="0" w:color="auto"/>
              <w:right w:val="single" w:sz="4" w:space="0" w:color="auto"/>
            </w:tcBorders>
            <w:hideMark/>
          </w:tcPr>
          <w:p w14:paraId="2D221880" w14:textId="77777777" w:rsidR="007873BE" w:rsidRPr="009F1DC7" w:rsidRDefault="007873BE">
            <w:pPr>
              <w:spacing w:after="0" w:line="240" w:lineRule="auto"/>
              <w:jc w:val="center"/>
              <w:rPr>
                <w:rFonts w:ascii="Times New Roman" w:eastAsia="Times New Roman" w:hAnsi="Times New Roman" w:cs="Times New Roman"/>
                <w:b/>
                <w:noProof/>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hideMark/>
          </w:tcPr>
          <w:p w14:paraId="1012B4F4" w14:textId="77777777" w:rsidR="007873BE" w:rsidRPr="009F1DC7" w:rsidRDefault="007873BE">
            <w:pPr>
              <w:spacing w:after="0" w:line="240" w:lineRule="auto"/>
              <w:rPr>
                <w:rFonts w:ascii="Times New Roman" w:eastAsia="Times New Roman" w:hAnsi="Times New Roman" w:cs="Times New Roman"/>
                <w:b/>
                <w:noProof/>
                <w:sz w:val="24"/>
                <w:szCs w:val="24"/>
                <w:lang w:eastAsia="en-GB"/>
              </w:rPr>
            </w:pPr>
          </w:p>
        </w:tc>
        <w:tc>
          <w:tcPr>
            <w:tcW w:w="1182" w:type="dxa"/>
            <w:vMerge/>
            <w:tcBorders>
              <w:top w:val="single" w:sz="4" w:space="0" w:color="auto"/>
              <w:left w:val="single" w:sz="4" w:space="0" w:color="auto"/>
              <w:bottom w:val="single" w:sz="4" w:space="0" w:color="auto"/>
              <w:right w:val="single" w:sz="4" w:space="0" w:color="auto"/>
            </w:tcBorders>
            <w:hideMark/>
          </w:tcPr>
          <w:p w14:paraId="38B4AEF0" w14:textId="77777777" w:rsidR="007873BE" w:rsidRPr="009F1DC7" w:rsidRDefault="007873BE">
            <w:pPr>
              <w:spacing w:after="0" w:line="240" w:lineRule="auto"/>
              <w:jc w:val="center"/>
              <w:rPr>
                <w:rFonts w:ascii="Times New Roman" w:eastAsia="Times New Roman" w:hAnsi="Times New Roman" w:cs="Times New Roman"/>
                <w:b/>
                <w:noProof/>
                <w:sz w:val="24"/>
                <w:szCs w:val="24"/>
                <w:lang w:eastAsia="en-GB"/>
              </w:rPr>
            </w:pPr>
          </w:p>
        </w:tc>
        <w:tc>
          <w:tcPr>
            <w:tcW w:w="1411" w:type="dxa"/>
            <w:vMerge/>
            <w:tcBorders>
              <w:top w:val="single" w:sz="4" w:space="0" w:color="auto"/>
              <w:left w:val="single" w:sz="4" w:space="0" w:color="auto"/>
              <w:bottom w:val="single" w:sz="4" w:space="0" w:color="auto"/>
              <w:right w:val="single" w:sz="4" w:space="0" w:color="auto"/>
            </w:tcBorders>
            <w:hideMark/>
          </w:tcPr>
          <w:p w14:paraId="06A7ECCE" w14:textId="77777777" w:rsidR="007873BE" w:rsidRPr="009F1DC7" w:rsidRDefault="007873BE">
            <w:pPr>
              <w:spacing w:after="0" w:line="240" w:lineRule="auto"/>
              <w:rPr>
                <w:rFonts w:ascii="Times New Roman" w:eastAsia="Times New Roman" w:hAnsi="Times New Roman" w:cs="Times New Roman"/>
                <w:b/>
                <w:noProof/>
                <w:sz w:val="24"/>
                <w:szCs w:val="24"/>
                <w:lang w:eastAsia="en-GB"/>
              </w:rPr>
            </w:pPr>
          </w:p>
        </w:tc>
        <w:tc>
          <w:tcPr>
            <w:tcW w:w="1701" w:type="dxa"/>
            <w:vMerge/>
            <w:tcBorders>
              <w:left w:val="single" w:sz="4" w:space="0" w:color="auto"/>
            </w:tcBorders>
            <w:hideMark/>
          </w:tcPr>
          <w:p w14:paraId="7334567A" w14:textId="77777777" w:rsidR="007873BE" w:rsidRPr="009F1DC7" w:rsidRDefault="007873BE">
            <w:pPr>
              <w:spacing w:after="0" w:line="240" w:lineRule="auto"/>
              <w:rPr>
                <w:rFonts w:ascii="Times New Roman" w:eastAsia="Times New Roman" w:hAnsi="Times New Roman" w:cs="Times New Roman"/>
                <w:b/>
                <w:noProof/>
                <w:sz w:val="24"/>
                <w:szCs w:val="24"/>
                <w:lang w:eastAsia="en-GB"/>
              </w:rPr>
            </w:pPr>
          </w:p>
        </w:tc>
        <w:tc>
          <w:tcPr>
            <w:tcW w:w="127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9E676A3"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9622FD8"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Valoare de referință </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6D24923"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127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C4C8B1E"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F820212"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2987" w:type="dxa"/>
            <w:vMerge/>
            <w:tcBorders>
              <w:top w:val="single" w:sz="4" w:space="0" w:color="auto"/>
              <w:bottom w:val="single" w:sz="4" w:space="0" w:color="auto"/>
              <w:right w:val="single" w:sz="4" w:space="0" w:color="auto"/>
            </w:tcBorders>
            <w:hideMark/>
          </w:tcPr>
          <w:p w14:paraId="49965643" w14:textId="77777777" w:rsidR="007873BE" w:rsidRPr="000A27B3" w:rsidRDefault="007873BE">
            <w:pPr>
              <w:spacing w:after="0" w:line="240" w:lineRule="auto"/>
              <w:rPr>
                <w:rFonts w:ascii="Times New Roman" w:eastAsia="Times New Roman" w:hAnsi="Times New Roman" w:cs="Times New Roman"/>
                <w:b/>
                <w:noProof/>
                <w:sz w:val="24"/>
                <w:szCs w:val="24"/>
                <w:lang w:val="en-GB" w:eastAsia="en-GB"/>
              </w:rPr>
            </w:pPr>
          </w:p>
        </w:tc>
      </w:tr>
      <w:tr w:rsidR="000A27B3" w:rsidRPr="000A27B3" w14:paraId="1592FC37" w14:textId="77777777" w:rsidTr="00B61E33">
        <w:trPr>
          <w:trHeight w:val="309"/>
          <w:jc w:val="center"/>
        </w:trPr>
        <w:tc>
          <w:tcPr>
            <w:tcW w:w="795" w:type="dxa"/>
            <w:tcBorders>
              <w:top w:val="single" w:sz="4" w:space="0" w:color="auto"/>
              <w:left w:val="single" w:sz="4" w:space="0" w:color="auto"/>
              <w:bottom w:val="single" w:sz="4" w:space="0" w:color="auto"/>
              <w:right w:val="single" w:sz="4" w:space="0" w:color="auto"/>
            </w:tcBorders>
            <w:shd w:val="clear" w:color="auto" w:fill="C6EFCE"/>
            <w:noWrap/>
          </w:tcPr>
          <w:p w14:paraId="48761CDB"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288</w:t>
            </w:r>
          </w:p>
        </w:tc>
        <w:tc>
          <w:tcPr>
            <w:tcW w:w="1569" w:type="dxa"/>
            <w:tcBorders>
              <w:top w:val="single" w:sz="4" w:space="0" w:color="auto"/>
              <w:left w:val="nil"/>
              <w:bottom w:val="single" w:sz="4" w:space="0" w:color="auto"/>
              <w:right w:val="single" w:sz="4" w:space="0" w:color="auto"/>
            </w:tcBorders>
            <w:shd w:val="clear" w:color="auto" w:fill="C6EFCE"/>
            <w:noWrap/>
          </w:tcPr>
          <w:p w14:paraId="763DCE7A"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Reforma 1. Crearea cadrului pentru mobilitate urbană durabilă </w:t>
            </w:r>
          </w:p>
        </w:tc>
        <w:tc>
          <w:tcPr>
            <w:tcW w:w="1182" w:type="dxa"/>
            <w:tcBorders>
              <w:top w:val="single" w:sz="4" w:space="0" w:color="auto"/>
              <w:left w:val="nil"/>
              <w:bottom w:val="single" w:sz="4" w:space="0" w:color="auto"/>
              <w:right w:val="single" w:sz="4" w:space="0" w:color="auto"/>
            </w:tcBorders>
            <w:shd w:val="clear" w:color="auto" w:fill="C6EFCE"/>
            <w:noWrap/>
          </w:tcPr>
          <w:p w14:paraId="3C27251E"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11" w:type="dxa"/>
            <w:tcBorders>
              <w:top w:val="single" w:sz="4" w:space="0" w:color="auto"/>
              <w:left w:val="nil"/>
              <w:bottom w:val="single" w:sz="4" w:space="0" w:color="auto"/>
              <w:right w:val="single" w:sz="4" w:space="0" w:color="auto"/>
            </w:tcBorders>
            <w:shd w:val="clear" w:color="auto" w:fill="C6EFCE"/>
            <w:noWrap/>
          </w:tcPr>
          <w:p w14:paraId="44C7C10C"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Intrarea în vigoare a legislației în domeniul mobilității urbane durabile </w:t>
            </w:r>
          </w:p>
        </w:tc>
        <w:tc>
          <w:tcPr>
            <w:tcW w:w="1701" w:type="dxa"/>
            <w:tcBorders>
              <w:top w:val="single" w:sz="4" w:space="0" w:color="auto"/>
              <w:left w:val="nil"/>
              <w:bottom w:val="single" w:sz="4" w:space="0" w:color="auto"/>
              <w:right w:val="single" w:sz="4" w:space="0" w:color="auto"/>
            </w:tcBorders>
            <w:shd w:val="clear" w:color="auto" w:fill="C6EFCE"/>
            <w:noWrap/>
          </w:tcPr>
          <w:p w14:paraId="3E45B856"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Dispoziție legală care indică intrarea în vigoare a actului legislativ privind mobilitatea urbană durabilă</w:t>
            </w:r>
          </w:p>
        </w:tc>
        <w:tc>
          <w:tcPr>
            <w:tcW w:w="1275" w:type="dxa"/>
            <w:tcBorders>
              <w:top w:val="single" w:sz="4" w:space="0" w:color="auto"/>
              <w:left w:val="nil"/>
              <w:bottom w:val="single" w:sz="4" w:space="0" w:color="auto"/>
              <w:right w:val="single" w:sz="4" w:space="0" w:color="auto"/>
            </w:tcBorders>
            <w:shd w:val="clear" w:color="auto" w:fill="C6EFCE"/>
            <w:noWrap/>
          </w:tcPr>
          <w:p w14:paraId="13BD7FF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67E27CC5"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single" w:sz="4" w:space="0" w:color="auto"/>
              <w:left w:val="nil"/>
              <w:bottom w:val="single" w:sz="4" w:space="0" w:color="auto"/>
              <w:right w:val="single" w:sz="4" w:space="0" w:color="auto"/>
            </w:tcBorders>
            <w:shd w:val="clear" w:color="auto" w:fill="C6EFCE"/>
            <w:noWrap/>
          </w:tcPr>
          <w:p w14:paraId="76D97631"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0" w:type="dxa"/>
            <w:tcBorders>
              <w:top w:val="single" w:sz="4" w:space="0" w:color="auto"/>
              <w:left w:val="nil"/>
              <w:bottom w:val="single" w:sz="4" w:space="0" w:color="auto"/>
              <w:right w:val="single" w:sz="4" w:space="0" w:color="auto"/>
            </w:tcBorders>
            <w:shd w:val="clear" w:color="auto" w:fill="C6EFCE"/>
            <w:noWrap/>
          </w:tcPr>
          <w:p w14:paraId="0F9833D5"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09" w:type="dxa"/>
            <w:tcBorders>
              <w:top w:val="nil"/>
              <w:left w:val="nil"/>
              <w:bottom w:val="single" w:sz="4" w:space="0" w:color="auto"/>
              <w:right w:val="single" w:sz="4" w:space="0" w:color="auto"/>
            </w:tcBorders>
            <w:shd w:val="clear" w:color="auto" w:fill="C6EFCE"/>
            <w:noWrap/>
          </w:tcPr>
          <w:p w14:paraId="5D0939EF"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2987" w:type="dxa"/>
            <w:tcBorders>
              <w:top w:val="single" w:sz="4" w:space="0" w:color="auto"/>
              <w:left w:val="nil"/>
              <w:bottom w:val="single" w:sz="4" w:space="0" w:color="auto"/>
              <w:right w:val="single" w:sz="4" w:space="0" w:color="auto"/>
            </w:tcBorders>
            <w:shd w:val="clear" w:color="auto" w:fill="C6EFCE"/>
            <w:noWrap/>
          </w:tcPr>
          <w:p w14:paraId="4600719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Legislația privind mobilitatea urbană durabilă va cuprinde:</w:t>
            </w:r>
          </w:p>
          <w:p w14:paraId="1A11CF86" w14:textId="09D1D3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măsuri de stimulare a reînnoirii parcului de vehicule destinate transportului public cu vehicule nepoluante și măsuri de asigurare a unor standarde minime de calitate la nivel național și a accesului la transportul public;</w:t>
            </w:r>
          </w:p>
          <w:p w14:paraId="38530738"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întocmirea Ghidului de elaborare a planurilor de mobilitate urbană durabilă în conformitate cu Strategia pentru o mobilitate sustenabilă și inteligentă COM(2020) 789 (Comunicarea Comisiei) și evaluarea și verificarea calității planurilor de mobilitate urbană durabilă</w:t>
            </w:r>
          </w:p>
          <w:p w14:paraId="6448CA61"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dispoziții care să oblige localitățile urbane să stabilească zone cu emisii scăzute, benzi preferențiale (inclusiv benzi de autobuz) pentru un transport public curat;</w:t>
            </w:r>
          </w:p>
          <w:p w14:paraId="5788DFAD"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măsuri de reducere a riscurilor pentru siguranța rutieră la nivel urban și măsuri care să permită limitarea spațiului pentru autoturismele private și punerea în aplicare și monitorizarea politicilor de parcare la nivel local;</w:t>
            </w:r>
          </w:p>
          <w:p w14:paraId="38F9D407"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măsuri care să permită dezvoltarea infrastructurii pentru a încuraja utilizarea transportului public, a bicicletelor și mersul pe jos în condiții de siguranță și securitate;</w:t>
            </w:r>
          </w:p>
          <w:p w14:paraId="6347E4C3"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măsuri care să permită punerea în aplicare a nodurilor intermodale pentru a facilita transportul în zona urbană funcțională/zona metropolitană.</w:t>
            </w:r>
          </w:p>
          <w:p w14:paraId="5BD2E805" w14:textId="77777777" w:rsidR="007873BE" w:rsidRPr="000A27B3" w:rsidRDefault="007873BE">
            <w:pPr>
              <w:spacing w:after="0" w:line="240" w:lineRule="auto"/>
              <w:jc w:val="both"/>
              <w:rPr>
                <w:rFonts w:ascii="Times New Roman" w:hAnsi="Times New Roman" w:cs="Times New Roman"/>
                <w:noProof/>
                <w:sz w:val="24"/>
              </w:rPr>
            </w:pPr>
            <w:r>
              <w:rPr>
                <w:rFonts w:ascii="Times New Roman" w:hAnsi="Times New Roman"/>
                <w:noProof/>
                <w:sz w:val="24"/>
              </w:rPr>
              <w:t xml:space="preserve">Legislația va fi elaborată în concordanță cu: </w:t>
            </w:r>
          </w:p>
          <w:p w14:paraId="451BE04F"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dispozițiile Regulamentului (CE) nr. 1370/2007, ale Regulamentului (UE) privind siguranța generală (GSR) (2019/2144), care va intra în vigoare la 6 iulie 2022;</w:t>
            </w:r>
          </w:p>
          <w:p w14:paraId="5978FE08" w14:textId="7C5BB783"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politica urbană a României, care va include dispoziții privind densitatea populației (asigurarea eficienței serviciului de transport public) și accesibilitatea populației la serviciile de transport (procent din populație aflat la mai puțin de 0,5 km distanță de o linie de transport public unde există o frecvență maximă de 20</w:t>
            </w:r>
            <w:r w:rsidR="00B61E33">
              <w:rPr>
                <w:rFonts w:ascii="Times New Roman" w:hAnsi="Times New Roman"/>
                <w:noProof/>
                <w:sz w:val="24"/>
              </w:rPr>
              <w:t> </w:t>
            </w:r>
            <w:r>
              <w:rPr>
                <w:rFonts w:ascii="Times New Roman" w:hAnsi="Times New Roman"/>
                <w:noProof/>
                <w:sz w:val="24"/>
              </w:rPr>
              <w:t xml:space="preserve">de minute); </w:t>
            </w:r>
          </w:p>
          <w:p w14:paraId="11B64FC0"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standardele minime de servicii pentru transportul public colectiv care vor fi stabilite prin modificări/completări la Legea nr. 92/2007 privind serviciile publice de transport persoane în unitățile administrativ-teritoriale;</w:t>
            </w:r>
          </w:p>
          <w:p w14:paraId="1A1E403C"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reformele privind siguranța rutieră și mobilitatea regională și urbană instituite în cadrul componentei „Transport sustenabil” (jaloanele 65-68).</w:t>
            </w:r>
          </w:p>
        </w:tc>
      </w:tr>
      <w:tr w:rsidR="000A27B3" w:rsidRPr="00D1375D" w14:paraId="0493270C"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42E28938"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289</w:t>
            </w:r>
          </w:p>
        </w:tc>
        <w:tc>
          <w:tcPr>
            <w:tcW w:w="1569" w:type="dxa"/>
            <w:tcBorders>
              <w:top w:val="nil"/>
              <w:left w:val="nil"/>
              <w:bottom w:val="single" w:sz="4" w:space="0" w:color="auto"/>
              <w:right w:val="single" w:sz="4" w:space="0" w:color="auto"/>
            </w:tcBorders>
            <w:shd w:val="clear" w:color="auto" w:fill="C6EFCE"/>
            <w:noWrap/>
          </w:tcPr>
          <w:p w14:paraId="07B70EE0"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Reforma 1. Crearea cadrului pentru mobilitate urbană durabilă</w:t>
            </w:r>
          </w:p>
        </w:tc>
        <w:tc>
          <w:tcPr>
            <w:tcW w:w="1182" w:type="dxa"/>
            <w:tcBorders>
              <w:top w:val="nil"/>
              <w:left w:val="nil"/>
              <w:bottom w:val="single" w:sz="4" w:space="0" w:color="auto"/>
              <w:right w:val="single" w:sz="4" w:space="0" w:color="auto"/>
            </w:tcBorders>
            <w:shd w:val="clear" w:color="auto" w:fill="C6EFCE"/>
            <w:noWrap/>
          </w:tcPr>
          <w:p w14:paraId="14C25F93"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11" w:type="dxa"/>
            <w:tcBorders>
              <w:top w:val="nil"/>
              <w:left w:val="nil"/>
              <w:bottom w:val="single" w:sz="4" w:space="0" w:color="auto"/>
              <w:right w:val="single" w:sz="4" w:space="0" w:color="auto"/>
            </w:tcBorders>
            <w:shd w:val="clear" w:color="auto" w:fill="C6EFCE"/>
            <w:noWrap/>
          </w:tcPr>
          <w:p w14:paraId="7FD946B7"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Intrarea în vigoare a ordinului de ministru privind instituirea unei structuri care să acorde asistență tehnică pentru elaborarea de planuri de mobilitate urbană durabilă (PMUD) și actualizarea PMUD instituite și operaționale</w:t>
            </w:r>
          </w:p>
        </w:tc>
        <w:tc>
          <w:tcPr>
            <w:tcW w:w="1701" w:type="dxa"/>
            <w:tcBorders>
              <w:top w:val="single" w:sz="4" w:space="0" w:color="auto"/>
              <w:left w:val="nil"/>
              <w:bottom w:val="single" w:sz="4" w:space="0" w:color="auto"/>
              <w:right w:val="single" w:sz="4" w:space="0" w:color="auto"/>
            </w:tcBorders>
            <w:shd w:val="clear" w:color="auto" w:fill="C6EFCE"/>
            <w:noWrap/>
          </w:tcPr>
          <w:p w14:paraId="4D7AE32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Dispoziție în ordinul ministerial care indică intrarea în vigoare a</w:t>
            </w:r>
          </w:p>
          <w:p w14:paraId="7E690EA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structurii care să acorde asistență tehnică pentru elaborarea PMUD </w:t>
            </w:r>
          </w:p>
          <w:p w14:paraId="1F6330EC"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1275" w:type="dxa"/>
            <w:tcBorders>
              <w:top w:val="nil"/>
              <w:left w:val="nil"/>
              <w:bottom w:val="single" w:sz="4" w:space="0" w:color="auto"/>
              <w:right w:val="single" w:sz="4" w:space="0" w:color="auto"/>
            </w:tcBorders>
            <w:shd w:val="clear" w:color="auto" w:fill="C6EFCE"/>
            <w:noWrap/>
          </w:tcPr>
          <w:p w14:paraId="3B58A015"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52021102"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3453493A"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0" w:type="dxa"/>
            <w:tcBorders>
              <w:top w:val="nil"/>
              <w:left w:val="nil"/>
              <w:bottom w:val="single" w:sz="4" w:space="0" w:color="auto"/>
              <w:right w:val="single" w:sz="4" w:space="0" w:color="auto"/>
            </w:tcBorders>
            <w:shd w:val="clear" w:color="auto" w:fill="C6EFCE"/>
            <w:noWrap/>
          </w:tcPr>
          <w:p w14:paraId="7A2D0531"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09" w:type="dxa"/>
            <w:tcBorders>
              <w:top w:val="nil"/>
              <w:left w:val="nil"/>
              <w:bottom w:val="single" w:sz="4" w:space="0" w:color="auto"/>
              <w:right w:val="single" w:sz="4" w:space="0" w:color="auto"/>
            </w:tcBorders>
            <w:shd w:val="clear" w:color="auto" w:fill="C6EFCE"/>
            <w:noWrap/>
          </w:tcPr>
          <w:p w14:paraId="2C2D21D0"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2987" w:type="dxa"/>
            <w:tcBorders>
              <w:top w:val="nil"/>
              <w:left w:val="nil"/>
              <w:bottom w:val="single" w:sz="4" w:space="0" w:color="auto"/>
              <w:right w:val="single" w:sz="4" w:space="0" w:color="auto"/>
            </w:tcBorders>
            <w:shd w:val="clear" w:color="auto" w:fill="C6EFCE"/>
            <w:noWrap/>
          </w:tcPr>
          <w:p w14:paraId="5A76E98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 va înființa un organism național sub supravegherea Ministerului Dezvoltării, Lucrărilor Publice și Administrației și în coordonare cu ministerele de linie, cum ar fi Ministerul Transporturilor și Ministerul Mediului; acest organism va fi responsabil cu sprijinirea orașelor în elaborarea planurilor de mobilitate urbană durabilă, precum și cu evaluarea și verificarea calității PMUD.</w:t>
            </w:r>
            <w:r>
              <w:rPr>
                <w:noProof/>
              </w:rPr>
              <w:t xml:space="preserve"> </w:t>
            </w:r>
            <w:r>
              <w:rPr>
                <w:noProof/>
              </w:rPr>
              <w:br/>
            </w:r>
            <w:r>
              <w:rPr>
                <w:rFonts w:ascii="Times New Roman" w:hAnsi="Times New Roman"/>
                <w:noProof/>
                <w:sz w:val="24"/>
              </w:rPr>
              <w:t>Administrația publică centrală va sprijini orașele în elaborarea/actualizarea PMUD prin organizarea de reuniuni periodice ale Grupului național pentru optimizarea PMUD din România, organizat de Ministerul Dezvoltării, Lucrărilor Publice și Administrației, care va reuni actorii relevanți (reprezentanți ai administrației publice centrale și locale, ai mediului universitar, ai mediului privat, ai ONG-urilor).</w:t>
            </w:r>
          </w:p>
          <w:p w14:paraId="1EE9A60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Secretariatul Grupului național va fi asigurat de Ministerul Dezvoltării, Lucrărilor Publice și Administrației. </w:t>
            </w:r>
          </w:p>
        </w:tc>
      </w:tr>
      <w:tr w:rsidR="000A27B3" w:rsidRPr="00D1375D" w14:paraId="42E414CD"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1C4DBC4C"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290</w:t>
            </w:r>
          </w:p>
        </w:tc>
        <w:tc>
          <w:tcPr>
            <w:tcW w:w="1569" w:type="dxa"/>
            <w:tcBorders>
              <w:top w:val="nil"/>
              <w:left w:val="nil"/>
              <w:bottom w:val="single" w:sz="4" w:space="0" w:color="auto"/>
              <w:right w:val="single" w:sz="4" w:space="0" w:color="auto"/>
            </w:tcBorders>
            <w:shd w:val="clear" w:color="auto" w:fill="C6EFCE"/>
            <w:noWrap/>
          </w:tcPr>
          <w:p w14:paraId="6D3D6747"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Reforma 1. Crearea cadrului pentru mobilitate urbană durabilă </w:t>
            </w:r>
          </w:p>
        </w:tc>
        <w:tc>
          <w:tcPr>
            <w:tcW w:w="1182" w:type="dxa"/>
            <w:tcBorders>
              <w:top w:val="nil"/>
              <w:left w:val="nil"/>
              <w:bottom w:val="single" w:sz="4" w:space="0" w:color="auto"/>
              <w:right w:val="single" w:sz="4" w:space="0" w:color="auto"/>
            </w:tcBorders>
            <w:shd w:val="clear" w:color="auto" w:fill="C6EFCE"/>
            <w:noWrap/>
          </w:tcPr>
          <w:p w14:paraId="67B00D6B"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11" w:type="dxa"/>
            <w:tcBorders>
              <w:top w:val="nil"/>
              <w:left w:val="nil"/>
              <w:bottom w:val="single" w:sz="4" w:space="0" w:color="auto"/>
              <w:right w:val="single" w:sz="4" w:space="0" w:color="auto"/>
            </w:tcBorders>
            <w:shd w:val="clear" w:color="auto" w:fill="C6EFCE"/>
            <w:noWrap/>
          </w:tcPr>
          <w:p w14:paraId="67FFC12C"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Semnarea tuturor contractelor de servicii publice de transport care expiră în perioada 2021-2026 pentru 40 de județe </w:t>
            </w:r>
          </w:p>
        </w:tc>
        <w:tc>
          <w:tcPr>
            <w:tcW w:w="1701" w:type="dxa"/>
            <w:tcBorders>
              <w:top w:val="single" w:sz="4" w:space="0" w:color="auto"/>
              <w:left w:val="nil"/>
              <w:bottom w:val="single" w:sz="4" w:space="0" w:color="auto"/>
              <w:right w:val="single" w:sz="4" w:space="0" w:color="auto"/>
            </w:tcBorders>
            <w:shd w:val="clear" w:color="auto" w:fill="C6EFCE"/>
            <w:noWrap/>
          </w:tcPr>
          <w:p w14:paraId="59A2A62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275" w:type="dxa"/>
            <w:tcBorders>
              <w:top w:val="nil"/>
              <w:left w:val="nil"/>
              <w:bottom w:val="single" w:sz="4" w:space="0" w:color="auto"/>
              <w:right w:val="single" w:sz="4" w:space="0" w:color="auto"/>
            </w:tcBorders>
            <w:shd w:val="clear" w:color="auto" w:fill="C6EFCE"/>
            <w:noWrap/>
          </w:tcPr>
          <w:p w14:paraId="4FCBFE1A" w14:textId="77777777" w:rsidR="007873BE" w:rsidRPr="000A27B3" w:rsidRDefault="007873BE">
            <w:pPr>
              <w:spacing w:after="0" w:line="240" w:lineRule="auto"/>
              <w:rPr>
                <w:rFonts w:ascii="Times New Roman" w:hAnsi="Times New Roman" w:cs="Times New Roman"/>
                <w:noProof/>
                <w:sz w:val="24"/>
                <w:szCs w:val="24"/>
                <w:lang w:val="en-GB"/>
              </w:rPr>
            </w:pPr>
          </w:p>
        </w:tc>
        <w:tc>
          <w:tcPr>
            <w:tcW w:w="1276" w:type="dxa"/>
            <w:tcBorders>
              <w:top w:val="nil"/>
              <w:left w:val="nil"/>
              <w:bottom w:val="single" w:sz="4" w:space="0" w:color="auto"/>
              <w:right w:val="single" w:sz="4" w:space="0" w:color="auto"/>
            </w:tcBorders>
            <w:shd w:val="clear" w:color="auto" w:fill="C6EFCE"/>
            <w:noWrap/>
          </w:tcPr>
          <w:p w14:paraId="5FE01B89" w14:textId="77777777" w:rsidR="007873BE" w:rsidRPr="000A27B3" w:rsidRDefault="007873BE">
            <w:pPr>
              <w:spacing w:after="0" w:line="240" w:lineRule="auto"/>
              <w:rPr>
                <w:rFonts w:ascii="Times New Roman" w:hAnsi="Times New Roman" w:cs="Times New Roman"/>
                <w:noProof/>
                <w:sz w:val="24"/>
                <w:szCs w:val="24"/>
                <w:lang w:val="en-GB"/>
              </w:rPr>
            </w:pPr>
          </w:p>
        </w:tc>
        <w:tc>
          <w:tcPr>
            <w:tcW w:w="1276" w:type="dxa"/>
            <w:tcBorders>
              <w:top w:val="nil"/>
              <w:left w:val="nil"/>
              <w:bottom w:val="single" w:sz="4" w:space="0" w:color="auto"/>
              <w:right w:val="single" w:sz="4" w:space="0" w:color="auto"/>
            </w:tcBorders>
            <w:shd w:val="clear" w:color="auto" w:fill="C6EFCE"/>
            <w:noWrap/>
          </w:tcPr>
          <w:p w14:paraId="338D4CC8" w14:textId="77777777" w:rsidR="007873BE" w:rsidRPr="000A27B3" w:rsidRDefault="007873BE">
            <w:pPr>
              <w:spacing w:after="0" w:line="240" w:lineRule="auto"/>
              <w:rPr>
                <w:rFonts w:ascii="Times New Roman" w:hAnsi="Times New Roman" w:cs="Times New Roman"/>
                <w:noProof/>
                <w:sz w:val="24"/>
                <w:szCs w:val="24"/>
                <w:lang w:val="en-GB"/>
              </w:rPr>
            </w:pPr>
          </w:p>
        </w:tc>
        <w:tc>
          <w:tcPr>
            <w:tcW w:w="1270" w:type="dxa"/>
            <w:tcBorders>
              <w:top w:val="nil"/>
              <w:left w:val="nil"/>
              <w:bottom w:val="single" w:sz="4" w:space="0" w:color="auto"/>
              <w:right w:val="single" w:sz="4" w:space="0" w:color="auto"/>
            </w:tcBorders>
            <w:shd w:val="clear" w:color="auto" w:fill="C6EFCE"/>
            <w:noWrap/>
          </w:tcPr>
          <w:p w14:paraId="4EC771B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54626A3F"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5E92DAE3" w14:textId="2FD5D742"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tuturor contractelor de servicii publice de transport care expiră în perioada 2021</w:t>
            </w:r>
            <w:r w:rsidR="00B61E33">
              <w:rPr>
                <w:rFonts w:ascii="Times New Roman" w:hAnsi="Times New Roman"/>
                <w:noProof/>
                <w:sz w:val="24"/>
              </w:rPr>
              <w:t>­</w:t>
            </w:r>
            <w:r>
              <w:rPr>
                <w:rFonts w:ascii="Times New Roman" w:hAnsi="Times New Roman"/>
                <w:noProof/>
                <w:sz w:val="24"/>
              </w:rPr>
              <w:t>2026 în urma procedurii de licitație deschisă, la nivelul municipiilor reședință de județ, cu respectarea standardelor minime de servicii pentru transportul public colectiv la nivel național, astfel încât în T2 2026 toate cele 40 de municipii reședință de județ să continue să aibă contracte de transport public.</w:t>
            </w:r>
          </w:p>
        </w:tc>
      </w:tr>
      <w:tr w:rsidR="000A27B3" w:rsidRPr="00D1375D" w14:paraId="3EA4122A"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42FECA40"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291</w:t>
            </w:r>
          </w:p>
        </w:tc>
        <w:tc>
          <w:tcPr>
            <w:tcW w:w="1569" w:type="dxa"/>
            <w:tcBorders>
              <w:top w:val="nil"/>
              <w:left w:val="nil"/>
              <w:bottom w:val="single" w:sz="4" w:space="0" w:color="auto"/>
              <w:right w:val="single" w:sz="4" w:space="0" w:color="auto"/>
            </w:tcBorders>
            <w:shd w:val="clear" w:color="auto" w:fill="C6EFCE"/>
            <w:noWrap/>
          </w:tcPr>
          <w:p w14:paraId="43A1C18E"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Reforma 1. Crearea cadrului pentru mobilitate urbană durabilă </w:t>
            </w:r>
          </w:p>
        </w:tc>
        <w:tc>
          <w:tcPr>
            <w:tcW w:w="1182" w:type="dxa"/>
            <w:tcBorders>
              <w:top w:val="nil"/>
              <w:left w:val="nil"/>
              <w:bottom w:val="single" w:sz="4" w:space="0" w:color="auto"/>
              <w:right w:val="single" w:sz="4" w:space="0" w:color="auto"/>
            </w:tcBorders>
            <w:shd w:val="clear" w:color="auto" w:fill="C6EFCE"/>
            <w:noWrap/>
          </w:tcPr>
          <w:p w14:paraId="2F8B494A"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0D877A85"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Reducerea emisiilor de poluanți atmosferici</w:t>
            </w:r>
          </w:p>
        </w:tc>
        <w:tc>
          <w:tcPr>
            <w:tcW w:w="1701" w:type="dxa"/>
            <w:tcBorders>
              <w:top w:val="single" w:sz="4" w:space="0" w:color="auto"/>
              <w:left w:val="nil"/>
              <w:bottom w:val="single" w:sz="4" w:space="0" w:color="auto"/>
              <w:right w:val="single" w:sz="4" w:space="0" w:color="auto"/>
            </w:tcBorders>
            <w:shd w:val="clear" w:color="auto" w:fill="C6EFCE"/>
            <w:noWrap/>
          </w:tcPr>
          <w:p w14:paraId="2174039B"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1275" w:type="dxa"/>
            <w:tcBorders>
              <w:top w:val="nil"/>
              <w:left w:val="nil"/>
              <w:bottom w:val="single" w:sz="4" w:space="0" w:color="auto"/>
              <w:right w:val="single" w:sz="4" w:space="0" w:color="auto"/>
            </w:tcBorders>
            <w:shd w:val="clear" w:color="auto" w:fill="C6EFCE"/>
            <w:noWrap/>
          </w:tcPr>
          <w:p w14:paraId="7ABB0920"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kt CO</w:t>
            </w:r>
            <w:r>
              <w:rPr>
                <w:rFonts w:ascii="Times New Roman" w:hAnsi="Times New Roman"/>
                <w:noProof/>
                <w:sz w:val="24"/>
                <w:vertAlign w:val="subscript"/>
              </w:rPr>
              <w:t>2</w:t>
            </w:r>
            <w:r>
              <w:rPr>
                <w:rFonts w:ascii="Times New Roman" w:hAnsi="Times New Roman"/>
                <w:noProof/>
                <w:sz w:val="24"/>
              </w:rPr>
              <w:t xml:space="preserve"> echivalent (anul de bază 1990)</w:t>
            </w:r>
          </w:p>
        </w:tc>
        <w:tc>
          <w:tcPr>
            <w:tcW w:w="1276" w:type="dxa"/>
            <w:tcBorders>
              <w:top w:val="nil"/>
              <w:left w:val="nil"/>
              <w:bottom w:val="single" w:sz="4" w:space="0" w:color="auto"/>
              <w:right w:val="single" w:sz="4" w:space="0" w:color="auto"/>
            </w:tcBorders>
            <w:shd w:val="clear" w:color="auto" w:fill="C6EFCE"/>
            <w:noWrap/>
          </w:tcPr>
          <w:p w14:paraId="745A1D30"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266 371</w:t>
            </w:r>
          </w:p>
        </w:tc>
        <w:tc>
          <w:tcPr>
            <w:tcW w:w="1276" w:type="dxa"/>
            <w:tcBorders>
              <w:top w:val="nil"/>
              <w:left w:val="nil"/>
              <w:bottom w:val="single" w:sz="4" w:space="0" w:color="auto"/>
              <w:right w:val="single" w:sz="4" w:space="0" w:color="auto"/>
            </w:tcBorders>
            <w:shd w:val="clear" w:color="auto" w:fill="C6EFCE"/>
            <w:noWrap/>
          </w:tcPr>
          <w:p w14:paraId="401EB159"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159 823</w:t>
            </w:r>
          </w:p>
        </w:tc>
        <w:tc>
          <w:tcPr>
            <w:tcW w:w="1270" w:type="dxa"/>
            <w:tcBorders>
              <w:top w:val="nil"/>
              <w:left w:val="nil"/>
              <w:bottom w:val="single" w:sz="4" w:space="0" w:color="auto"/>
              <w:right w:val="single" w:sz="4" w:space="0" w:color="auto"/>
            </w:tcBorders>
            <w:shd w:val="clear" w:color="auto" w:fill="C6EFCE"/>
            <w:noWrap/>
          </w:tcPr>
          <w:p w14:paraId="7486875C"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6803C111"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731291B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Ținta va cuantifica reducerea emisiilor de poluanți atmosferici, astfel cum este planificat în Programul național de control al poluării atmosferice. La nivelul Agenției Naționale pentru Protecția Mediului (ANPM), inventarul național al emisiilor de gaze cu efect de seră (GES) este administrat ca o componentă a mecanismului UE de monitorizare a emisiilor de GES. Parametrul referitor la nivelul istoric al emisiilor de GES utilizat va fi reprezentat de emisiile de GES generate de transportul rutier. Ținta propusă pentru reducerea emisiilor de GES este ținta națională de reducere a emisiilor pentru 2030, respectiv reducerea cu 40 % a emisiilor totale de GES. La totalul emisiilor naționale de GES, la nivelul din 2019, sectorul transportului intern contribuie cu aproximativ 17 %.</w:t>
            </w:r>
          </w:p>
          <w:p w14:paraId="2A6C68C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Ținta va fi identificată și pe baza rețelei de puncte fixe pentru monitorizarea calității aerului urban dezvoltată de Ministerul Mediului. </w:t>
            </w:r>
          </w:p>
          <w:p w14:paraId="1BFC71BD" w14:textId="77777777" w:rsidR="007873BE" w:rsidRPr="009F1DC7" w:rsidRDefault="007873BE">
            <w:pPr>
              <w:spacing w:after="0" w:line="240" w:lineRule="auto"/>
              <w:jc w:val="both"/>
              <w:rPr>
                <w:rFonts w:ascii="Times New Roman" w:hAnsi="Times New Roman" w:cs="Times New Roman"/>
                <w:noProof/>
                <w:sz w:val="24"/>
                <w:szCs w:val="24"/>
              </w:rPr>
            </w:pPr>
          </w:p>
        </w:tc>
      </w:tr>
      <w:tr w:rsidR="000A27B3" w:rsidRPr="0089663E" w14:paraId="57527429"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37599912"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292</w:t>
            </w:r>
          </w:p>
        </w:tc>
        <w:tc>
          <w:tcPr>
            <w:tcW w:w="1569" w:type="dxa"/>
            <w:tcBorders>
              <w:top w:val="nil"/>
              <w:left w:val="nil"/>
              <w:bottom w:val="single" w:sz="4" w:space="0" w:color="auto"/>
              <w:right w:val="single" w:sz="4" w:space="0" w:color="auto"/>
            </w:tcBorders>
            <w:shd w:val="clear" w:color="auto" w:fill="C6EFCE"/>
            <w:noWrap/>
          </w:tcPr>
          <w:p w14:paraId="035209C8"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Reforma 1. Crearea cadrului pentru mobilitate urbană durabilă</w:t>
            </w:r>
          </w:p>
        </w:tc>
        <w:tc>
          <w:tcPr>
            <w:tcW w:w="1182" w:type="dxa"/>
            <w:tcBorders>
              <w:top w:val="nil"/>
              <w:left w:val="nil"/>
              <w:bottom w:val="single" w:sz="4" w:space="0" w:color="auto"/>
              <w:right w:val="single" w:sz="4" w:space="0" w:color="auto"/>
            </w:tcBorders>
            <w:shd w:val="clear" w:color="auto" w:fill="C6EFCE"/>
            <w:noWrap/>
          </w:tcPr>
          <w:p w14:paraId="7D4DE0A5"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2FB0137B"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Reducerea cu 25 % a numărului de persoane decedate sau grav rănite ca urmare a accidentelor rutiere în municipalități urbane comparativ cu anul de referință 2019</w:t>
            </w:r>
          </w:p>
        </w:tc>
        <w:tc>
          <w:tcPr>
            <w:tcW w:w="1701" w:type="dxa"/>
            <w:tcBorders>
              <w:top w:val="nil"/>
              <w:left w:val="nil"/>
              <w:bottom w:val="single" w:sz="4" w:space="0" w:color="auto"/>
              <w:right w:val="single" w:sz="4" w:space="0" w:color="auto"/>
            </w:tcBorders>
            <w:shd w:val="clear" w:color="auto" w:fill="C6EFCE"/>
            <w:noWrap/>
          </w:tcPr>
          <w:p w14:paraId="10E811B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5" w:type="dxa"/>
            <w:tcBorders>
              <w:top w:val="nil"/>
              <w:left w:val="nil"/>
              <w:bottom w:val="single" w:sz="4" w:space="0" w:color="auto"/>
              <w:right w:val="single" w:sz="4" w:space="0" w:color="auto"/>
            </w:tcBorders>
            <w:shd w:val="clear" w:color="auto" w:fill="C6EFCE"/>
            <w:noWrap/>
          </w:tcPr>
          <w:p w14:paraId="31FBECD3" w14:textId="77777777" w:rsidR="007873BE" w:rsidRPr="000A27B3" w:rsidRDefault="007873BE">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28B92A9A" w14:textId="77777777" w:rsidR="007873BE" w:rsidRPr="000A27B3" w:rsidRDefault="007873BE">
            <w:pPr>
              <w:spacing w:after="0" w:line="240" w:lineRule="auto"/>
              <w:rPr>
                <w:rFonts w:ascii="Times New Roman" w:hAnsi="Times New Roman" w:cs="Times New Roman"/>
                <w:noProof/>
                <w:sz w:val="24"/>
                <w:szCs w:val="24"/>
                <w:lang w:val="en-GB"/>
              </w:rPr>
            </w:pPr>
          </w:p>
        </w:tc>
        <w:tc>
          <w:tcPr>
            <w:tcW w:w="1276" w:type="dxa"/>
            <w:tcBorders>
              <w:top w:val="nil"/>
              <w:left w:val="nil"/>
              <w:bottom w:val="single" w:sz="4" w:space="0" w:color="auto"/>
              <w:right w:val="single" w:sz="4" w:space="0" w:color="auto"/>
            </w:tcBorders>
            <w:shd w:val="clear" w:color="auto" w:fill="C6EFCE"/>
            <w:noWrap/>
          </w:tcPr>
          <w:p w14:paraId="62A4288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100 % </w:t>
            </w:r>
          </w:p>
        </w:tc>
        <w:tc>
          <w:tcPr>
            <w:tcW w:w="1276" w:type="dxa"/>
            <w:tcBorders>
              <w:top w:val="nil"/>
              <w:left w:val="nil"/>
              <w:bottom w:val="single" w:sz="4" w:space="0" w:color="auto"/>
              <w:right w:val="single" w:sz="4" w:space="0" w:color="auto"/>
            </w:tcBorders>
            <w:shd w:val="clear" w:color="auto" w:fill="C6EFCE"/>
            <w:noWrap/>
          </w:tcPr>
          <w:p w14:paraId="4EB3303C"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75 %</w:t>
            </w:r>
          </w:p>
        </w:tc>
        <w:tc>
          <w:tcPr>
            <w:tcW w:w="1270" w:type="dxa"/>
            <w:tcBorders>
              <w:top w:val="nil"/>
              <w:left w:val="nil"/>
              <w:bottom w:val="single" w:sz="4" w:space="0" w:color="auto"/>
              <w:right w:val="single" w:sz="4" w:space="0" w:color="auto"/>
            </w:tcBorders>
            <w:shd w:val="clear" w:color="auto" w:fill="C6EFCE"/>
            <w:noWrap/>
          </w:tcPr>
          <w:p w14:paraId="4B4E574C"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09" w:type="dxa"/>
            <w:tcBorders>
              <w:top w:val="nil"/>
              <w:left w:val="nil"/>
              <w:bottom w:val="single" w:sz="4" w:space="0" w:color="auto"/>
              <w:right w:val="single" w:sz="4" w:space="0" w:color="auto"/>
            </w:tcBorders>
            <w:shd w:val="clear" w:color="auto" w:fill="C6EFCE"/>
            <w:noWrap/>
          </w:tcPr>
          <w:p w14:paraId="1777CEDC"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6A47960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Ținta este de a cuantifica măsurile de îmbunătățire a siguranței traficului în mediul urban. Ținta este de a reduce cu 25 % numărul de persoane decedate sau grav rănite în accidente rutiere în localitățile urbane în 2025 față de nivelul de referință din 2019. Ținta este în concordanță cu cea stabilită în proiectul de actualizare a Strategiei naționale de siguranță rutieră, care prevede o reducere cu 50 % a numărului de persoane grav rănite sau ucise ca urmare a accidentelor rutiere până în 2030.</w:t>
            </w:r>
          </w:p>
        </w:tc>
      </w:tr>
      <w:tr w:rsidR="000A27B3" w:rsidRPr="0089663E" w14:paraId="3CDBC029"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113F33E5"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293</w:t>
            </w:r>
          </w:p>
        </w:tc>
        <w:tc>
          <w:tcPr>
            <w:tcW w:w="1569" w:type="dxa"/>
            <w:tcBorders>
              <w:top w:val="nil"/>
              <w:left w:val="nil"/>
              <w:bottom w:val="single" w:sz="4" w:space="0" w:color="auto"/>
              <w:right w:val="single" w:sz="4" w:space="0" w:color="auto"/>
            </w:tcBorders>
            <w:shd w:val="clear" w:color="auto" w:fill="C6EFCE"/>
            <w:noWrap/>
          </w:tcPr>
          <w:p w14:paraId="40B69A5A"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Reforma 1. Crearea cadrului pentru mobilitate urbană durabilă</w:t>
            </w:r>
          </w:p>
        </w:tc>
        <w:tc>
          <w:tcPr>
            <w:tcW w:w="1182" w:type="dxa"/>
            <w:tcBorders>
              <w:top w:val="nil"/>
              <w:left w:val="nil"/>
              <w:bottom w:val="single" w:sz="4" w:space="0" w:color="auto"/>
              <w:right w:val="single" w:sz="4" w:space="0" w:color="auto"/>
            </w:tcBorders>
            <w:shd w:val="clear" w:color="auto" w:fill="C6EFCE"/>
            <w:noWrap/>
          </w:tcPr>
          <w:p w14:paraId="384C5772"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63C387B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Creșterea cu 20 % a volumului total anual de pasageri care utilizează transportul public local în 2026 comparativ cu 2019</w:t>
            </w:r>
          </w:p>
        </w:tc>
        <w:tc>
          <w:tcPr>
            <w:tcW w:w="1701" w:type="dxa"/>
            <w:tcBorders>
              <w:top w:val="nil"/>
              <w:left w:val="nil"/>
              <w:bottom w:val="single" w:sz="4" w:space="0" w:color="auto"/>
              <w:right w:val="single" w:sz="4" w:space="0" w:color="auto"/>
            </w:tcBorders>
            <w:shd w:val="clear" w:color="auto" w:fill="C6EFCE"/>
            <w:noWrap/>
          </w:tcPr>
          <w:p w14:paraId="5F39F5A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5" w:type="dxa"/>
            <w:tcBorders>
              <w:top w:val="nil"/>
              <w:left w:val="nil"/>
              <w:bottom w:val="single" w:sz="4" w:space="0" w:color="auto"/>
              <w:right w:val="single" w:sz="4" w:space="0" w:color="auto"/>
            </w:tcBorders>
            <w:shd w:val="clear" w:color="auto" w:fill="C6EFCE"/>
            <w:noWrap/>
          </w:tcPr>
          <w:p w14:paraId="4D9306A0"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Numărul de pasageri care utilizează transportul public local</w:t>
            </w:r>
          </w:p>
        </w:tc>
        <w:tc>
          <w:tcPr>
            <w:tcW w:w="1276" w:type="dxa"/>
            <w:tcBorders>
              <w:top w:val="nil"/>
              <w:left w:val="nil"/>
              <w:bottom w:val="single" w:sz="4" w:space="0" w:color="auto"/>
              <w:right w:val="single" w:sz="4" w:space="0" w:color="auto"/>
            </w:tcBorders>
            <w:shd w:val="clear" w:color="auto" w:fill="C6EFCE"/>
            <w:noWrap/>
          </w:tcPr>
          <w:p w14:paraId="1C720FF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1 763 000 000</w:t>
            </w:r>
          </w:p>
          <w:p w14:paraId="5EDBBA38"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2E83CC5D" w14:textId="77777777" w:rsidR="007873BE" w:rsidRPr="000A27B3" w:rsidRDefault="007873BE">
            <w:pPr>
              <w:spacing w:after="0" w:line="240" w:lineRule="auto"/>
              <w:rPr>
                <w:rFonts w:ascii="Times New Roman" w:hAnsi="Times New Roman" w:cs="Times New Roman"/>
                <w:noProof/>
                <w:sz w:val="24"/>
                <w:szCs w:val="24"/>
                <w:lang w:val="en-GB"/>
              </w:rPr>
            </w:pPr>
          </w:p>
        </w:tc>
        <w:tc>
          <w:tcPr>
            <w:tcW w:w="1276" w:type="dxa"/>
            <w:tcBorders>
              <w:top w:val="nil"/>
              <w:left w:val="nil"/>
              <w:bottom w:val="single" w:sz="4" w:space="0" w:color="auto"/>
              <w:right w:val="single" w:sz="4" w:space="0" w:color="auto"/>
            </w:tcBorders>
            <w:shd w:val="clear" w:color="auto" w:fill="C6EFCE"/>
            <w:noWrap/>
          </w:tcPr>
          <w:p w14:paraId="1143D358"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2 115 600</w:t>
            </w:r>
          </w:p>
        </w:tc>
        <w:tc>
          <w:tcPr>
            <w:tcW w:w="1270" w:type="dxa"/>
            <w:tcBorders>
              <w:top w:val="nil"/>
              <w:left w:val="nil"/>
              <w:bottom w:val="single" w:sz="4" w:space="0" w:color="auto"/>
              <w:right w:val="single" w:sz="4" w:space="0" w:color="auto"/>
            </w:tcBorders>
            <w:shd w:val="clear" w:color="auto" w:fill="C6EFCE"/>
            <w:noWrap/>
          </w:tcPr>
          <w:p w14:paraId="720F9C5A"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5BEE0A2D"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5609465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Ținta se referă la creșterea cu 20 % a volumului de pasageri care utilizează transportul public local în 2025 comparativ cu 2019. Acesta ar fi rezultatul creșterii numărului de vehicule destinate transportului public la nivel local, împreună cu măsurile de descurajare a utilizării vehiculelor private.</w:t>
            </w:r>
          </w:p>
        </w:tc>
      </w:tr>
      <w:tr w:rsidR="000A27B3" w:rsidRPr="000A27B3" w14:paraId="0302E76B"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5567AED9"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294</w:t>
            </w:r>
          </w:p>
        </w:tc>
        <w:tc>
          <w:tcPr>
            <w:tcW w:w="1569" w:type="dxa"/>
            <w:tcBorders>
              <w:top w:val="nil"/>
              <w:left w:val="nil"/>
              <w:bottom w:val="single" w:sz="4" w:space="0" w:color="auto"/>
              <w:right w:val="single" w:sz="4" w:space="0" w:color="auto"/>
            </w:tcBorders>
            <w:shd w:val="clear" w:color="auto" w:fill="C6EFCE"/>
            <w:noWrap/>
          </w:tcPr>
          <w:p w14:paraId="05AB9F6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Investiția 1. Mobilitate urbană durabilă </w:t>
            </w:r>
          </w:p>
        </w:tc>
        <w:tc>
          <w:tcPr>
            <w:tcW w:w="1182" w:type="dxa"/>
            <w:tcBorders>
              <w:top w:val="nil"/>
              <w:left w:val="nil"/>
              <w:bottom w:val="single" w:sz="4" w:space="0" w:color="auto"/>
              <w:right w:val="single" w:sz="4" w:space="0" w:color="auto"/>
            </w:tcBorders>
            <w:shd w:val="clear" w:color="auto" w:fill="C6EFCE"/>
            <w:noWrap/>
          </w:tcPr>
          <w:p w14:paraId="240E69AA"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11" w:type="dxa"/>
            <w:tcBorders>
              <w:top w:val="nil"/>
              <w:left w:val="nil"/>
              <w:bottom w:val="single" w:sz="4" w:space="0" w:color="auto"/>
              <w:right w:val="single" w:sz="4" w:space="0" w:color="auto"/>
            </w:tcBorders>
            <w:shd w:val="clear" w:color="auto" w:fill="C6EFCE"/>
            <w:noWrap/>
          </w:tcPr>
          <w:p w14:paraId="57F86A4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de contracte pentru reînnoirea parcurilor de vehicule de transport public (achiziționarea de vehicule nepoluante)</w:t>
            </w:r>
          </w:p>
        </w:tc>
        <w:tc>
          <w:tcPr>
            <w:tcW w:w="1701" w:type="dxa"/>
            <w:tcBorders>
              <w:top w:val="nil"/>
              <w:left w:val="nil"/>
              <w:bottom w:val="single" w:sz="4" w:space="0" w:color="auto"/>
              <w:right w:val="single" w:sz="4" w:space="0" w:color="auto"/>
            </w:tcBorders>
            <w:shd w:val="clear" w:color="auto" w:fill="C6EFCE"/>
            <w:noWrap/>
          </w:tcPr>
          <w:p w14:paraId="70124FF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275" w:type="dxa"/>
            <w:tcBorders>
              <w:top w:val="nil"/>
              <w:left w:val="nil"/>
              <w:bottom w:val="single" w:sz="4" w:space="0" w:color="auto"/>
              <w:right w:val="single" w:sz="4" w:space="0" w:color="auto"/>
            </w:tcBorders>
            <w:shd w:val="clear" w:color="auto" w:fill="C6EFCE"/>
            <w:noWrap/>
          </w:tcPr>
          <w:p w14:paraId="099230E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486A480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305962D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0" w:type="dxa"/>
            <w:tcBorders>
              <w:top w:val="nil"/>
              <w:left w:val="nil"/>
              <w:bottom w:val="single" w:sz="4" w:space="0" w:color="auto"/>
              <w:right w:val="single" w:sz="4" w:space="0" w:color="auto"/>
            </w:tcBorders>
            <w:shd w:val="clear" w:color="auto" w:fill="C6EFCE"/>
            <w:noWrap/>
          </w:tcPr>
          <w:p w14:paraId="7032DF4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p w14:paraId="6AAD6217"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1898F362"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3EBDC713"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118B00E4" w14:textId="77777777" w:rsidR="007873BE" w:rsidRPr="000A27B3" w:rsidRDefault="007873BE">
            <w:pPr>
              <w:spacing w:after="0" w:line="240" w:lineRule="auto"/>
              <w:jc w:val="center"/>
              <w:rPr>
                <w:rFonts w:ascii="Times New Roman" w:hAnsi="Times New Roman" w:cs="Times New Roman"/>
                <w:noProof/>
                <w:sz w:val="24"/>
                <w:szCs w:val="24"/>
                <w:lang w:val="en-GB"/>
              </w:rPr>
            </w:pPr>
          </w:p>
        </w:tc>
        <w:tc>
          <w:tcPr>
            <w:tcW w:w="709" w:type="dxa"/>
            <w:tcBorders>
              <w:top w:val="nil"/>
              <w:left w:val="nil"/>
              <w:bottom w:val="single" w:sz="4" w:space="0" w:color="auto"/>
              <w:right w:val="single" w:sz="4" w:space="0" w:color="auto"/>
            </w:tcBorders>
            <w:shd w:val="clear" w:color="auto" w:fill="C6EFCE"/>
            <w:noWrap/>
          </w:tcPr>
          <w:p w14:paraId="1CADEE4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p w14:paraId="579A6C76"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5A3FC8D3"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5C083E50"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434B5FF9" w14:textId="77777777" w:rsidR="007873BE" w:rsidRPr="000A27B3" w:rsidRDefault="007873BE">
            <w:pPr>
              <w:spacing w:after="0" w:line="240" w:lineRule="auto"/>
              <w:jc w:val="center"/>
              <w:rPr>
                <w:rFonts w:ascii="Times New Roman" w:hAnsi="Times New Roman" w:cs="Times New Roman"/>
                <w:noProof/>
                <w:sz w:val="24"/>
                <w:szCs w:val="24"/>
                <w:lang w:val="en-GB"/>
              </w:rPr>
            </w:pPr>
          </w:p>
        </w:tc>
        <w:tc>
          <w:tcPr>
            <w:tcW w:w="2987" w:type="dxa"/>
            <w:tcBorders>
              <w:top w:val="nil"/>
              <w:left w:val="nil"/>
              <w:bottom w:val="single" w:sz="4" w:space="0" w:color="auto"/>
              <w:right w:val="single" w:sz="4" w:space="0" w:color="auto"/>
            </w:tcBorders>
            <w:shd w:val="clear" w:color="auto" w:fill="C6EFCE"/>
            <w:noWrap/>
          </w:tcPr>
          <w:p w14:paraId="3DADB64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Schema de finanțare va stabili criteriile și condițiile care trebuie îndeplinite pentru finanțarea beneficiarilor care sunt selectați prin intermediul unei cereri de propuneri deschise și transparente, care va include, printre altele, următoarele specificații:</w:t>
            </w:r>
          </w:p>
          <w:p w14:paraId="4C36FEC3"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alinierea obligatorie a investițiilor la planul de mobilitate urbană durabilă/planul integrat de dezvoltare durabilă/planul urbanistic general aprobat sau în curs de elaborare; </w:t>
            </w:r>
          </w:p>
          <w:p w14:paraId="74D85C6C"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asigurarea acoperirii cu servicii de mobilitate în zona funcțională și periurbană. Asigurarea prioritizării și promovării transportului public în traficul local prin planificarea benzilor preferențiale și a benzilor de autobuz pe arterele cele mai frecventate/aglomerate;</w:t>
            </w:r>
          </w:p>
          <w:p w14:paraId="2B5E966B" w14:textId="09F1F90C"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deținerea unui contract de servicii publice cu operatori economici în conformitate cu dispozițiile Regulamentului (CE) nr. 1370/2007; </w:t>
            </w:r>
          </w:p>
          <w:p w14:paraId="66BD5206"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clasificarea obligatorie a vehiculelor achiziționate în conformitate cu dispozițiile Regulamentului (UE) privind siguranța generală (GSR) (2019/2144), care va intra în vigoare la 6 iulie 2022;</w:t>
            </w:r>
          </w:p>
          <w:p w14:paraId="08009124"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criterii pentru finanțarea exclusivă a vehiculelor cu emisii zero: autobuze, troleibuze cu motoare cu emisii zero sau cu baterii, tramvaie și microbuze. </w:t>
            </w:r>
          </w:p>
          <w:p w14:paraId="18CCC73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va acorda prioritate investițiilor realizate în zone urbane sau rurale funcționale. </w:t>
            </w:r>
          </w:p>
        </w:tc>
      </w:tr>
      <w:tr w:rsidR="000A27B3" w:rsidRPr="000A27B3" w14:paraId="07DFC257"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6615CDF2"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296</w:t>
            </w:r>
          </w:p>
        </w:tc>
        <w:tc>
          <w:tcPr>
            <w:tcW w:w="1569" w:type="dxa"/>
            <w:tcBorders>
              <w:top w:val="nil"/>
              <w:left w:val="nil"/>
              <w:bottom w:val="single" w:sz="4" w:space="0" w:color="auto"/>
              <w:right w:val="single" w:sz="4" w:space="0" w:color="auto"/>
            </w:tcBorders>
            <w:shd w:val="clear" w:color="auto" w:fill="C6EFCE"/>
            <w:noWrap/>
          </w:tcPr>
          <w:p w14:paraId="6D8AA00B"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7A2AABBF"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520BB20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Vehicule cu emisii zero suplimentare (autobuze, troleibuze cu motoare cu emisii zero sau cu baterii, tramvaie și microbuze) (număr de vehicule)</w:t>
            </w:r>
          </w:p>
        </w:tc>
        <w:tc>
          <w:tcPr>
            <w:tcW w:w="1701" w:type="dxa"/>
            <w:tcBorders>
              <w:top w:val="single" w:sz="4" w:space="0" w:color="auto"/>
              <w:left w:val="nil"/>
              <w:bottom w:val="single" w:sz="4" w:space="0" w:color="auto"/>
              <w:right w:val="single" w:sz="4" w:space="0" w:color="auto"/>
            </w:tcBorders>
            <w:shd w:val="clear" w:color="auto" w:fill="C6EFCE"/>
            <w:noWrap/>
          </w:tcPr>
          <w:p w14:paraId="25B88E5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5" w:type="dxa"/>
            <w:tcBorders>
              <w:top w:val="nil"/>
              <w:left w:val="nil"/>
              <w:bottom w:val="single" w:sz="4" w:space="0" w:color="auto"/>
              <w:right w:val="single" w:sz="4" w:space="0" w:color="auto"/>
            </w:tcBorders>
            <w:shd w:val="clear" w:color="auto" w:fill="C6EFCE"/>
            <w:noWrap/>
          </w:tcPr>
          <w:p w14:paraId="34390EAC"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76" w:type="dxa"/>
            <w:tcBorders>
              <w:top w:val="nil"/>
              <w:left w:val="nil"/>
              <w:bottom w:val="single" w:sz="4" w:space="0" w:color="auto"/>
              <w:right w:val="single" w:sz="4" w:space="0" w:color="auto"/>
            </w:tcBorders>
            <w:shd w:val="clear" w:color="auto" w:fill="C6EFCE"/>
            <w:noWrap/>
          </w:tcPr>
          <w:p w14:paraId="0BF4B461" w14:textId="08602AC8"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1 618</w:t>
            </w:r>
          </w:p>
          <w:p w14:paraId="45B8A330"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1276" w:type="dxa"/>
            <w:tcBorders>
              <w:top w:val="nil"/>
              <w:left w:val="nil"/>
              <w:bottom w:val="single" w:sz="4" w:space="0" w:color="auto"/>
              <w:right w:val="single" w:sz="4" w:space="0" w:color="auto"/>
            </w:tcBorders>
            <w:shd w:val="clear" w:color="auto" w:fill="C6EFCE"/>
            <w:noWrap/>
          </w:tcPr>
          <w:p w14:paraId="575939E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2 753</w:t>
            </w:r>
          </w:p>
        </w:tc>
        <w:tc>
          <w:tcPr>
            <w:tcW w:w="1270" w:type="dxa"/>
            <w:tcBorders>
              <w:top w:val="nil"/>
              <w:left w:val="nil"/>
              <w:bottom w:val="single" w:sz="4" w:space="0" w:color="auto"/>
              <w:right w:val="single" w:sz="4" w:space="0" w:color="auto"/>
            </w:tcBorders>
            <w:shd w:val="clear" w:color="auto" w:fill="C6EFCE"/>
            <w:noWrap/>
          </w:tcPr>
          <w:p w14:paraId="150E7DF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6802ADD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49D4E847" w14:textId="2723DDDF"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Ținta se referă la numărul de vehicule cu emisii zero suplimentare aflate în funcțiune în zonele urbane (inclusiv microbuzele care ar putea fi achiziționate și pentru zonele rurale): numărul de autobuze, tramvaie, troleibuze cu motoare cu emisii zero sau cu baterii și microbuze – 1 135 de vehicule nepoluante noi cu emisii zero de gaze de eșapament (200 de autobuze; autobuze electrice/hidrogen 12-18 m, 515 autobuze electrice/hidrogen 10 m, 50</w:t>
            </w:r>
            <w:r w:rsidR="00B61E33">
              <w:rPr>
                <w:rFonts w:ascii="Times New Roman" w:hAnsi="Times New Roman"/>
                <w:noProof/>
                <w:sz w:val="24"/>
              </w:rPr>
              <w:t> </w:t>
            </w:r>
            <w:r>
              <w:rPr>
                <w:rFonts w:ascii="Times New Roman" w:hAnsi="Times New Roman"/>
                <w:noProof/>
                <w:sz w:val="24"/>
              </w:rPr>
              <w:t xml:space="preserve">de tramvaie, 50 de bucăți; troleibuze 12-18 m, 320 de microbuze electrice/hidrogen). </w:t>
            </w:r>
          </w:p>
        </w:tc>
      </w:tr>
      <w:tr w:rsidR="000A27B3" w:rsidRPr="000A27B3" w14:paraId="30259611"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2E2F2F3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297</w:t>
            </w:r>
          </w:p>
        </w:tc>
        <w:tc>
          <w:tcPr>
            <w:tcW w:w="1569" w:type="dxa"/>
            <w:tcBorders>
              <w:top w:val="nil"/>
              <w:left w:val="nil"/>
              <w:bottom w:val="single" w:sz="4" w:space="0" w:color="auto"/>
              <w:right w:val="single" w:sz="4" w:space="0" w:color="auto"/>
            </w:tcBorders>
            <w:shd w:val="clear" w:color="auto" w:fill="C6EFCE"/>
            <w:noWrap/>
          </w:tcPr>
          <w:p w14:paraId="63331FE1"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3B5ADED8"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2823D1B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Creșterea ponderii călătoriilor în unitățile administrativ-teritoriale cu servicii de transport public local care utilizează vehicule cu emisii zero (autobuze, troleibuze cu motoare cu emisii zero sau cu baterii, tramvaie) comparativ cu 2019</w:t>
            </w:r>
          </w:p>
        </w:tc>
        <w:tc>
          <w:tcPr>
            <w:tcW w:w="1701" w:type="dxa"/>
            <w:tcBorders>
              <w:top w:val="nil"/>
              <w:left w:val="nil"/>
              <w:bottom w:val="single" w:sz="4" w:space="0" w:color="auto"/>
              <w:right w:val="single" w:sz="4" w:space="0" w:color="auto"/>
            </w:tcBorders>
            <w:shd w:val="clear" w:color="auto" w:fill="C6EFCE"/>
            <w:noWrap/>
          </w:tcPr>
          <w:p w14:paraId="0131641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5" w:type="dxa"/>
            <w:tcBorders>
              <w:top w:val="nil"/>
              <w:left w:val="nil"/>
              <w:bottom w:val="single" w:sz="4" w:space="0" w:color="auto"/>
              <w:right w:val="single" w:sz="4" w:space="0" w:color="auto"/>
            </w:tcBorders>
            <w:shd w:val="clear" w:color="auto" w:fill="C6EFCE"/>
            <w:noWrap/>
          </w:tcPr>
          <w:p w14:paraId="5ED9EE45" w14:textId="77777777" w:rsidR="007873BE" w:rsidRPr="000A27B3" w:rsidRDefault="007873BE">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6996A914" w14:textId="77777777" w:rsidR="007873BE" w:rsidRPr="000A27B3" w:rsidRDefault="007873BE">
            <w:pPr>
              <w:spacing w:after="0" w:line="240" w:lineRule="auto"/>
              <w:rPr>
                <w:rFonts w:ascii="Times New Roman" w:hAnsi="Times New Roman" w:cs="Times New Roman"/>
                <w:noProof/>
                <w:sz w:val="24"/>
                <w:szCs w:val="24"/>
                <w:lang w:val="en-GB"/>
              </w:rPr>
            </w:pPr>
          </w:p>
        </w:tc>
        <w:tc>
          <w:tcPr>
            <w:tcW w:w="1276" w:type="dxa"/>
            <w:tcBorders>
              <w:top w:val="nil"/>
              <w:left w:val="nil"/>
              <w:bottom w:val="single" w:sz="4" w:space="0" w:color="auto"/>
              <w:right w:val="single" w:sz="4" w:space="0" w:color="auto"/>
            </w:tcBorders>
            <w:shd w:val="clear" w:color="auto" w:fill="C6EFCE"/>
            <w:noWrap/>
          </w:tcPr>
          <w:p w14:paraId="53E14BA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45,4 % [2019]</w:t>
            </w:r>
          </w:p>
        </w:tc>
        <w:tc>
          <w:tcPr>
            <w:tcW w:w="1276" w:type="dxa"/>
            <w:tcBorders>
              <w:top w:val="nil"/>
              <w:left w:val="nil"/>
              <w:bottom w:val="single" w:sz="4" w:space="0" w:color="auto"/>
              <w:right w:val="single" w:sz="4" w:space="0" w:color="auto"/>
            </w:tcBorders>
            <w:shd w:val="clear" w:color="auto" w:fill="C6EFCE"/>
            <w:noWrap/>
          </w:tcPr>
          <w:p w14:paraId="0520AC1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60 %</w:t>
            </w:r>
          </w:p>
        </w:tc>
        <w:tc>
          <w:tcPr>
            <w:tcW w:w="1270" w:type="dxa"/>
            <w:tcBorders>
              <w:top w:val="nil"/>
              <w:left w:val="nil"/>
              <w:bottom w:val="single" w:sz="4" w:space="0" w:color="auto"/>
              <w:right w:val="single" w:sz="4" w:space="0" w:color="auto"/>
            </w:tcBorders>
            <w:shd w:val="clear" w:color="auto" w:fill="C6EFCE"/>
            <w:noWrap/>
          </w:tcPr>
          <w:p w14:paraId="51761D4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3B4E3ED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43CD2587" w14:textId="77777777" w:rsidR="007873BE" w:rsidRPr="000A27B3" w:rsidRDefault="007873BE">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Ținta se referă la procentul de călătorii cu transport public cu emisii zero la nivel local din totalul călătoriilor cu transportul public local (60 % în 2025 față de 45,4 % în 2019). </w:t>
            </w:r>
          </w:p>
        </w:tc>
      </w:tr>
      <w:tr w:rsidR="000A27B3" w:rsidRPr="000A27B3" w14:paraId="2CB66AB4"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2CFAE4D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298</w:t>
            </w:r>
          </w:p>
        </w:tc>
        <w:tc>
          <w:tcPr>
            <w:tcW w:w="1569" w:type="dxa"/>
            <w:tcBorders>
              <w:top w:val="nil"/>
              <w:left w:val="nil"/>
              <w:bottom w:val="single" w:sz="4" w:space="0" w:color="auto"/>
              <w:right w:val="single" w:sz="4" w:space="0" w:color="auto"/>
            </w:tcBorders>
            <w:shd w:val="clear" w:color="auto" w:fill="C6EFCE"/>
            <w:noWrap/>
          </w:tcPr>
          <w:p w14:paraId="3029DDB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512B14D0"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11" w:type="dxa"/>
            <w:tcBorders>
              <w:top w:val="nil"/>
              <w:left w:val="nil"/>
              <w:bottom w:val="single" w:sz="4" w:space="0" w:color="auto"/>
              <w:right w:val="single" w:sz="4" w:space="0" w:color="auto"/>
            </w:tcBorders>
            <w:shd w:val="clear" w:color="auto" w:fill="C6EFCE"/>
            <w:noWrap/>
          </w:tcPr>
          <w:p w14:paraId="7CCA41E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furnizarea STI/alte infrastructuri TIC</w:t>
            </w:r>
          </w:p>
        </w:tc>
        <w:tc>
          <w:tcPr>
            <w:tcW w:w="1701" w:type="dxa"/>
            <w:tcBorders>
              <w:top w:val="single" w:sz="4" w:space="0" w:color="auto"/>
              <w:left w:val="nil"/>
              <w:bottom w:val="single" w:sz="4" w:space="0" w:color="auto"/>
              <w:right w:val="single" w:sz="4" w:space="0" w:color="auto"/>
            </w:tcBorders>
            <w:shd w:val="clear" w:color="auto" w:fill="C6EFCE"/>
            <w:noWrap/>
          </w:tcPr>
          <w:p w14:paraId="764F530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275" w:type="dxa"/>
            <w:tcBorders>
              <w:top w:val="nil"/>
              <w:left w:val="nil"/>
              <w:bottom w:val="single" w:sz="4" w:space="0" w:color="auto"/>
              <w:right w:val="single" w:sz="4" w:space="0" w:color="auto"/>
            </w:tcBorders>
            <w:shd w:val="clear" w:color="auto" w:fill="C6EFCE"/>
            <w:noWrap/>
          </w:tcPr>
          <w:p w14:paraId="5C30DCD4"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59948E2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331E3F8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0" w:type="dxa"/>
            <w:tcBorders>
              <w:top w:val="nil"/>
              <w:left w:val="nil"/>
              <w:bottom w:val="single" w:sz="4" w:space="0" w:color="auto"/>
              <w:right w:val="single" w:sz="4" w:space="0" w:color="auto"/>
            </w:tcBorders>
            <w:shd w:val="clear" w:color="auto" w:fill="C6EFCE"/>
            <w:noWrap/>
          </w:tcPr>
          <w:p w14:paraId="2A78750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p w14:paraId="6A2DD2CC"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709" w:type="dxa"/>
            <w:tcBorders>
              <w:top w:val="nil"/>
              <w:left w:val="nil"/>
              <w:bottom w:val="single" w:sz="4" w:space="0" w:color="auto"/>
              <w:right w:val="single" w:sz="4" w:space="0" w:color="auto"/>
            </w:tcBorders>
            <w:shd w:val="clear" w:color="auto" w:fill="C6EFCE"/>
            <w:noWrap/>
          </w:tcPr>
          <w:p w14:paraId="7AFCCCB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2987" w:type="dxa"/>
            <w:tcBorders>
              <w:top w:val="nil"/>
              <w:left w:val="nil"/>
              <w:bottom w:val="single" w:sz="4" w:space="0" w:color="auto"/>
              <w:right w:val="single" w:sz="4" w:space="0" w:color="auto"/>
            </w:tcBorders>
            <w:shd w:val="clear" w:color="auto" w:fill="C6EFCE"/>
            <w:noWrap/>
          </w:tcPr>
          <w:p w14:paraId="4F46D5A2"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Schema va stabili criteriile și condițiile care trebuie îndeplinite pentru finanțarea beneficiarilor ce vor fi selectați prin intermediul unei cereri de propuneri deschise și transparente, care va include, printre altele, următoarele specificații:</w:t>
            </w:r>
          </w:p>
          <w:p w14:paraId="6B7E8E93"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alinierea obligatorie a investițiilor la planul de mobilitate urbană durabilă/planul integrat de dezvoltare durabilă/planul urbanistic general aprobat; </w:t>
            </w:r>
          </w:p>
          <w:p w14:paraId="71309EBA"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asigurarea acoperirii cu servicii de mobilitate în zona funcțională și periurbană. Asigurarea prioritizării și promovării transportului public în traficul local prin planificarea benzilor preferențiale și a benzilor de autobuz pe arterele cele mai frecventate/aglomerate.</w:t>
            </w:r>
          </w:p>
          <w:p w14:paraId="71463330" w14:textId="77777777" w:rsidR="007873BE" w:rsidRPr="000A27B3" w:rsidRDefault="007873BE">
            <w:pPr>
              <w:spacing w:after="0"/>
              <w:jc w:val="both"/>
              <w:rPr>
                <w:rFonts w:ascii="Times New Roman" w:eastAsia="Times New Roman" w:hAnsi="Times New Roman" w:cs="Times New Roman"/>
                <w:noProof/>
                <w:sz w:val="24"/>
                <w:szCs w:val="24"/>
              </w:rPr>
            </w:pPr>
            <w:r>
              <w:rPr>
                <w:rFonts w:ascii="Times New Roman" w:hAnsi="Times New Roman"/>
                <w:noProof/>
                <w:sz w:val="24"/>
              </w:rPr>
              <w:t>Următoarele acțiuni vor fi eligibile în cadrul sistemelor de transport inteligente (în conformitate cu domeniul de intervenție 076 – Digitalizarea transportului urban)</w:t>
            </w:r>
          </w:p>
          <w:p w14:paraId="2D26AEC0"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Gestionarea inteligentă a traficului</w:t>
            </w:r>
          </w:p>
          <w:p w14:paraId="400ACE65"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Soluții de taxare</w:t>
            </w:r>
          </w:p>
          <w:p w14:paraId="799CDFF0"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Soluții integrate de parcare inteligentă</w:t>
            </w:r>
          </w:p>
          <w:p w14:paraId="124805EF"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Centre de control al traficului </w:t>
            </w:r>
          </w:p>
          <w:p w14:paraId="70184C28"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Sisteme de avertizare privind adaptarea vitezei</w:t>
            </w:r>
          </w:p>
          <w:p w14:paraId="6F2E8C6B"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Sisteme de siguranță pentru zona de lucru</w:t>
            </w:r>
          </w:p>
          <w:p w14:paraId="67CDE8AB"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Sistem de semaforizare interconectat</w:t>
            </w:r>
          </w:p>
          <w:p w14:paraId="6163D571"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Monitorizarea timpilor și a vitezei de călătorie</w:t>
            </w:r>
          </w:p>
          <w:p w14:paraId="4E002A6A"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Sisteme de cântărire în mișcare</w:t>
            </w:r>
          </w:p>
          <w:p w14:paraId="77680097"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Semnal de prioritate pentru utilizarea vehiculelor de urgență</w:t>
            </w:r>
          </w:p>
          <w:p w14:paraId="6BEBAA1F"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Panouri cu mesaje dinamice</w:t>
            </w:r>
          </w:p>
          <w:p w14:paraId="4AEA5E79"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Planificator de călătorii pentru transportul public</w:t>
            </w:r>
          </w:p>
          <w:p w14:paraId="1C372180"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Sisteme integrate de informare a pasagerilor</w:t>
            </w:r>
          </w:p>
          <w:p w14:paraId="0A0CE14D" w14:textId="77777777" w:rsidR="007873BE" w:rsidRPr="000A27B3" w:rsidRDefault="007873BE">
            <w:pPr>
              <w:contextualSpacing/>
              <w:jc w:val="both"/>
              <w:rPr>
                <w:rFonts w:ascii="Times New Roman" w:eastAsia="Times New Roman" w:hAnsi="Times New Roman" w:cs="Times New Roman"/>
                <w:noProof/>
                <w:sz w:val="24"/>
                <w:szCs w:val="24"/>
              </w:rPr>
            </w:pPr>
            <w:r>
              <w:rPr>
                <w:rFonts w:ascii="Times New Roman" w:hAnsi="Times New Roman"/>
                <w:noProof/>
                <w:sz w:val="24"/>
              </w:rPr>
              <w:t>Alte tipuri de infrastructuri TIC (în orașe și municipii) – conceptul „Smart City/Smart Village” (oraș inteligent/sat inteligent) va fi, de asemenea, eligibil în ceea ce privește evoluțiile tehnologice (în concordanță cu domeniul de intervenție 021b Dezvoltarea de servicii și structuri de sprijin foarte specializate pentru administrațiile publice și întreprinderi ), cum ar fi:</w:t>
            </w:r>
            <w:r>
              <w:rPr>
                <w:noProof/>
              </w:rPr>
              <w:tab/>
            </w:r>
          </w:p>
          <w:p w14:paraId="2B2C0A7C"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Utilizarea dronelor pentru inspectarea zonelor sau a situațiilor de risc (zone montane) </w:t>
            </w:r>
          </w:p>
          <w:p w14:paraId="539B03C6"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Centru de monitorizare a situației în timp real din oraș</w:t>
            </w:r>
          </w:p>
          <w:p w14:paraId="7CEC9CC4"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Sisteme inteligente de gestionare a sistemelor spațiale verzi </w:t>
            </w:r>
          </w:p>
          <w:p w14:paraId="1C47033E"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Extinderea sistemului WiFi în spațiile publice </w:t>
            </w:r>
          </w:p>
          <w:p w14:paraId="6B5414B2"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Mobilier urban inteligent </w:t>
            </w:r>
          </w:p>
          <w:p w14:paraId="13AAF331"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Sistem de monitorizare și siguranță a spațiului public </w:t>
            </w:r>
          </w:p>
          <w:p w14:paraId="20406277"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Valorificarea obiectivelor de patrimoniu prin digitalizare sau reconstrucție digitală </w:t>
            </w:r>
          </w:p>
          <w:p w14:paraId="610E2387"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„Ghișeu unic” pentru întreprinderi </w:t>
            </w:r>
          </w:p>
          <w:p w14:paraId="7675EA00"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Platformă pentru atragerea investițiilor </w:t>
            </w:r>
          </w:p>
          <w:p w14:paraId="249EFAC9"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Platformă de comunicare cu cetățenii și de formare a inițiativelor comunitare</w:t>
            </w:r>
          </w:p>
          <w:p w14:paraId="0207C35F"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Centre de inovare ale comunităților locale</w:t>
            </w:r>
          </w:p>
          <w:p w14:paraId="7EDEB886"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Dezvoltarea sau modernizarea infrastructurii de educație și formare profesională </w:t>
            </w:r>
          </w:p>
          <w:p w14:paraId="4159E28B"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Digitalizarea sistemului de învățământ </w:t>
            </w:r>
          </w:p>
          <w:p w14:paraId="3054D4A0"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Baze de date GIS metropolitane </w:t>
            </w:r>
          </w:p>
          <w:p w14:paraId="416DC7B4"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Platformă de date deschise </w:t>
            </w:r>
          </w:p>
          <w:p w14:paraId="2B932C78"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Funcționar public virtual </w:t>
            </w:r>
          </w:p>
          <w:p w14:paraId="481DB689"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Servicii de cloud </w:t>
            </w:r>
          </w:p>
          <w:p w14:paraId="36F06F6D"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Platformă de servicii publice digitale </w:t>
            </w:r>
          </w:p>
          <w:p w14:paraId="40EF7147"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Sisteme de înregistrare și de eliberare a documentelor </w:t>
            </w:r>
          </w:p>
          <w:p w14:paraId="3CD991FA"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Centru de date urbane și monitorizarea în timp real a stării orașului </w:t>
            </w:r>
          </w:p>
          <w:p w14:paraId="01C1EDDB"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Aplicație pentru orașe (aplicație de informare a cetățenilor și de identificare a problemelor la nivel local) </w:t>
            </w:r>
          </w:p>
          <w:p w14:paraId="07CE895C"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Plata online a impozitelor </w:t>
            </w:r>
          </w:p>
          <w:p w14:paraId="197834A4"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Sistem de planificare online – site internet care le permite cetățenilor să se înregistreze online la diferite birouri APL </w:t>
            </w:r>
          </w:p>
          <w:p w14:paraId="3388341D"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Chioșcuri de informare pentru serviciile publice </w:t>
            </w:r>
          </w:p>
          <w:p w14:paraId="0B43FE23"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Platformă online și/sau aplicație mobilă pentru cartografierea consumului de energie la nivel de cartier sau de oraș </w:t>
            </w:r>
          </w:p>
          <w:p w14:paraId="4A794C62"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Rețea de electricitate inteligentă care poate fi implementată în diferite zone cu locuințe colective (rețea inteligentă) </w:t>
            </w:r>
          </w:p>
          <w:p w14:paraId="2A742E9F"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Automatizarea sistemelor de irigații pentru spațiile verzi</w:t>
            </w:r>
          </w:p>
          <w:p w14:paraId="462D51D8" w14:textId="77777777" w:rsidR="007873BE" w:rsidRPr="000A27B3" w:rsidRDefault="007873BE" w:rsidP="007873BE">
            <w:pPr>
              <w:numPr>
                <w:ilvl w:val="0"/>
                <w:numId w:val="81"/>
              </w:numPr>
              <w:spacing w:after="0" w:line="240" w:lineRule="auto"/>
              <w:ind w:left="144" w:hanging="144"/>
              <w:jc w:val="both"/>
              <w:rPr>
                <w:rFonts w:ascii="Times New Roman" w:hAnsi="Times New Roman" w:cs="Times New Roman"/>
                <w:noProof/>
                <w:sz w:val="24"/>
              </w:rPr>
            </w:pPr>
            <w:r>
              <w:rPr>
                <w:rFonts w:ascii="Times New Roman" w:hAnsi="Times New Roman"/>
                <w:noProof/>
                <w:sz w:val="24"/>
              </w:rPr>
              <w:t>Infrastructură de salubrizare „inteligentă”</w:t>
            </w:r>
          </w:p>
          <w:p w14:paraId="53A99B44" w14:textId="77777777" w:rsidR="007873BE" w:rsidRPr="000A27B3" w:rsidRDefault="007873BE" w:rsidP="007873BE">
            <w:pPr>
              <w:numPr>
                <w:ilvl w:val="0"/>
                <w:numId w:val="81"/>
              </w:numPr>
              <w:spacing w:after="0" w:line="240" w:lineRule="auto"/>
              <w:ind w:left="144" w:hanging="144"/>
              <w:jc w:val="both"/>
              <w:rPr>
                <w:rFonts w:ascii="Times New Roman" w:eastAsia="Times New Roman" w:hAnsi="Times New Roman" w:cs="Times New Roman"/>
                <w:noProof/>
                <w:sz w:val="24"/>
                <w:szCs w:val="20"/>
              </w:rPr>
            </w:pPr>
            <w:r>
              <w:rPr>
                <w:rFonts w:ascii="Times New Roman" w:hAnsi="Times New Roman"/>
                <w:noProof/>
                <w:sz w:val="24"/>
              </w:rPr>
              <w:t>Monitorizare în timp real a stării infrastructurii tehnice și municipale și a consumului.</w:t>
            </w:r>
          </w:p>
        </w:tc>
      </w:tr>
      <w:tr w:rsidR="000A27B3" w:rsidRPr="000A27B3" w14:paraId="04276B7C"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6D283D8D"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299</w:t>
            </w:r>
          </w:p>
        </w:tc>
        <w:tc>
          <w:tcPr>
            <w:tcW w:w="1569" w:type="dxa"/>
            <w:tcBorders>
              <w:top w:val="nil"/>
              <w:left w:val="nil"/>
              <w:bottom w:val="single" w:sz="4" w:space="0" w:color="auto"/>
              <w:right w:val="single" w:sz="4" w:space="0" w:color="auto"/>
            </w:tcBorders>
            <w:shd w:val="clear" w:color="auto" w:fill="C6EFCE"/>
            <w:noWrap/>
          </w:tcPr>
          <w:p w14:paraId="3BCE32F9"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708651E5"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6C00BD6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Unități administrativ-teritoriale cu sisteme operaționale dezvoltate/extinse – sisteme de transport inteligente și e-ticketing/alte infrastructuri TIC</w:t>
            </w:r>
          </w:p>
        </w:tc>
        <w:tc>
          <w:tcPr>
            <w:tcW w:w="1701" w:type="dxa"/>
            <w:tcBorders>
              <w:top w:val="nil"/>
              <w:left w:val="nil"/>
              <w:bottom w:val="single" w:sz="4" w:space="0" w:color="auto"/>
              <w:right w:val="single" w:sz="4" w:space="0" w:color="auto"/>
            </w:tcBorders>
            <w:shd w:val="clear" w:color="auto" w:fill="C6EFCE"/>
            <w:noWrap/>
          </w:tcPr>
          <w:p w14:paraId="736F9C3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5" w:type="dxa"/>
            <w:tcBorders>
              <w:top w:val="nil"/>
              <w:left w:val="nil"/>
              <w:bottom w:val="single" w:sz="4" w:space="0" w:color="auto"/>
              <w:right w:val="single" w:sz="4" w:space="0" w:color="auto"/>
            </w:tcBorders>
            <w:shd w:val="clear" w:color="auto" w:fill="C6EFCE"/>
            <w:noWrap/>
          </w:tcPr>
          <w:p w14:paraId="1BC7FA6A"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76" w:type="dxa"/>
            <w:tcBorders>
              <w:top w:val="nil"/>
              <w:left w:val="nil"/>
              <w:bottom w:val="single" w:sz="4" w:space="0" w:color="auto"/>
              <w:right w:val="single" w:sz="4" w:space="0" w:color="auto"/>
            </w:tcBorders>
            <w:shd w:val="clear" w:color="auto" w:fill="C6EFCE"/>
            <w:noWrap/>
          </w:tcPr>
          <w:p w14:paraId="61DE7CA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0</w:t>
            </w:r>
          </w:p>
        </w:tc>
        <w:tc>
          <w:tcPr>
            <w:tcW w:w="1276" w:type="dxa"/>
            <w:tcBorders>
              <w:top w:val="nil"/>
              <w:left w:val="nil"/>
              <w:bottom w:val="single" w:sz="4" w:space="0" w:color="auto"/>
              <w:right w:val="single" w:sz="4" w:space="0" w:color="auto"/>
            </w:tcBorders>
            <w:shd w:val="clear" w:color="auto" w:fill="C6EFCE"/>
            <w:noWrap/>
          </w:tcPr>
          <w:p w14:paraId="2F615C8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246</w:t>
            </w:r>
          </w:p>
        </w:tc>
        <w:tc>
          <w:tcPr>
            <w:tcW w:w="1270" w:type="dxa"/>
            <w:tcBorders>
              <w:top w:val="nil"/>
              <w:left w:val="nil"/>
              <w:bottom w:val="single" w:sz="4" w:space="0" w:color="auto"/>
              <w:right w:val="single" w:sz="4" w:space="0" w:color="auto"/>
            </w:tcBorders>
            <w:shd w:val="clear" w:color="auto" w:fill="C6EFCE"/>
            <w:noWrap/>
          </w:tcPr>
          <w:p w14:paraId="4527678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09" w:type="dxa"/>
            <w:tcBorders>
              <w:top w:val="nil"/>
              <w:left w:val="nil"/>
              <w:bottom w:val="single" w:sz="4" w:space="0" w:color="auto"/>
              <w:right w:val="single" w:sz="4" w:space="0" w:color="auto"/>
            </w:tcBorders>
            <w:shd w:val="clear" w:color="auto" w:fill="C6EFCE"/>
            <w:noWrap/>
          </w:tcPr>
          <w:p w14:paraId="13BC9B7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987" w:type="dxa"/>
            <w:tcBorders>
              <w:top w:val="nil"/>
              <w:left w:val="nil"/>
              <w:bottom w:val="single" w:sz="4" w:space="0" w:color="auto"/>
              <w:right w:val="single" w:sz="4" w:space="0" w:color="auto"/>
            </w:tcBorders>
            <w:shd w:val="clear" w:color="auto" w:fill="C6EFCE"/>
            <w:noWrap/>
          </w:tcPr>
          <w:p w14:paraId="45A5C94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Numărul de unități administrativ-teritoriale cu sisteme operaționale dezvoltate/extinse – sisteme de transport inteligente și e-ticketing/alte infrastructuri TIC, în conformitate cu cerințele prevăzute în cadrul jalonului 298</w:t>
            </w:r>
          </w:p>
        </w:tc>
      </w:tr>
      <w:tr w:rsidR="000A27B3" w:rsidRPr="000A27B3" w14:paraId="670145D8"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77531A7B"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300</w:t>
            </w:r>
          </w:p>
        </w:tc>
        <w:tc>
          <w:tcPr>
            <w:tcW w:w="1569" w:type="dxa"/>
            <w:tcBorders>
              <w:top w:val="nil"/>
              <w:left w:val="nil"/>
              <w:bottom w:val="single" w:sz="4" w:space="0" w:color="auto"/>
              <w:right w:val="single" w:sz="4" w:space="0" w:color="auto"/>
            </w:tcBorders>
            <w:shd w:val="clear" w:color="auto" w:fill="C6EFCE"/>
            <w:noWrap/>
          </w:tcPr>
          <w:p w14:paraId="4A2BE7DB"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116A8A1D"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3F412DF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Unități administrativ-teritoriale cu sisteme operaționale dezvoltate/extinse – sisteme de transport inteligente și e-ticketing/alte infrastructuri TIC</w:t>
            </w:r>
          </w:p>
        </w:tc>
        <w:tc>
          <w:tcPr>
            <w:tcW w:w="1701" w:type="dxa"/>
            <w:tcBorders>
              <w:top w:val="single" w:sz="4" w:space="0" w:color="auto"/>
              <w:left w:val="nil"/>
              <w:bottom w:val="single" w:sz="4" w:space="0" w:color="auto"/>
              <w:right w:val="single" w:sz="4" w:space="0" w:color="auto"/>
            </w:tcBorders>
            <w:shd w:val="clear" w:color="auto" w:fill="C6EFCE"/>
            <w:noWrap/>
          </w:tcPr>
          <w:p w14:paraId="428C1AE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5" w:type="dxa"/>
            <w:tcBorders>
              <w:top w:val="nil"/>
              <w:left w:val="nil"/>
              <w:bottom w:val="single" w:sz="4" w:space="0" w:color="auto"/>
              <w:right w:val="single" w:sz="4" w:space="0" w:color="auto"/>
            </w:tcBorders>
            <w:shd w:val="clear" w:color="auto" w:fill="C6EFCE"/>
            <w:noWrap/>
          </w:tcPr>
          <w:p w14:paraId="13F07A57"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76" w:type="dxa"/>
            <w:tcBorders>
              <w:top w:val="nil"/>
              <w:left w:val="nil"/>
              <w:bottom w:val="single" w:sz="4" w:space="0" w:color="auto"/>
              <w:right w:val="single" w:sz="4" w:space="0" w:color="auto"/>
            </w:tcBorders>
            <w:shd w:val="clear" w:color="auto" w:fill="C6EFCE"/>
            <w:noWrap/>
          </w:tcPr>
          <w:p w14:paraId="0B92297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246</w:t>
            </w:r>
          </w:p>
        </w:tc>
        <w:tc>
          <w:tcPr>
            <w:tcW w:w="1276" w:type="dxa"/>
            <w:tcBorders>
              <w:top w:val="nil"/>
              <w:left w:val="nil"/>
              <w:bottom w:val="single" w:sz="4" w:space="0" w:color="auto"/>
              <w:right w:val="single" w:sz="4" w:space="0" w:color="auto"/>
            </w:tcBorders>
            <w:shd w:val="clear" w:color="auto" w:fill="C6EFCE"/>
            <w:noWrap/>
          </w:tcPr>
          <w:p w14:paraId="014D3CC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491</w:t>
            </w:r>
          </w:p>
        </w:tc>
        <w:tc>
          <w:tcPr>
            <w:tcW w:w="1270" w:type="dxa"/>
            <w:tcBorders>
              <w:top w:val="nil"/>
              <w:left w:val="nil"/>
              <w:bottom w:val="single" w:sz="4" w:space="0" w:color="auto"/>
              <w:right w:val="single" w:sz="4" w:space="0" w:color="auto"/>
            </w:tcBorders>
            <w:shd w:val="clear" w:color="auto" w:fill="C6EFCE"/>
            <w:noWrap/>
          </w:tcPr>
          <w:p w14:paraId="0B217EE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1F0D366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58EC3F3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Numărul de unități administrativ-teritoriale cu sisteme operaționale dezvoltate/extinse – sisteme de transport inteligente și e-ticketing/alte infrastructuri TIC, în conformitate cu cerințele prevăzute în cadrul jalonului 298</w:t>
            </w:r>
          </w:p>
          <w:p w14:paraId="7A4292A9" w14:textId="77777777" w:rsidR="007873BE" w:rsidRPr="009F1DC7" w:rsidRDefault="007873BE">
            <w:pPr>
              <w:spacing w:after="0" w:line="240" w:lineRule="auto"/>
              <w:jc w:val="both"/>
              <w:rPr>
                <w:rFonts w:ascii="Times New Roman" w:hAnsi="Times New Roman" w:cs="Times New Roman"/>
                <w:noProof/>
                <w:sz w:val="24"/>
                <w:szCs w:val="24"/>
              </w:rPr>
            </w:pPr>
          </w:p>
        </w:tc>
      </w:tr>
      <w:tr w:rsidR="000A27B3" w:rsidRPr="000A27B3" w14:paraId="62F8D5DB"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36E1516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301</w:t>
            </w:r>
          </w:p>
        </w:tc>
        <w:tc>
          <w:tcPr>
            <w:tcW w:w="1569" w:type="dxa"/>
            <w:tcBorders>
              <w:top w:val="nil"/>
              <w:left w:val="nil"/>
              <w:bottom w:val="single" w:sz="4" w:space="0" w:color="auto"/>
              <w:right w:val="single" w:sz="4" w:space="0" w:color="auto"/>
            </w:tcBorders>
            <w:shd w:val="clear" w:color="auto" w:fill="C6EFCE"/>
            <w:noWrap/>
          </w:tcPr>
          <w:p w14:paraId="7CFC9F67"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027C1B19"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411" w:type="dxa"/>
            <w:tcBorders>
              <w:top w:val="nil"/>
              <w:left w:val="nil"/>
              <w:bottom w:val="single" w:sz="4" w:space="0" w:color="auto"/>
              <w:right w:val="single" w:sz="4" w:space="0" w:color="auto"/>
            </w:tcBorders>
            <w:shd w:val="clear" w:color="auto" w:fill="C6EFCE"/>
            <w:noWrap/>
          </w:tcPr>
          <w:p w14:paraId="6E28381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construirea de puncte de reîncărcare pentru vehicule electrice</w:t>
            </w:r>
          </w:p>
        </w:tc>
        <w:tc>
          <w:tcPr>
            <w:tcW w:w="1701" w:type="dxa"/>
            <w:tcBorders>
              <w:top w:val="single" w:sz="4" w:space="0" w:color="auto"/>
              <w:left w:val="nil"/>
              <w:bottom w:val="single" w:sz="4" w:space="0" w:color="auto"/>
              <w:right w:val="single" w:sz="4" w:space="0" w:color="auto"/>
            </w:tcBorders>
            <w:shd w:val="clear" w:color="auto" w:fill="C6EFCE"/>
            <w:noWrap/>
          </w:tcPr>
          <w:p w14:paraId="17FDACE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275" w:type="dxa"/>
            <w:tcBorders>
              <w:top w:val="nil"/>
              <w:left w:val="nil"/>
              <w:bottom w:val="single" w:sz="4" w:space="0" w:color="auto"/>
              <w:right w:val="single" w:sz="4" w:space="0" w:color="auto"/>
            </w:tcBorders>
            <w:shd w:val="clear" w:color="auto" w:fill="C6EFCE"/>
            <w:noWrap/>
          </w:tcPr>
          <w:p w14:paraId="79DF9201"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10F11A0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6" w:type="dxa"/>
            <w:tcBorders>
              <w:top w:val="nil"/>
              <w:left w:val="nil"/>
              <w:bottom w:val="single" w:sz="4" w:space="0" w:color="auto"/>
              <w:right w:val="single" w:sz="4" w:space="0" w:color="auto"/>
            </w:tcBorders>
            <w:shd w:val="clear" w:color="auto" w:fill="C6EFCE"/>
            <w:noWrap/>
          </w:tcPr>
          <w:p w14:paraId="0C7FC36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70" w:type="dxa"/>
            <w:tcBorders>
              <w:top w:val="nil"/>
              <w:left w:val="nil"/>
              <w:bottom w:val="single" w:sz="4" w:space="0" w:color="auto"/>
              <w:right w:val="single" w:sz="4" w:space="0" w:color="auto"/>
            </w:tcBorders>
            <w:shd w:val="clear" w:color="auto" w:fill="C6EFCE"/>
            <w:noWrap/>
          </w:tcPr>
          <w:p w14:paraId="1C78FA6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09" w:type="dxa"/>
            <w:tcBorders>
              <w:top w:val="nil"/>
              <w:left w:val="nil"/>
              <w:bottom w:val="single" w:sz="4" w:space="0" w:color="auto"/>
              <w:right w:val="single" w:sz="4" w:space="0" w:color="auto"/>
            </w:tcBorders>
            <w:shd w:val="clear" w:color="auto" w:fill="C6EFCE"/>
            <w:noWrap/>
          </w:tcPr>
          <w:p w14:paraId="6829FD2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2987" w:type="dxa"/>
            <w:tcBorders>
              <w:top w:val="nil"/>
              <w:left w:val="nil"/>
              <w:bottom w:val="single" w:sz="4" w:space="0" w:color="auto"/>
              <w:right w:val="single" w:sz="4" w:space="0" w:color="auto"/>
            </w:tcBorders>
            <w:shd w:val="clear" w:color="auto" w:fill="C6EFCE"/>
            <w:noWrap/>
          </w:tcPr>
          <w:p w14:paraId="2DE2B26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Schema va stabili criteriile și condițiile care trebuie îndeplinite pentru finanțarea beneficiarilor ce vor fi selectați prin intermediul unei cereri de propuneri deschise și transparente, care va include, printre altele, următoarele specificații:</w:t>
            </w:r>
          </w:p>
          <w:p w14:paraId="6CE36B24"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alinierea obligatorie a investițiilor la planul de mobilitate urbană durabilă/planul integrat de dezvoltare durabilă/planul urbanistic general aprobat sau în curs de elaborare; </w:t>
            </w:r>
          </w:p>
          <w:p w14:paraId="6B922DBA"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asigurarea acoperirii cu servicii de mobilitate în zona funcțională și periurbană; asigurarea prioritizării și promovării transportului public în traficul local prin planificarea benzilor preferențiale și a benzilor de autobuz pe arterele cele mai frecventate/aglomerate;</w:t>
            </w:r>
          </w:p>
          <w:p w14:paraId="61F116E7" w14:textId="77777777" w:rsidR="007873BE" w:rsidRPr="000A27B3" w:rsidRDefault="007873BE" w:rsidP="007873BE">
            <w:pPr>
              <w:numPr>
                <w:ilvl w:val="0"/>
                <w:numId w:val="81"/>
              </w:numPr>
              <w:pBdr>
                <w:top w:val="nil"/>
                <w:left w:val="nil"/>
                <w:bottom w:val="nil"/>
                <w:right w:val="nil"/>
                <w:between w:val="nil"/>
              </w:pBdr>
              <w:spacing w:after="0" w:line="240" w:lineRule="auto"/>
              <w:ind w:left="144" w:hanging="144"/>
              <w:jc w:val="both"/>
              <w:rPr>
                <w:rFonts w:ascii="Times New Roman" w:hAnsi="Times New Roman" w:cs="Times New Roman"/>
                <w:noProof/>
                <w:sz w:val="24"/>
              </w:rPr>
            </w:pPr>
            <w:r>
              <w:rPr>
                <w:rFonts w:ascii="Times New Roman" w:hAnsi="Times New Roman"/>
                <w:noProof/>
                <w:sz w:val="24"/>
              </w:rPr>
              <w:t xml:space="preserve">deținerea unui contract de servicii publice cu operatori economici în conformitate cu dispozițiile Regulamentului (CE) nr. 1370/2007. </w:t>
            </w:r>
          </w:p>
          <w:p w14:paraId="79089021" w14:textId="77777777" w:rsidR="007873BE" w:rsidRPr="009F1DC7" w:rsidRDefault="007873BE">
            <w:pPr>
              <w:pBdr>
                <w:top w:val="nil"/>
                <w:left w:val="nil"/>
                <w:bottom w:val="nil"/>
                <w:right w:val="nil"/>
                <w:between w:val="nil"/>
              </w:pBdr>
              <w:spacing w:after="0" w:line="240" w:lineRule="auto"/>
              <w:ind w:left="720"/>
              <w:jc w:val="both"/>
              <w:rPr>
                <w:rFonts w:ascii="Times New Roman" w:hAnsi="Times New Roman" w:cs="Times New Roman"/>
                <w:noProof/>
                <w:sz w:val="24"/>
                <w:szCs w:val="24"/>
                <w:lang w:val="fr-FR"/>
              </w:rPr>
            </w:pPr>
          </w:p>
          <w:p w14:paraId="588E37A0" w14:textId="77777777" w:rsidR="007873BE" w:rsidRPr="000A27B3" w:rsidRDefault="007873BE">
            <w:pPr>
              <w:spacing w:before="120" w:after="0" w:line="240" w:lineRule="auto"/>
              <w:jc w:val="both"/>
              <w:rPr>
                <w:rFonts w:ascii="Times New Roman" w:hAnsi="Times New Roman" w:cs="Times New Roman"/>
                <w:noProof/>
                <w:sz w:val="24"/>
                <w:szCs w:val="24"/>
              </w:rPr>
            </w:pPr>
            <w:r>
              <w:rPr>
                <w:rFonts w:ascii="Times New Roman" w:hAnsi="Times New Roman"/>
                <w:noProof/>
                <w:sz w:val="24"/>
              </w:rPr>
              <w:t>Până în 2026, municipiile reședință de județ (inclusiv fiecare sector din București) vor asigura, fiecare, dezvoltarea a minimum 40 de puncte de reîncărcare pentru vehicule electrice accesibile publicului/unității administrativ-teritoriale.</w:t>
            </w:r>
          </w:p>
        </w:tc>
      </w:tr>
      <w:tr w:rsidR="000A27B3" w:rsidRPr="000A27B3" w14:paraId="5AF6B295" w14:textId="77777777" w:rsidTr="00B61E33">
        <w:trPr>
          <w:trHeight w:val="309"/>
          <w:jc w:val="center"/>
        </w:trPr>
        <w:tc>
          <w:tcPr>
            <w:tcW w:w="795" w:type="dxa"/>
            <w:tcBorders>
              <w:top w:val="nil"/>
              <w:left w:val="single" w:sz="4" w:space="0" w:color="auto"/>
              <w:bottom w:val="single" w:sz="4" w:space="0" w:color="auto"/>
              <w:right w:val="single" w:sz="4" w:space="0" w:color="auto"/>
            </w:tcBorders>
            <w:shd w:val="clear" w:color="auto" w:fill="C6EFCE"/>
            <w:noWrap/>
          </w:tcPr>
          <w:p w14:paraId="5E27CB2B"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303</w:t>
            </w:r>
          </w:p>
        </w:tc>
        <w:tc>
          <w:tcPr>
            <w:tcW w:w="1569" w:type="dxa"/>
            <w:tcBorders>
              <w:top w:val="nil"/>
              <w:left w:val="nil"/>
              <w:bottom w:val="single" w:sz="4" w:space="0" w:color="auto"/>
              <w:right w:val="single" w:sz="4" w:space="0" w:color="auto"/>
            </w:tcBorders>
            <w:shd w:val="clear" w:color="auto" w:fill="C6EFCE"/>
            <w:noWrap/>
          </w:tcPr>
          <w:p w14:paraId="37AA1866"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1. Mobilitate urbană durabilă</w:t>
            </w:r>
          </w:p>
        </w:tc>
        <w:tc>
          <w:tcPr>
            <w:tcW w:w="1182" w:type="dxa"/>
            <w:tcBorders>
              <w:top w:val="nil"/>
              <w:left w:val="nil"/>
              <w:bottom w:val="single" w:sz="4" w:space="0" w:color="auto"/>
              <w:right w:val="single" w:sz="4" w:space="0" w:color="auto"/>
            </w:tcBorders>
            <w:shd w:val="clear" w:color="auto" w:fill="C6EFCE"/>
            <w:noWrap/>
          </w:tcPr>
          <w:p w14:paraId="1376CA7D"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411" w:type="dxa"/>
            <w:tcBorders>
              <w:top w:val="nil"/>
              <w:left w:val="nil"/>
              <w:bottom w:val="single" w:sz="4" w:space="0" w:color="auto"/>
              <w:right w:val="single" w:sz="4" w:space="0" w:color="auto"/>
            </w:tcBorders>
            <w:shd w:val="clear" w:color="auto" w:fill="C6EFCE"/>
            <w:noWrap/>
          </w:tcPr>
          <w:p w14:paraId="4F42D12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 suplimentar de puncte de reîncărcare pentru vehicule electrice</w:t>
            </w:r>
          </w:p>
        </w:tc>
        <w:tc>
          <w:tcPr>
            <w:tcW w:w="1701" w:type="dxa"/>
            <w:tcBorders>
              <w:top w:val="nil"/>
              <w:left w:val="nil"/>
              <w:bottom w:val="single" w:sz="4" w:space="0" w:color="auto"/>
              <w:right w:val="single" w:sz="4" w:space="0" w:color="auto"/>
            </w:tcBorders>
            <w:shd w:val="clear" w:color="auto" w:fill="C6EFCE"/>
            <w:noWrap/>
          </w:tcPr>
          <w:p w14:paraId="515FE59E" w14:textId="095CF1F1" w:rsidR="007873BE" w:rsidRPr="009F1DC7" w:rsidRDefault="007873BE">
            <w:pPr>
              <w:spacing w:after="0" w:line="240" w:lineRule="auto"/>
              <w:jc w:val="both"/>
              <w:rPr>
                <w:rFonts w:ascii="Times New Roman" w:hAnsi="Times New Roman" w:cs="Times New Roman"/>
                <w:noProof/>
                <w:sz w:val="24"/>
                <w:szCs w:val="24"/>
                <w:lang w:val="fr-FR"/>
              </w:rPr>
            </w:pPr>
          </w:p>
        </w:tc>
        <w:tc>
          <w:tcPr>
            <w:tcW w:w="1275" w:type="dxa"/>
            <w:tcBorders>
              <w:top w:val="nil"/>
              <w:left w:val="nil"/>
              <w:bottom w:val="single" w:sz="4" w:space="0" w:color="auto"/>
              <w:right w:val="single" w:sz="4" w:space="0" w:color="auto"/>
            </w:tcBorders>
            <w:shd w:val="clear" w:color="auto" w:fill="C6EFCE"/>
            <w:noWrap/>
          </w:tcPr>
          <w:p w14:paraId="66F8CDAA"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76" w:type="dxa"/>
            <w:tcBorders>
              <w:top w:val="nil"/>
              <w:left w:val="nil"/>
              <w:bottom w:val="single" w:sz="4" w:space="0" w:color="auto"/>
              <w:right w:val="single" w:sz="4" w:space="0" w:color="auto"/>
            </w:tcBorders>
            <w:shd w:val="clear" w:color="auto" w:fill="C6EFCE"/>
            <w:noWrap/>
          </w:tcPr>
          <w:p w14:paraId="71F6E8D8" w14:textId="039BCE5D"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76" w:type="dxa"/>
            <w:tcBorders>
              <w:top w:val="nil"/>
              <w:left w:val="nil"/>
              <w:bottom w:val="single" w:sz="4" w:space="0" w:color="auto"/>
              <w:right w:val="single" w:sz="4" w:space="0" w:color="auto"/>
            </w:tcBorders>
            <w:shd w:val="clear" w:color="auto" w:fill="C6EFCE"/>
            <w:noWrap/>
          </w:tcPr>
          <w:p w14:paraId="0E8116DC" w14:textId="756C7C00"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5 600</w:t>
            </w:r>
          </w:p>
        </w:tc>
        <w:tc>
          <w:tcPr>
            <w:tcW w:w="1270" w:type="dxa"/>
            <w:tcBorders>
              <w:top w:val="nil"/>
              <w:left w:val="nil"/>
              <w:bottom w:val="single" w:sz="4" w:space="0" w:color="auto"/>
              <w:right w:val="single" w:sz="4" w:space="0" w:color="auto"/>
            </w:tcBorders>
            <w:shd w:val="clear" w:color="auto" w:fill="C6EFCE"/>
            <w:noWrap/>
          </w:tcPr>
          <w:p w14:paraId="0956BEE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09" w:type="dxa"/>
            <w:tcBorders>
              <w:top w:val="nil"/>
              <w:left w:val="nil"/>
              <w:bottom w:val="single" w:sz="4" w:space="0" w:color="auto"/>
              <w:right w:val="single" w:sz="4" w:space="0" w:color="auto"/>
            </w:tcBorders>
            <w:shd w:val="clear" w:color="auto" w:fill="C6EFCE"/>
            <w:noWrap/>
          </w:tcPr>
          <w:p w14:paraId="5FE67A9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987" w:type="dxa"/>
            <w:tcBorders>
              <w:top w:val="nil"/>
              <w:left w:val="nil"/>
              <w:bottom w:val="single" w:sz="4" w:space="0" w:color="auto"/>
              <w:right w:val="single" w:sz="4" w:space="0" w:color="auto"/>
            </w:tcBorders>
            <w:shd w:val="clear" w:color="auto" w:fill="C6EFCE"/>
            <w:noWrap/>
          </w:tcPr>
          <w:p w14:paraId="7C4E17DF" w14:textId="543023FA"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Numărul punctelor de reîncărcare pentru vehicule electrice în funcțiune </w:t>
            </w:r>
          </w:p>
        </w:tc>
      </w:tr>
    </w:tbl>
    <w:p w14:paraId="10E9E5CF" w14:textId="77777777" w:rsidR="007873BE" w:rsidRPr="009F1DC7" w:rsidRDefault="007873BE">
      <w:pPr>
        <w:spacing w:before="120" w:after="120" w:line="240" w:lineRule="auto"/>
        <w:ind w:left="709"/>
        <w:jc w:val="both"/>
        <w:rPr>
          <w:rFonts w:ascii="Times New Roman" w:hAnsi="Times New Roman" w:cs="Times New Roman"/>
          <w:noProof/>
          <w:sz w:val="24"/>
          <w:szCs w:val="24"/>
          <w:lang w:val="fr-FR"/>
        </w:rPr>
        <w:sectPr w:rsidR="007873BE" w:rsidRPr="009F1DC7">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720" w:right="720" w:bottom="720" w:left="720" w:header="709" w:footer="709" w:gutter="0"/>
          <w:cols w:space="720"/>
          <w:docGrid w:linePitch="360"/>
        </w:sectPr>
      </w:pPr>
    </w:p>
    <w:p w14:paraId="7821F55C" w14:textId="77777777" w:rsidR="007873BE" w:rsidRPr="000A27B3" w:rsidRDefault="007873BE">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J.3. </w:t>
      </w:r>
      <w:r>
        <w:rPr>
          <w:noProof/>
        </w:rPr>
        <w:tab/>
      </w:r>
      <w:r>
        <w:rPr>
          <w:rFonts w:ascii="Times New Roman" w:hAnsi="Times New Roman"/>
          <w:b/>
          <w:noProof/>
          <w:sz w:val="24"/>
        </w:rPr>
        <w:t xml:space="preserve">Descrierea reformelor și a investițiilor pentru care se prevede acordarea împrumutului </w:t>
      </w:r>
    </w:p>
    <w:p w14:paraId="49CECF58"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Reforma 2. Crearea cadrului de politică pentru o transformare urbană durabilă </w:t>
      </w:r>
    </w:p>
    <w:p w14:paraId="1DF545CD"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le permite persoanelor care locuiesc în zone urbane, inclusiv celor din comunități marginale/periferice, să aibă acces sporit la servicii de calitate, cum ar fi mobilitatea, locuințele și alte servicii publice furnizate la nivel local.</w:t>
      </w:r>
    </w:p>
    <w:p w14:paraId="6583935A"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definește cadrul prin care centrele urbane și zonele periurbane se vor coordona pentru a spori capacitatea acestora de a furniza servicii de calitate și integrate și de a îmbunătăți nivelul de trai al cetățenilor lor. Cei doi piloni principali ai reformei sunt Legea zonelor metropolitane și cadrul politicii urbane a României. Legea definește zonele urbane funcționale și principalele responsabilități ale acestora (și anume, mobilitatea, locuințele și amenajarea teritoriului); instituie organisme de orientare și coordonare a inițiativelor de politică și a investițiilor la nivel urban funcțional; asigură capacitatea fiscal-bugetară prin intermediul unor surse bugetare transparente și previzibile; și permite achiziții comune pentru furnizarea de bunuri și servicii la nivel urban funcțional. Cadrul stă la baza instituirii zonelor urbane funcționale și definește în continuare responsabilitățile exclusive la nivel local, precum și pe cele care sunt partajate cu nivelul central. </w:t>
      </w:r>
    </w:p>
    <w:p w14:paraId="03B8C149"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reformei va fi finalizată până la 30 iunie 2026. Legea zonelor metropolitane și cadrul politicii urbane a României se vor aproba și vor intra în vigoare până la 30 iunie 2022 și, respectiv, până la 31 decembrie 2022. </w:t>
      </w:r>
    </w:p>
    <w:p w14:paraId="61DBBBF9" w14:textId="73DBA211"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Reforma 3: Crearea unui cadru de politică pentru o transformare rurală durabilă: instituirea de consorții administrative în zonele rurale funcționale</w:t>
      </w:r>
      <w:r w:rsidR="004C4C72">
        <w:rPr>
          <w:noProof/>
          <w:u w:val="single"/>
        </w:rPr>
        <w:t xml:space="preserve"> </w:t>
      </w:r>
    </w:p>
    <w:p w14:paraId="45C730F9"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le permite persoanelor care locuiesc în zone rurale, inclusiv celor din comunități marginale/periferice, să aibă acces sporit la servicii de calitate, cum ar fi mobilitatea, locuințele și alte servicii publice furnizate la nivel local.</w:t>
      </w:r>
    </w:p>
    <w:p w14:paraId="05AEA16B"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vizează integrarea furnizării de politici și servicii la nivelul unităților administrativ-teritoriale rurale, pentru a spori bunăstarea în zonele mai puțin dense</w:t>
      </w:r>
      <w:r w:rsidRPr="000A27B3">
        <w:rPr>
          <w:rFonts w:ascii="Times New Roman" w:hAnsi="Times New Roman" w:cs="Times New Roman"/>
          <w:noProof/>
          <w:sz w:val="24"/>
          <w:vertAlign w:val="superscript"/>
          <w:lang w:val="en-GB"/>
        </w:rPr>
        <w:footnoteReference w:id="49"/>
      </w:r>
      <w:r>
        <w:rPr>
          <w:rFonts w:ascii="Times New Roman" w:hAnsi="Times New Roman"/>
          <w:noProof/>
          <w:sz w:val="24"/>
        </w:rPr>
        <w:t>. În special, modificările Codului administrativ vor permite instituirea de consorții administrative în zonele rurale funcționale care sunt unități administrative rurale învecinate, integrate din punct de vedere economic și social, care se confruntă cu provocări și oportunități similare pentru dezvoltarea lor (cum ar fi proximitatea față de resursele naturale comune, expunerea la aceleași șocuri structurale). Modificările vor defini, în plus, regimul juridic și responsabilitățile zonelor rurale funcționale; vor institui organisme de orientare și coordonare a inițiativelor de politică și a investițiilor la nivel de zonă rurală funcțională; vor asigura capacitatea fiscal-bugetară prin intermediul unor surse bugetare transparente și previzibile; și vor permite integrarea digitală deplină a serviciilor publice furnizate de unitățile administrative, inclusiv utilizarea achizițiilor publice comune pentru furnizarea de bunuri și servicii, la nivel de zonă rurală funcțională.</w:t>
      </w:r>
    </w:p>
    <w:p w14:paraId="17733B00" w14:textId="77777777" w:rsidR="007873BE" w:rsidRPr="000A27B3" w:rsidRDefault="007873BE">
      <w:pPr>
        <w:spacing w:before="120" w:after="120" w:line="240" w:lineRule="auto"/>
        <w:jc w:val="both"/>
        <w:rPr>
          <w:rFonts w:ascii="Times New Roman" w:hAnsi="Times New Roman" w:cs="Times New Roman"/>
          <w:b/>
          <w:noProof/>
          <w:sz w:val="24"/>
        </w:rPr>
      </w:pPr>
      <w:r>
        <w:rPr>
          <w:rFonts w:ascii="Times New Roman" w:hAnsi="Times New Roman"/>
          <w:noProof/>
          <w:sz w:val="24"/>
        </w:rPr>
        <w:t>Implementarea reformei va fi finalizată până la 30 iunie 2026. Modificările Codului administrativ care permit crearea de consorții administrative în zonele rurale funcționale vor intra în vigoare până la 31 decembrie 2022.</w:t>
      </w:r>
    </w:p>
    <w:p w14:paraId="3AAB1A29"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Reforma 4: Îmbunătățirea calității locuințelor</w:t>
      </w:r>
    </w:p>
    <w:p w14:paraId="51176259"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reduce privarea severă de locuințe pentru categoriile și grupurile vulnerabile, în special pentru persoanele din comunitățile marginalizate din zonele urbane și rurale. </w:t>
      </w:r>
    </w:p>
    <w:p w14:paraId="0924C6CE"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fi pusă în aplicare prin intrarea în vigoare a unui act legislativ pentru a asigura implementarea Strategiei naționale a locuirii și a planului de acțiune aferent, inclusiv prin utilizarea unor mecanisme precum zonele metropolitane și consorțiile administrative. De asemenea, aceste documente vor fi însoțite de o cartografiere a necesităților de locuințe, în special în comunitățile și grupurile marginalizate, inclusiv în așezările informale din zonele urbane și rurale. Reforma va asigura complementaritatea cu investițiile existente sau viitoare ale centrelor comunitare integrate (adică furnizarea de servicii educaționale, sociale și de asistență medicală de bază) finanțate în cadrul FSE+ și al viitoarei politici de coeziune și nu va conduce la segregare socială.</w:t>
      </w:r>
    </w:p>
    <w:p w14:paraId="62EB7179"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reformei va fi finalizată până la 30 iunie 2026. Actul legislativ pentru asigurarea implementării Strategiei naționale a locuirii și a planului de acțiune aferent se va adopta și va intra în vigoare până la 30 iunie 2022. </w:t>
      </w:r>
    </w:p>
    <w:p w14:paraId="7D6D2856"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Reforma 5: Dezvoltarea sistemului de planificare – Codul amenajării teritoriului, urbanismului și construcțiilor</w:t>
      </w:r>
      <w:r>
        <w:rPr>
          <w:rFonts w:ascii="Times New Roman" w:hAnsi="Times New Roman"/>
          <w:noProof/>
          <w:u w:val="single"/>
        </w:rPr>
        <w:t xml:space="preserve"> </w:t>
      </w:r>
    </w:p>
    <w:p w14:paraId="5FB17555"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îmbunătăți amenajarea globală a teritoriului prin documente și proceduri simplificate și digitalizate de amenajare a teritoriului, un acces sporit și transparența documentelor de planificare spațială și teritorială, precum și prin utilizarea sporită a soluțiilor eficiente din punct de vedere energetic și durabile în construcții.</w:t>
      </w:r>
    </w:p>
    <w:p w14:paraId="35EF3517"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fi pusă în aplicare prin intrarea în vigoare a Codului amenajării teritoriului și urbanismului. Codul va pune în aplicare simplificarea și armonizarea modului în care planurile de amenajare a teritoriului și de urbanism general sunt raportate, actualizate și transpuse în sistemele de informații geografice, precum și măsuri de creștere a eficienței energetice și de îmbunătățire a calității aerului, prin standarde obligatorii de construcție în toate unitățile administrativ-teritoriale și în zonele urbane și rurale funcționale. Codul va include, de asemenea, dispoziții în documentele actualizate de urbanism care vizează reducerea timpului de navetă și a distanței pentru populația din zonele urbane și rurale funcționale. O nouă platformă de date, în cadrul Observatorului teritorial, va centraliza hărțile standardizate și digitalizate și documentele strategice care stau la baza procesului de urbanism și oferă acces public la toate planurile, precum și la cele mai recente documente de planificare spațială și teritorială.</w:t>
      </w:r>
    </w:p>
    <w:p w14:paraId="34D48CD2"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reformei va fi finalizată până la 30 iunie 2026. Codul privind amenajarea teritoriului, urbanismului și construcțiilor va intra în vigoare până la 31 martie 2023, iar o platformă de date operaționale care permite accesul digital complet la documentele de planificare spațială și teritorială, ca parte a Observatorului teritorial, va fi operațională până la 30 iunie 2023. </w:t>
      </w:r>
    </w:p>
    <w:p w14:paraId="592B297B"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Investiția 2 Construirea de locuințe pentru tineri și pentru specialiști din sănătate și învățământ </w:t>
      </w:r>
    </w:p>
    <w:p w14:paraId="67E341AD"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spori accesul la locuințe de calitate pentru tinerii aflați în dificultate și pentru specialiștii din sănătate și învățământ care oferă astfel de servicii în comunitățile marginalizate și grupurilor marginalizate. </w:t>
      </w:r>
    </w:p>
    <w:p w14:paraId="145B7C91"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Investiția va consta în construirea de noi locuințe pentru tinerii din comunitățile și grupurile vulnerabile, în concordanță cu dispozițiile Strategiei naționale a locuirii și ale planului de acțiune, și va fi însoțită de măsuri de promovare a integrării sociale și economice a grupurilor vizate. Vor fi construite, de asemenea, case pentru specialiștii din sănătate și învățământ din zonele urbane și rurale în care trăiesc comunități și grupuri marginalizate și unde anterior au fost identificate deficite în ceea ce privește furnizarea de servicii medicale și educaționale. Casele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14C67DAD"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iunie 2026. </w:t>
      </w:r>
    </w:p>
    <w:p w14:paraId="1DD015C4"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Investiția 3 Reabilitarea moderată a clădirilor publice pentru a îmbunătăți furnizarea de servicii publice de către unitățile administrativ-teritoriale </w:t>
      </w:r>
    </w:p>
    <w:p w14:paraId="52DFB15B" w14:textId="239EA910"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îmbunătăți furnizarea de servicii publice locale. Investiția finanțează renovarea moderată a clădirilor publice la nivel local. Aceasta vizează numai clădirile publice din orașe și comune care sunt destinate furnizării de servicii publice către cetățeni (de exemplu, clădirile primăriei, clădirile pentru servicii sociale). Investiția va consta în renovarea unei suprafețe de 1 015 481 de metri pătrați în clădirile publice eligibile. Se preconizează că renovarea va duce la o reducere cu 30 % a necesarului de energie primară, astfel cum o demonstrează certificatele de performanță energetică. </w:t>
      </w:r>
    </w:p>
    <w:p w14:paraId="6AA3CFE4"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iunie 2026. </w:t>
      </w:r>
    </w:p>
    <w:p w14:paraId="296B43E2"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Investiția 4 Elaborarea/actualizarea în format GIS a documentelor de amenajare a teritoriului și de urbanism </w:t>
      </w:r>
    </w:p>
    <w:p w14:paraId="1317F7B7"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spori accesul digital la documentele de amenajare a teritoriului și de urbanism.</w:t>
      </w:r>
    </w:p>
    <w:p w14:paraId="1986ED51"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finanțează elaborarea sau actualizarea documentelor de amenajare a teritoriului și de urbanism, inclusiv a planurilor de mobilitate urbană durabilă.</w:t>
      </w:r>
      <w:r>
        <w:rPr>
          <w:rFonts w:ascii="Times New Roman" w:hAnsi="Times New Roman"/>
          <w:b/>
          <w:noProof/>
          <w:sz w:val="24"/>
        </w:rPr>
        <w:t xml:space="preserve"> </w:t>
      </w:r>
      <w:r>
        <w:rPr>
          <w:rFonts w:ascii="Times New Roman" w:hAnsi="Times New Roman"/>
          <w:noProof/>
          <w:sz w:val="24"/>
        </w:rPr>
        <w:t xml:space="preserve">Toate documentele vor fi elaborate în format digital în conformitate cu Codul de amenajare a teritoriului, urbanismului și construcțiilor și vor fi validate de către organismul național de sprijin. Documentele vor fi încărcate pe platforma Observatorului teritorial. </w:t>
      </w:r>
    </w:p>
    <w:p w14:paraId="684AFAFD" w14:textId="77777777" w:rsidR="007873BE" w:rsidRPr="000A27B3" w:rsidRDefault="007873BE">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1F8BAF74" w14:textId="77777777" w:rsidR="007873BE" w:rsidRPr="009F1DC7" w:rsidRDefault="007873BE">
      <w:pPr>
        <w:spacing w:before="120" w:after="120" w:line="240" w:lineRule="auto"/>
        <w:jc w:val="both"/>
        <w:rPr>
          <w:rFonts w:ascii="Times New Roman" w:hAnsi="Times New Roman" w:cs="Times New Roman"/>
          <w:noProof/>
          <w:sz w:val="24"/>
          <w:szCs w:val="24"/>
          <w:lang w:val="fr-FR"/>
        </w:rPr>
        <w:sectPr w:rsidR="007873BE" w:rsidRPr="009F1DC7">
          <w:headerReference w:type="even" r:id="rId222"/>
          <w:headerReference w:type="default" r:id="rId223"/>
          <w:footerReference w:type="even" r:id="rId224"/>
          <w:footerReference w:type="default" r:id="rId225"/>
          <w:headerReference w:type="first" r:id="rId226"/>
          <w:footerReference w:type="first" r:id="rId227"/>
          <w:pgSz w:w="11907" w:h="16839"/>
          <w:pgMar w:top="1134" w:right="1417" w:bottom="1134" w:left="1417" w:header="709" w:footer="709" w:gutter="0"/>
          <w:cols w:space="720"/>
          <w:docGrid w:linePitch="360"/>
        </w:sectPr>
      </w:pPr>
    </w:p>
    <w:p w14:paraId="4CD6AC10" w14:textId="77777777" w:rsidR="007873BE" w:rsidRPr="000A27B3" w:rsidRDefault="007873BE">
      <w:pPr>
        <w:keepNext/>
        <w:spacing w:before="120" w:after="120" w:line="240" w:lineRule="auto"/>
        <w:ind w:firstLine="720"/>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J.4. </w:t>
      </w:r>
      <w:r>
        <w:rPr>
          <w:noProof/>
        </w:rPr>
        <w:tab/>
      </w:r>
      <w:r>
        <w:rPr>
          <w:rFonts w:ascii="Times New Roman" w:hAnsi="Times New Roman"/>
          <w:b/>
          <w:noProof/>
          <w:sz w:val="24"/>
        </w:rPr>
        <w:t xml:space="preserve">Jaloane, ținte, indicatori și calendarul de monitorizare și implementare aplicabile împrumutului </w:t>
      </w:r>
    </w:p>
    <w:tbl>
      <w:tblPr>
        <w:tblW w:w="15350" w:type="dxa"/>
        <w:jc w:val="center"/>
        <w:tblLayout w:type="fixed"/>
        <w:tblLook w:val="04A0" w:firstRow="1" w:lastRow="0" w:firstColumn="1" w:lastColumn="0" w:noHBand="0" w:noVBand="1"/>
      </w:tblPr>
      <w:tblGrid>
        <w:gridCol w:w="851"/>
        <w:gridCol w:w="1985"/>
        <w:gridCol w:w="1276"/>
        <w:gridCol w:w="1417"/>
        <w:gridCol w:w="1498"/>
        <w:gridCol w:w="1008"/>
        <w:gridCol w:w="1200"/>
        <w:gridCol w:w="1200"/>
        <w:gridCol w:w="960"/>
        <w:gridCol w:w="796"/>
        <w:gridCol w:w="3159"/>
      </w:tblGrid>
      <w:tr w:rsidR="000A27B3" w:rsidRPr="000A27B3" w14:paraId="7BD537C4" w14:textId="77777777" w:rsidTr="00B61E33">
        <w:trPr>
          <w:trHeight w:val="939"/>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93C11F"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649DE6"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0A6004" w14:textId="6E43B9F2"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B61E33">
              <w:rPr>
                <w:rFonts w:ascii="Times New Roman" w:hAnsi="Times New Roman"/>
                <w:b/>
                <w:noProof/>
                <w:sz w:val="24"/>
              </w:rPr>
              <w:br/>
            </w:r>
            <w:r>
              <w:rPr>
                <w:rFonts w:ascii="Times New Roman" w:hAnsi="Times New Roman"/>
                <w:b/>
                <w:noProof/>
                <w:sz w:val="24"/>
              </w:rPr>
              <w:t>țintă</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D123CAB"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AE1CF9" w14:textId="38200B5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408"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59A66C8" w14:textId="3A61AB50"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756" w:type="dxa"/>
            <w:gridSpan w:val="2"/>
            <w:tcBorders>
              <w:top w:val="single" w:sz="4" w:space="0" w:color="auto"/>
              <w:left w:val="nil"/>
              <w:bottom w:val="single" w:sz="4" w:space="0" w:color="auto"/>
              <w:right w:val="single" w:sz="4" w:space="0" w:color="auto"/>
            </w:tcBorders>
            <w:shd w:val="clear" w:color="auto" w:fill="BDD7EE"/>
            <w:vAlign w:val="center"/>
            <w:hideMark/>
          </w:tcPr>
          <w:p w14:paraId="7F65D6D3" w14:textId="0EC2CA6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B61E33">
              <w:rPr>
                <w:rFonts w:ascii="Times New Roman" w:hAnsi="Times New Roman"/>
                <w:b/>
                <w:noProof/>
                <w:sz w:val="24"/>
              </w:rPr>
              <w:br/>
            </w:r>
            <w:r>
              <w:rPr>
                <w:rFonts w:ascii="Times New Roman" w:hAnsi="Times New Roman"/>
                <w:b/>
                <w:noProof/>
                <w:sz w:val="24"/>
              </w:rPr>
              <w:t xml:space="preserve">țintelor </w:t>
            </w:r>
          </w:p>
        </w:tc>
        <w:tc>
          <w:tcPr>
            <w:tcW w:w="31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EF6A7F"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3921A362" w14:textId="77777777" w:rsidTr="00B61E33">
        <w:trPr>
          <w:trHeight w:val="359"/>
          <w:tblHeader/>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DC94BCC" w14:textId="77777777" w:rsidR="007873BE" w:rsidRPr="009F1DC7" w:rsidRDefault="007873BE">
            <w:pPr>
              <w:spacing w:after="0" w:line="240" w:lineRule="auto"/>
              <w:rPr>
                <w:rFonts w:ascii="Times New Roman" w:eastAsia="Times New Roman" w:hAnsi="Times New Roman" w:cs="Times New Roman"/>
                <w:b/>
                <w:bCs/>
                <w:noProof/>
                <w:sz w:val="24"/>
                <w:szCs w:val="24"/>
                <w:lang w:eastAsia="en-G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E6D9E35" w14:textId="77777777" w:rsidR="007873BE" w:rsidRPr="009F1DC7" w:rsidRDefault="007873BE">
            <w:pPr>
              <w:spacing w:after="0" w:line="240" w:lineRule="auto"/>
              <w:rPr>
                <w:rFonts w:ascii="Times New Roman" w:eastAsia="Times New Roman" w:hAnsi="Times New Roman" w:cs="Times New Roman"/>
                <w:b/>
                <w:bCs/>
                <w:noProof/>
                <w:sz w:val="24"/>
                <w:szCs w:val="24"/>
                <w:lang w:eastAsia="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5B53EE" w14:textId="77777777" w:rsidR="007873BE" w:rsidRPr="009F1DC7" w:rsidRDefault="007873BE">
            <w:pPr>
              <w:spacing w:after="0" w:line="240" w:lineRule="auto"/>
              <w:rPr>
                <w:rFonts w:ascii="Times New Roman" w:eastAsia="Times New Roman" w:hAnsi="Times New Roman" w:cs="Times New Roman"/>
                <w:b/>
                <w:bCs/>
                <w:noProof/>
                <w:sz w:val="24"/>
                <w:szCs w:val="24"/>
                <w:lang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AFDB42" w14:textId="77777777" w:rsidR="007873BE" w:rsidRPr="009F1DC7" w:rsidRDefault="007873BE">
            <w:pPr>
              <w:spacing w:after="0" w:line="240" w:lineRule="auto"/>
              <w:rPr>
                <w:rFonts w:ascii="Times New Roman" w:eastAsia="Times New Roman" w:hAnsi="Times New Roman" w:cs="Times New Roman"/>
                <w:b/>
                <w:bCs/>
                <w:noProof/>
                <w:sz w:val="24"/>
                <w:szCs w:val="24"/>
                <w:lang w:eastAsia="en-GB"/>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457B27F3" w14:textId="77777777" w:rsidR="007873BE" w:rsidRPr="009F1DC7" w:rsidRDefault="007873BE">
            <w:pPr>
              <w:spacing w:after="0" w:line="240" w:lineRule="auto"/>
              <w:rPr>
                <w:rFonts w:ascii="Times New Roman" w:eastAsia="Times New Roman" w:hAnsi="Times New Roman" w:cs="Times New Roman"/>
                <w:b/>
                <w:bCs/>
                <w:noProof/>
                <w:sz w:val="24"/>
                <w:szCs w:val="24"/>
                <w:lang w:eastAsia="en-GB"/>
              </w:rPr>
            </w:pPr>
          </w:p>
        </w:tc>
        <w:tc>
          <w:tcPr>
            <w:tcW w:w="1008" w:type="dxa"/>
            <w:tcBorders>
              <w:top w:val="nil"/>
              <w:left w:val="single" w:sz="4" w:space="0" w:color="auto"/>
              <w:bottom w:val="single" w:sz="4" w:space="0" w:color="auto"/>
              <w:right w:val="single" w:sz="4" w:space="0" w:color="auto"/>
            </w:tcBorders>
            <w:shd w:val="clear" w:color="auto" w:fill="BDD7EE"/>
            <w:vAlign w:val="center"/>
            <w:hideMark/>
          </w:tcPr>
          <w:p w14:paraId="20B87F3A"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00" w:type="dxa"/>
            <w:tcBorders>
              <w:top w:val="nil"/>
              <w:left w:val="nil"/>
              <w:bottom w:val="single" w:sz="4" w:space="0" w:color="auto"/>
              <w:right w:val="single" w:sz="4" w:space="0" w:color="auto"/>
            </w:tcBorders>
            <w:shd w:val="clear" w:color="auto" w:fill="BDD7EE"/>
            <w:vAlign w:val="center"/>
            <w:hideMark/>
          </w:tcPr>
          <w:p w14:paraId="60F5A7C3"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Valoare de referință </w:t>
            </w:r>
          </w:p>
        </w:tc>
        <w:tc>
          <w:tcPr>
            <w:tcW w:w="1200" w:type="dxa"/>
            <w:tcBorders>
              <w:top w:val="nil"/>
              <w:left w:val="nil"/>
              <w:bottom w:val="single" w:sz="4" w:space="0" w:color="auto"/>
              <w:right w:val="single" w:sz="4" w:space="0" w:color="auto"/>
            </w:tcBorders>
            <w:shd w:val="clear" w:color="auto" w:fill="BDD7EE"/>
            <w:vAlign w:val="center"/>
            <w:hideMark/>
          </w:tcPr>
          <w:p w14:paraId="4B31DFEC"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960" w:type="dxa"/>
            <w:tcBorders>
              <w:top w:val="nil"/>
              <w:left w:val="nil"/>
              <w:bottom w:val="single" w:sz="4" w:space="0" w:color="auto"/>
              <w:right w:val="single" w:sz="4" w:space="0" w:color="auto"/>
            </w:tcBorders>
            <w:shd w:val="clear" w:color="auto" w:fill="BDD7EE"/>
            <w:vAlign w:val="center"/>
            <w:hideMark/>
          </w:tcPr>
          <w:p w14:paraId="536832C8"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96" w:type="dxa"/>
            <w:tcBorders>
              <w:top w:val="nil"/>
              <w:left w:val="nil"/>
              <w:bottom w:val="single" w:sz="4" w:space="0" w:color="auto"/>
              <w:right w:val="single" w:sz="4" w:space="0" w:color="auto"/>
            </w:tcBorders>
            <w:shd w:val="clear" w:color="auto" w:fill="BDD7EE"/>
            <w:vAlign w:val="center"/>
            <w:hideMark/>
          </w:tcPr>
          <w:p w14:paraId="5F70F886" w14:textId="77777777" w:rsidR="007873BE" w:rsidRPr="000A27B3" w:rsidRDefault="007873BE">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159" w:type="dxa"/>
            <w:vMerge/>
            <w:tcBorders>
              <w:top w:val="single" w:sz="4" w:space="0" w:color="auto"/>
              <w:bottom w:val="single" w:sz="4" w:space="0" w:color="auto"/>
              <w:right w:val="single" w:sz="4" w:space="0" w:color="auto"/>
            </w:tcBorders>
            <w:vAlign w:val="center"/>
            <w:hideMark/>
          </w:tcPr>
          <w:p w14:paraId="0BFB0CAB" w14:textId="77777777" w:rsidR="007873BE" w:rsidRPr="000A27B3" w:rsidRDefault="007873BE">
            <w:pPr>
              <w:spacing w:after="0" w:line="240" w:lineRule="auto"/>
              <w:rPr>
                <w:rFonts w:ascii="Times New Roman" w:eastAsia="Times New Roman" w:hAnsi="Times New Roman" w:cs="Times New Roman"/>
                <w:b/>
                <w:bCs/>
                <w:noProof/>
                <w:sz w:val="24"/>
                <w:szCs w:val="24"/>
                <w:lang w:val="en-GB" w:eastAsia="en-GB"/>
              </w:rPr>
            </w:pPr>
          </w:p>
        </w:tc>
      </w:tr>
      <w:tr w:rsidR="000A27B3" w:rsidRPr="000A27B3" w14:paraId="31F854DE"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hideMark/>
          </w:tcPr>
          <w:p w14:paraId="5A85C755" w14:textId="77777777" w:rsidR="007873BE" w:rsidRPr="000A27B3" w:rsidRDefault="007873BE">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307</w:t>
            </w:r>
          </w:p>
        </w:tc>
        <w:tc>
          <w:tcPr>
            <w:tcW w:w="1985" w:type="dxa"/>
            <w:tcBorders>
              <w:top w:val="single" w:sz="4" w:space="0" w:color="auto"/>
              <w:left w:val="nil"/>
              <w:bottom w:val="single" w:sz="4" w:space="0" w:color="auto"/>
              <w:right w:val="single" w:sz="4" w:space="0" w:color="auto"/>
            </w:tcBorders>
            <w:shd w:val="clear" w:color="auto" w:fill="C6EFCE"/>
            <w:noWrap/>
          </w:tcPr>
          <w:p w14:paraId="593CF4D3" w14:textId="0FA061E5"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Crearea cadrului de politică pentru o transformare urbană durabilă – Politica urbană a României </w:t>
            </w:r>
          </w:p>
        </w:tc>
        <w:tc>
          <w:tcPr>
            <w:tcW w:w="1276" w:type="dxa"/>
            <w:tcBorders>
              <w:top w:val="single" w:sz="4" w:space="0" w:color="auto"/>
              <w:left w:val="nil"/>
              <w:bottom w:val="single" w:sz="4" w:space="0" w:color="auto"/>
              <w:right w:val="single" w:sz="4" w:space="0" w:color="auto"/>
            </w:tcBorders>
            <w:shd w:val="clear" w:color="auto" w:fill="C6EFCE"/>
            <w:noWrap/>
            <w:hideMark/>
          </w:tcPr>
          <w:p w14:paraId="1289208A"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417" w:type="dxa"/>
            <w:tcBorders>
              <w:top w:val="single" w:sz="4" w:space="0" w:color="auto"/>
              <w:left w:val="nil"/>
              <w:bottom w:val="single" w:sz="4" w:space="0" w:color="auto"/>
              <w:right w:val="single" w:sz="4" w:space="0" w:color="auto"/>
            </w:tcBorders>
            <w:shd w:val="clear" w:color="auto" w:fill="C6EFCE"/>
            <w:noWrap/>
          </w:tcPr>
          <w:p w14:paraId="31B21876"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Legii zonelor metropolitane</w:t>
            </w:r>
          </w:p>
        </w:tc>
        <w:tc>
          <w:tcPr>
            <w:tcW w:w="1498" w:type="dxa"/>
            <w:tcBorders>
              <w:top w:val="single" w:sz="4" w:space="0" w:color="auto"/>
              <w:left w:val="nil"/>
              <w:bottom w:val="single" w:sz="4" w:space="0" w:color="auto"/>
              <w:right w:val="single" w:sz="4" w:space="0" w:color="auto"/>
            </w:tcBorders>
            <w:shd w:val="clear" w:color="auto" w:fill="C6EFCE"/>
            <w:noWrap/>
            <w:hideMark/>
          </w:tcPr>
          <w:p w14:paraId="186147E7"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zonelor metropolitane</w:t>
            </w:r>
          </w:p>
        </w:tc>
        <w:tc>
          <w:tcPr>
            <w:tcW w:w="1008" w:type="dxa"/>
            <w:tcBorders>
              <w:top w:val="nil"/>
              <w:left w:val="nil"/>
              <w:bottom w:val="single" w:sz="4" w:space="0" w:color="auto"/>
              <w:right w:val="single" w:sz="4" w:space="0" w:color="auto"/>
            </w:tcBorders>
            <w:shd w:val="clear" w:color="auto" w:fill="C6EFCE"/>
            <w:noWrap/>
            <w:hideMark/>
          </w:tcPr>
          <w:p w14:paraId="67102502"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7168B17D"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586DFA9A"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nil"/>
              <w:left w:val="nil"/>
              <w:bottom w:val="single" w:sz="4" w:space="0" w:color="auto"/>
              <w:right w:val="single" w:sz="4" w:space="0" w:color="auto"/>
            </w:tcBorders>
            <w:shd w:val="clear" w:color="auto" w:fill="C6EFCE"/>
            <w:noWrap/>
            <w:hideMark/>
          </w:tcPr>
          <w:p w14:paraId="0E33B8E5"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6" w:type="dxa"/>
            <w:tcBorders>
              <w:top w:val="nil"/>
              <w:left w:val="nil"/>
              <w:bottom w:val="single" w:sz="4" w:space="0" w:color="auto"/>
              <w:right w:val="single" w:sz="4" w:space="0" w:color="auto"/>
            </w:tcBorders>
            <w:shd w:val="clear" w:color="auto" w:fill="C6EFCE"/>
            <w:noWrap/>
            <w:hideMark/>
          </w:tcPr>
          <w:p w14:paraId="7148DF96"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159" w:type="dxa"/>
            <w:tcBorders>
              <w:top w:val="single" w:sz="4" w:space="0" w:color="auto"/>
              <w:left w:val="nil"/>
              <w:bottom w:val="single" w:sz="4" w:space="0" w:color="auto"/>
              <w:right w:val="single" w:sz="4" w:space="0" w:color="auto"/>
            </w:tcBorders>
            <w:shd w:val="clear" w:color="auto" w:fill="C6EFCE"/>
            <w:noWrap/>
            <w:hideMark/>
          </w:tcPr>
          <w:p w14:paraId="13B678C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Legea zonelor metropolitane:</w:t>
            </w:r>
          </w:p>
          <w:p w14:paraId="5A432FF2"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va defini criteriile de delimitare a zonelor metropolitane și a competențelor în materie de politică ale acestora, și anume: mobilitatea, amenajarea teritoriului, dezvoltarea urbană, locuințele și alte servicii publice furnizate la nivel local care abordează, printre altele, problemele comunităților marginale/periferice, inclusiv așezările informale; </w:t>
            </w:r>
          </w:p>
          <w:p w14:paraId="5E933AB8"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va institui un organism de coordonare la nivelul zonei metropolitane pentru a orienta și supraveghea punerea în aplicare a politicilor și a investițiilor în unitățile administrativ-teritoriale care aparțin zonei metropolitane, cu scopul de a îmbunătăți conectivitatea, amenajarea teritoriului, dezvoltarea infrastructurii verzi și accesul la locuri de muncă, la servicii de sănătate și educație, inclusiv pentru persoanele din zonele defavorizate/periferii, precum și de a asigura oportunități economice sporite pentru așezările din zonele periurbane din jurul nucleului urban; </w:t>
            </w:r>
          </w:p>
          <w:p w14:paraId="51407C96" w14:textId="77777777" w:rsidR="007873BE" w:rsidRPr="000A27B3" w:rsidRDefault="007873BE" w:rsidP="007873BE">
            <w:pPr>
              <w:numPr>
                <w:ilvl w:val="0"/>
                <w:numId w:val="83"/>
              </w:numPr>
              <w:spacing w:before="120"/>
              <w:ind w:left="175" w:hanging="217"/>
              <w:contextualSpacing/>
              <w:jc w:val="both"/>
              <w:rPr>
                <w:rFonts w:ascii="Times New Roman" w:eastAsia="Times New Roman" w:hAnsi="Times New Roman" w:cs="Times New Roman"/>
                <w:noProof/>
                <w:sz w:val="24"/>
                <w:szCs w:val="24"/>
              </w:rPr>
            </w:pPr>
            <w:r>
              <w:rPr>
                <w:rFonts w:ascii="Times New Roman" w:hAnsi="Times New Roman"/>
                <w:noProof/>
                <w:sz w:val="24"/>
              </w:rPr>
              <w:t>va asigura un cadru transparent și previzibil (inclusiv criterii, metodologie) pentru constituirea bugetului fiecărei zone metropolitane, pe baza contribuțiilor din partea unităților administrative care alcătuiesc zona urbană funcțională și, atunci când este necesar, a transferurilor de la administrația centrală prin programe naționale de dezvoltare, finanțate anual de la bugetul de stat, pe baza criteriilor de performanță legate de obiectivele de politică urmărite la nivelul fiecărei zone metropolitane; va permite achiziții comune pentru furnizarea de bunuri și servicii la nivelul zonei funcționale.</w:t>
            </w:r>
          </w:p>
        </w:tc>
      </w:tr>
      <w:tr w:rsidR="000A27B3" w:rsidRPr="000A27B3" w14:paraId="641ADBD9"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1EDCA257" w14:textId="77777777" w:rsidR="007873BE" w:rsidRPr="000A27B3" w:rsidRDefault="007873BE">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308</w:t>
            </w:r>
          </w:p>
        </w:tc>
        <w:tc>
          <w:tcPr>
            <w:tcW w:w="1985" w:type="dxa"/>
            <w:tcBorders>
              <w:top w:val="nil"/>
              <w:left w:val="nil"/>
              <w:bottom w:val="single" w:sz="4" w:space="0" w:color="auto"/>
              <w:right w:val="single" w:sz="4" w:space="0" w:color="auto"/>
            </w:tcBorders>
            <w:shd w:val="clear" w:color="auto" w:fill="C6EFCE"/>
            <w:noWrap/>
          </w:tcPr>
          <w:p w14:paraId="114CA758"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Crearea cadrului de politică pentru o transformare urbană durabilă </w:t>
            </w:r>
          </w:p>
        </w:tc>
        <w:tc>
          <w:tcPr>
            <w:tcW w:w="1276" w:type="dxa"/>
            <w:tcBorders>
              <w:top w:val="nil"/>
              <w:left w:val="nil"/>
              <w:bottom w:val="single" w:sz="4" w:space="0" w:color="auto"/>
              <w:right w:val="single" w:sz="4" w:space="0" w:color="auto"/>
            </w:tcBorders>
            <w:shd w:val="clear" w:color="auto" w:fill="C6EFCE"/>
            <w:noWrap/>
            <w:hideMark/>
          </w:tcPr>
          <w:p w14:paraId="44BC963D"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417" w:type="dxa"/>
            <w:tcBorders>
              <w:top w:val="nil"/>
              <w:left w:val="nil"/>
              <w:bottom w:val="single" w:sz="4" w:space="0" w:color="auto"/>
              <w:right w:val="single" w:sz="4" w:space="0" w:color="auto"/>
            </w:tcBorders>
            <w:shd w:val="clear" w:color="auto" w:fill="C6EFCE"/>
            <w:noWrap/>
          </w:tcPr>
          <w:p w14:paraId="11DC6FA4"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hotărârii de guvern de instituire a Cadrului politicii urbane a României</w:t>
            </w:r>
          </w:p>
        </w:tc>
        <w:tc>
          <w:tcPr>
            <w:tcW w:w="1498" w:type="dxa"/>
            <w:tcBorders>
              <w:top w:val="nil"/>
              <w:left w:val="nil"/>
              <w:bottom w:val="single" w:sz="4" w:space="0" w:color="auto"/>
              <w:right w:val="single" w:sz="4" w:space="0" w:color="auto"/>
            </w:tcBorders>
            <w:shd w:val="clear" w:color="auto" w:fill="C6EFCE"/>
            <w:noWrap/>
            <w:hideMark/>
          </w:tcPr>
          <w:p w14:paraId="50B39303"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Dispoziție a hotărârii de guvern care indică intrarea în vigoare a Cadrului politicii urbane a României </w:t>
            </w:r>
          </w:p>
        </w:tc>
        <w:tc>
          <w:tcPr>
            <w:tcW w:w="1008" w:type="dxa"/>
            <w:tcBorders>
              <w:top w:val="nil"/>
              <w:left w:val="nil"/>
              <w:bottom w:val="single" w:sz="4" w:space="0" w:color="auto"/>
              <w:right w:val="single" w:sz="4" w:space="0" w:color="auto"/>
            </w:tcBorders>
            <w:shd w:val="clear" w:color="auto" w:fill="C6EFCE"/>
            <w:noWrap/>
            <w:hideMark/>
          </w:tcPr>
          <w:p w14:paraId="141BA8EB"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042BF626"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258EBAD1"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hideMark/>
          </w:tcPr>
          <w:p w14:paraId="6FA1A170"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96" w:type="dxa"/>
            <w:tcBorders>
              <w:top w:val="nil"/>
              <w:left w:val="nil"/>
              <w:bottom w:val="single" w:sz="4" w:space="0" w:color="auto"/>
              <w:right w:val="single" w:sz="4" w:space="0" w:color="auto"/>
            </w:tcBorders>
            <w:shd w:val="clear" w:color="auto" w:fill="C6EFCE"/>
            <w:noWrap/>
            <w:hideMark/>
          </w:tcPr>
          <w:p w14:paraId="26BB4AC3"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159" w:type="dxa"/>
            <w:tcBorders>
              <w:top w:val="nil"/>
              <w:left w:val="nil"/>
              <w:bottom w:val="single" w:sz="4" w:space="0" w:color="auto"/>
              <w:right w:val="single" w:sz="4" w:space="0" w:color="auto"/>
            </w:tcBorders>
            <w:shd w:val="clear" w:color="auto" w:fill="C6EFCE"/>
            <w:noWrap/>
            <w:hideMark/>
          </w:tcPr>
          <w:p w14:paraId="7A2FE51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Hotărârea de guvern: </w:t>
            </w:r>
          </w:p>
          <w:p w14:paraId="1A74A3C9"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va defini rolurile și responsabilitățile autorităților publice de la nivel național și local pentru punerea în aplicare a politicii urbane a României;</w:t>
            </w:r>
          </w:p>
          <w:p w14:paraId="07BC1663" w14:textId="01A6CB6F"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va integra principiile dezvoltării durabile, inclusiv prin punerea în aplicare a soluțiilor bazate pe natură, în documentele de urbanism; </w:t>
            </w:r>
          </w:p>
          <w:p w14:paraId="55B38890"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va operaționaliza indicatorii-cheie de performanță derivați din obiectivele prioritare ale politicii urbane a României (cu alte cuvinte, îmbunătățirea mobilității, îmbunătățirea amenajării teritoriului, îmbunătățirea condițiilor de locuit, servicii publice locale pentru comunitățile marginalizate/periferice și acces la transportul public);</w:t>
            </w:r>
          </w:p>
          <w:p w14:paraId="638AE9C8"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va stabili un mecanism de finanțare stabil și previzibil pentru punerea în aplicare a politicii urbane;</w:t>
            </w:r>
          </w:p>
          <w:p w14:paraId="633785F4"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va încuraja cooperarea locală prin stimularea proiectelor de dezvoltare urbană durabilă propuse la nivelul zonelor urbane funcționale și aliniate la planurile de dezvoltare urbană integrată durabilă.</w:t>
            </w:r>
          </w:p>
        </w:tc>
      </w:tr>
      <w:tr w:rsidR="000A27B3" w:rsidRPr="000A27B3" w14:paraId="6764FB4E"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7570F77C" w14:textId="77777777" w:rsidR="007873BE" w:rsidRPr="000A27B3" w:rsidRDefault="007873BE">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309</w:t>
            </w:r>
          </w:p>
        </w:tc>
        <w:tc>
          <w:tcPr>
            <w:tcW w:w="1985" w:type="dxa"/>
            <w:tcBorders>
              <w:top w:val="nil"/>
              <w:left w:val="nil"/>
              <w:bottom w:val="single" w:sz="4" w:space="0" w:color="auto"/>
              <w:right w:val="single" w:sz="4" w:space="0" w:color="auto"/>
            </w:tcBorders>
            <w:shd w:val="clear" w:color="auto" w:fill="C6EFCE"/>
            <w:noWrap/>
            <w:hideMark/>
          </w:tcPr>
          <w:p w14:paraId="09D34038"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2. Crearea cadrului de politică pentru o transformare urbană durabilă </w:t>
            </w:r>
          </w:p>
        </w:tc>
        <w:tc>
          <w:tcPr>
            <w:tcW w:w="1276" w:type="dxa"/>
            <w:tcBorders>
              <w:top w:val="nil"/>
              <w:left w:val="nil"/>
              <w:bottom w:val="single" w:sz="4" w:space="0" w:color="auto"/>
              <w:right w:val="single" w:sz="4" w:space="0" w:color="auto"/>
            </w:tcBorders>
            <w:shd w:val="clear" w:color="auto" w:fill="C6EFCE"/>
            <w:noWrap/>
            <w:hideMark/>
          </w:tcPr>
          <w:p w14:paraId="085354AD"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417" w:type="dxa"/>
            <w:tcBorders>
              <w:top w:val="nil"/>
              <w:left w:val="nil"/>
              <w:bottom w:val="single" w:sz="4" w:space="0" w:color="auto"/>
              <w:right w:val="single" w:sz="4" w:space="0" w:color="auto"/>
            </w:tcBorders>
            <w:shd w:val="clear" w:color="auto" w:fill="C6EFCE"/>
            <w:noWrap/>
            <w:hideMark/>
          </w:tcPr>
          <w:p w14:paraId="7FE42A64"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Sporirea calității vieții în zonele urbane</w:t>
            </w:r>
          </w:p>
        </w:tc>
        <w:tc>
          <w:tcPr>
            <w:tcW w:w="1498" w:type="dxa"/>
            <w:tcBorders>
              <w:top w:val="nil"/>
              <w:left w:val="nil"/>
              <w:bottom w:val="single" w:sz="4" w:space="0" w:color="auto"/>
              <w:right w:val="single" w:sz="4" w:space="0" w:color="auto"/>
            </w:tcBorders>
            <w:shd w:val="clear" w:color="auto" w:fill="C6EFCE"/>
            <w:noWrap/>
            <w:hideMark/>
          </w:tcPr>
          <w:p w14:paraId="6F3B2B59" w14:textId="77777777" w:rsidR="007873BE" w:rsidRPr="009F1DC7" w:rsidRDefault="007873BE">
            <w:pPr>
              <w:spacing w:after="0" w:line="240" w:lineRule="auto"/>
              <w:jc w:val="both"/>
              <w:rPr>
                <w:rFonts w:ascii="Times New Roman" w:eastAsia="Times New Roman" w:hAnsi="Times New Roman" w:cs="Times New Roman"/>
                <w:noProof/>
                <w:sz w:val="24"/>
                <w:lang w:val="fr-FR" w:eastAsia="en-GB"/>
              </w:rPr>
            </w:pPr>
          </w:p>
        </w:tc>
        <w:tc>
          <w:tcPr>
            <w:tcW w:w="1008" w:type="dxa"/>
            <w:tcBorders>
              <w:top w:val="nil"/>
              <w:left w:val="nil"/>
              <w:bottom w:val="single" w:sz="4" w:space="0" w:color="auto"/>
              <w:right w:val="single" w:sz="4" w:space="0" w:color="auto"/>
            </w:tcBorders>
            <w:shd w:val="clear" w:color="auto" w:fill="C6EFCE"/>
            <w:noWrap/>
            <w:hideMark/>
          </w:tcPr>
          <w:p w14:paraId="4BFADA43" w14:textId="77777777" w:rsidR="007873BE" w:rsidRPr="000A27B3" w:rsidRDefault="007873BE">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71940997"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5740CA1C"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30,7 %</w:t>
            </w:r>
          </w:p>
        </w:tc>
        <w:tc>
          <w:tcPr>
            <w:tcW w:w="1200" w:type="dxa"/>
            <w:tcBorders>
              <w:top w:val="nil"/>
              <w:left w:val="nil"/>
              <w:bottom w:val="single" w:sz="4" w:space="0" w:color="auto"/>
              <w:right w:val="single" w:sz="4" w:space="0" w:color="auto"/>
            </w:tcBorders>
            <w:shd w:val="clear" w:color="auto" w:fill="C6EFCE"/>
            <w:noWrap/>
            <w:hideMark/>
          </w:tcPr>
          <w:p w14:paraId="6B966F82"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40 %</w:t>
            </w:r>
          </w:p>
        </w:tc>
        <w:tc>
          <w:tcPr>
            <w:tcW w:w="960" w:type="dxa"/>
            <w:tcBorders>
              <w:top w:val="nil"/>
              <w:left w:val="nil"/>
              <w:bottom w:val="single" w:sz="4" w:space="0" w:color="auto"/>
              <w:right w:val="single" w:sz="4" w:space="0" w:color="auto"/>
            </w:tcBorders>
            <w:shd w:val="clear" w:color="auto" w:fill="C6EFCE"/>
            <w:noWrap/>
            <w:hideMark/>
          </w:tcPr>
          <w:p w14:paraId="0540B82E"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T2 </w:t>
            </w:r>
          </w:p>
        </w:tc>
        <w:tc>
          <w:tcPr>
            <w:tcW w:w="796" w:type="dxa"/>
            <w:tcBorders>
              <w:top w:val="nil"/>
              <w:left w:val="nil"/>
              <w:bottom w:val="single" w:sz="4" w:space="0" w:color="auto"/>
              <w:right w:val="single" w:sz="4" w:space="0" w:color="auto"/>
            </w:tcBorders>
            <w:shd w:val="clear" w:color="auto" w:fill="C6EFCE"/>
            <w:noWrap/>
            <w:hideMark/>
          </w:tcPr>
          <w:p w14:paraId="1EE66A32"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159" w:type="dxa"/>
            <w:tcBorders>
              <w:top w:val="nil"/>
              <w:left w:val="nil"/>
              <w:bottom w:val="single" w:sz="4" w:space="0" w:color="auto"/>
              <w:right w:val="single" w:sz="4" w:space="0" w:color="auto"/>
            </w:tcBorders>
            <w:shd w:val="clear" w:color="auto" w:fill="C6EFCE"/>
            <w:noWrap/>
            <w:hideMark/>
          </w:tcPr>
          <w:p w14:paraId="0884BD7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Ținta se referă la creșterea calității vieții în zonele urbane cu 10 puncte procentuale (și anume, creșterea procentului de persoane care au răspuns pozitiv la afirmația „Sunt mulțumit că locuiesc în oraș: total de acord”), din T2 2020 (ca referință) la T2 2026, măsurarea utilizând o metodologie similară celei folosite pentru </w:t>
            </w:r>
            <w:hyperlink r:id="rId228">
              <w:r>
                <w:rPr>
                  <w:rFonts w:ascii="Times New Roman" w:hAnsi="Times New Roman"/>
                  <w:noProof/>
                  <w:sz w:val="24"/>
                </w:rPr>
                <w:t>sondajul privind calitatea vieții în orașele europene</w:t>
              </w:r>
            </w:hyperlink>
            <w:r>
              <w:rPr>
                <w:rFonts w:ascii="Times New Roman" w:hAnsi="Times New Roman"/>
                <w:noProof/>
                <w:sz w:val="24"/>
              </w:rPr>
              <w:t>. Sondajul se va efectua cu ajutorul unui furnizor extern.</w:t>
            </w:r>
          </w:p>
        </w:tc>
      </w:tr>
      <w:tr w:rsidR="000A27B3" w:rsidRPr="000A27B3" w14:paraId="6DA23880"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2809DC51" w14:textId="77777777" w:rsidR="007873BE" w:rsidRPr="000A27B3" w:rsidRDefault="007873BE">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310</w:t>
            </w:r>
          </w:p>
        </w:tc>
        <w:tc>
          <w:tcPr>
            <w:tcW w:w="1985" w:type="dxa"/>
            <w:tcBorders>
              <w:top w:val="nil"/>
              <w:left w:val="nil"/>
              <w:bottom w:val="single" w:sz="4" w:space="0" w:color="auto"/>
              <w:right w:val="single" w:sz="4" w:space="0" w:color="auto"/>
            </w:tcBorders>
            <w:shd w:val="clear" w:color="auto" w:fill="C6EFCE"/>
            <w:noWrap/>
            <w:hideMark/>
          </w:tcPr>
          <w:p w14:paraId="1D55E85E" w14:textId="3565413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3. Crearea unui cadru de politică pentru o transformare rurală durabilă: instituirea de consorții administrative în zonele rurale funcționale </w:t>
            </w:r>
          </w:p>
        </w:tc>
        <w:tc>
          <w:tcPr>
            <w:tcW w:w="1276" w:type="dxa"/>
            <w:tcBorders>
              <w:top w:val="nil"/>
              <w:left w:val="nil"/>
              <w:bottom w:val="single" w:sz="4" w:space="0" w:color="auto"/>
              <w:right w:val="single" w:sz="4" w:space="0" w:color="auto"/>
            </w:tcBorders>
            <w:shd w:val="clear" w:color="auto" w:fill="C6EFCE"/>
            <w:noWrap/>
            <w:hideMark/>
          </w:tcPr>
          <w:p w14:paraId="03C028EE" w14:textId="77777777" w:rsidR="007873BE" w:rsidRPr="009F1DC7" w:rsidRDefault="007873BE">
            <w:pPr>
              <w:spacing w:after="0" w:line="240" w:lineRule="auto"/>
              <w:jc w:val="both"/>
              <w:rPr>
                <w:rFonts w:ascii="Times New Roman" w:eastAsia="Times New Roman" w:hAnsi="Times New Roman" w:cs="Times New Roman"/>
                <w:noProof/>
                <w:sz w:val="24"/>
                <w:szCs w:val="24"/>
                <w:lang w:val="fr-FR" w:eastAsia="en-GB"/>
              </w:rPr>
            </w:pPr>
          </w:p>
        </w:tc>
        <w:tc>
          <w:tcPr>
            <w:tcW w:w="1417" w:type="dxa"/>
            <w:tcBorders>
              <w:top w:val="nil"/>
              <w:left w:val="nil"/>
              <w:bottom w:val="single" w:sz="4" w:space="0" w:color="auto"/>
              <w:right w:val="single" w:sz="4" w:space="0" w:color="auto"/>
            </w:tcBorders>
            <w:shd w:val="clear" w:color="auto" w:fill="C6EFCE"/>
            <w:noWrap/>
            <w:hideMark/>
          </w:tcPr>
          <w:p w14:paraId="7DEEF093"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actului legislativ de modificare a Codului administrativ și de instituire a unor consorții administrative în unitățile administrativ-teritoriale rurale sau predominant rurale învecinate, existente ca zone rurale funcționale</w:t>
            </w:r>
          </w:p>
        </w:tc>
        <w:tc>
          <w:tcPr>
            <w:tcW w:w="1498" w:type="dxa"/>
            <w:tcBorders>
              <w:top w:val="nil"/>
              <w:left w:val="nil"/>
              <w:bottom w:val="single" w:sz="4" w:space="0" w:color="auto"/>
              <w:right w:val="single" w:sz="4" w:space="0" w:color="auto"/>
            </w:tcBorders>
            <w:shd w:val="clear" w:color="auto" w:fill="C6EFCE"/>
            <w:noWrap/>
            <w:hideMark/>
          </w:tcPr>
          <w:p w14:paraId="5290277F"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legislativ</w:t>
            </w:r>
          </w:p>
        </w:tc>
        <w:tc>
          <w:tcPr>
            <w:tcW w:w="1008" w:type="dxa"/>
            <w:tcBorders>
              <w:top w:val="nil"/>
              <w:left w:val="nil"/>
              <w:bottom w:val="single" w:sz="4" w:space="0" w:color="auto"/>
              <w:right w:val="single" w:sz="4" w:space="0" w:color="auto"/>
            </w:tcBorders>
            <w:shd w:val="clear" w:color="auto" w:fill="C6EFCE"/>
            <w:noWrap/>
            <w:hideMark/>
          </w:tcPr>
          <w:p w14:paraId="7F4802C8"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089FB616"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72190E2E"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960" w:type="dxa"/>
            <w:tcBorders>
              <w:top w:val="nil"/>
              <w:left w:val="nil"/>
              <w:bottom w:val="single" w:sz="4" w:space="0" w:color="auto"/>
              <w:right w:val="single" w:sz="4" w:space="0" w:color="auto"/>
            </w:tcBorders>
            <w:shd w:val="clear" w:color="auto" w:fill="C6EFCE"/>
            <w:noWrap/>
            <w:hideMark/>
          </w:tcPr>
          <w:p w14:paraId="4641F0A6"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796" w:type="dxa"/>
            <w:tcBorders>
              <w:top w:val="nil"/>
              <w:left w:val="nil"/>
              <w:bottom w:val="single" w:sz="4" w:space="0" w:color="auto"/>
              <w:right w:val="single" w:sz="4" w:space="0" w:color="auto"/>
            </w:tcBorders>
            <w:shd w:val="clear" w:color="auto" w:fill="C6EFCE"/>
            <w:noWrap/>
            <w:hideMark/>
          </w:tcPr>
          <w:p w14:paraId="6AB9E68B"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159" w:type="dxa"/>
            <w:tcBorders>
              <w:top w:val="nil"/>
              <w:left w:val="nil"/>
              <w:bottom w:val="single" w:sz="4" w:space="0" w:color="auto"/>
              <w:right w:val="single" w:sz="4" w:space="0" w:color="auto"/>
            </w:tcBorders>
            <w:shd w:val="clear" w:color="auto" w:fill="C6EFCE"/>
            <w:noWrap/>
            <w:hideMark/>
          </w:tcPr>
          <w:p w14:paraId="78CE655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Modificările Codului administrativ vor institui consorții administrative în zonele rurale funcționale [astfel cum sunt definite în conformitate cu metodologia gradului de urbanizare (DEGURBA)] care prezintă un anumit grad de integrare economică și socială și/sau se confruntă cu provocări și oportunități similare pentru dezvoltarea lor (de exemplu, proximitatea față de resursele naturale comune, expunerea la aceleași șocuri structurale).</w:t>
            </w:r>
          </w:p>
          <w:p w14:paraId="2111DA2D" w14:textId="77777777" w:rsidR="007873BE" w:rsidRPr="000A27B3" w:rsidRDefault="007873BE">
            <w:pPr>
              <w:pBdr>
                <w:top w:val="nil"/>
                <w:left w:val="nil"/>
                <w:bottom w:val="nil"/>
                <w:right w:val="nil"/>
                <w:between w:val="nil"/>
              </w:pBdr>
              <w:spacing w:after="0" w:line="240" w:lineRule="auto"/>
              <w:jc w:val="both"/>
              <w:rPr>
                <w:rFonts w:ascii="Times New Roman" w:hAnsi="Times New Roman" w:cs="Times New Roman"/>
                <w:noProof/>
                <w:sz w:val="24"/>
                <w:szCs w:val="24"/>
              </w:rPr>
            </w:pPr>
            <w:r>
              <w:rPr>
                <w:rFonts w:ascii="Times New Roman" w:hAnsi="Times New Roman"/>
                <w:noProof/>
                <w:sz w:val="24"/>
              </w:rPr>
              <w:t>Modificările legislative:</w:t>
            </w:r>
          </w:p>
          <w:p w14:paraId="44EBACAA"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vor defini regimul juridic și responsabilitățile consorțiilor administrative instituite pe baza unei abordări a zonelor rurale funcționale, în vederea îmbunătățirii eficienței serviciilor publice sociale, educaționale și de sănătate, precum și a sprijinului pentru persoanele care desfășoară activități independente în agricultură (cum ar fi accesul la piețe și cooperarea sporită), precum și a eficacității punerii în aplicare a investițiilor, care vor conduce la îmbunătățirea coeziunii teritoriale, a integrării zonelor rurale și a capitalizării durabile a patrimoniului natural și cultural;</w:t>
            </w:r>
          </w:p>
          <w:p w14:paraId="204BD811"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vor înființa un organism corespunzător fiecărui consorțiu administrativ care va desfășura activități specifice pentru mai multe autorități publice locale și va contribui la punerea în aplicare a obiectivelor strategice ale autorităților publice implicate. Organismul va gestiona următoarele tipuri de servicii publice: amenajarea teritoriului și urbanism; achiziții publice; investiții; gestionarea domeniului public și privat; servicii financiare și contabile; servicii juridice; asistență socială; registrul agricol; registrul de stare civilă; cadastru;</w:t>
            </w:r>
          </w:p>
          <w:p w14:paraId="18ACC3A5"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vor asigura un buget transparent și previzibil, alcătuit din contribuții din partea unităților administrative care formează consorțiile administrative și din transferuri din partea administrației centrale pe baza unor criterii de performanță transparente legate de obiectivele de politică de la nivelul zonei rurale funcționale; </w:t>
            </w:r>
          </w:p>
          <w:p w14:paraId="36DA3EA6"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vor face posibilă integrarea digitală deplină a serviciilor publice furnizate de unitățile administrative ale consorțiilor în vederea furnizării de servicii publice într-un timp mai scurt pentru cetățeni și antreprenori, inclusiv prin achiziții comune pentru furnizarea de bunuri și servicii, la nivelul zonelor rurale funcționale.</w:t>
            </w:r>
          </w:p>
        </w:tc>
      </w:tr>
      <w:tr w:rsidR="000A27B3" w:rsidRPr="000A27B3" w14:paraId="65DCACCE"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hideMark/>
          </w:tcPr>
          <w:p w14:paraId="035E6A4F" w14:textId="77777777" w:rsidR="007873BE" w:rsidRPr="000A27B3" w:rsidRDefault="007873BE">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311</w:t>
            </w:r>
          </w:p>
        </w:tc>
        <w:tc>
          <w:tcPr>
            <w:tcW w:w="1985" w:type="dxa"/>
            <w:tcBorders>
              <w:top w:val="nil"/>
              <w:left w:val="nil"/>
              <w:bottom w:val="single" w:sz="4" w:space="0" w:color="auto"/>
              <w:right w:val="single" w:sz="4" w:space="0" w:color="auto"/>
            </w:tcBorders>
            <w:shd w:val="clear" w:color="auto" w:fill="C6EFCE"/>
            <w:noWrap/>
            <w:hideMark/>
          </w:tcPr>
          <w:p w14:paraId="58210A13"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3. Crearea unui cadru de politică pentru o transformare rurală durabilă: instituirea de consorții administrative în zonele rurale funcționale </w:t>
            </w:r>
          </w:p>
        </w:tc>
        <w:tc>
          <w:tcPr>
            <w:tcW w:w="1276" w:type="dxa"/>
            <w:tcBorders>
              <w:top w:val="nil"/>
              <w:left w:val="nil"/>
              <w:bottom w:val="single" w:sz="4" w:space="0" w:color="auto"/>
              <w:right w:val="single" w:sz="4" w:space="0" w:color="auto"/>
            </w:tcBorders>
            <w:shd w:val="clear" w:color="auto" w:fill="C6EFCE"/>
            <w:noWrap/>
            <w:hideMark/>
          </w:tcPr>
          <w:p w14:paraId="068C6FA5"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417" w:type="dxa"/>
            <w:tcBorders>
              <w:top w:val="nil"/>
              <w:left w:val="nil"/>
              <w:bottom w:val="single" w:sz="4" w:space="0" w:color="auto"/>
              <w:right w:val="single" w:sz="4" w:space="0" w:color="auto"/>
            </w:tcBorders>
            <w:shd w:val="clear" w:color="auto" w:fill="C6EFCE"/>
            <w:noWrap/>
            <w:hideMark/>
          </w:tcPr>
          <w:p w14:paraId="54A3C044"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Reducerea sărăciei și a excluziunii sociale în zonele rurale</w:t>
            </w:r>
          </w:p>
        </w:tc>
        <w:tc>
          <w:tcPr>
            <w:tcW w:w="1498" w:type="dxa"/>
            <w:tcBorders>
              <w:top w:val="nil"/>
              <w:left w:val="nil"/>
              <w:bottom w:val="single" w:sz="4" w:space="0" w:color="auto"/>
              <w:right w:val="single" w:sz="4" w:space="0" w:color="auto"/>
            </w:tcBorders>
            <w:shd w:val="clear" w:color="auto" w:fill="C6EFCE"/>
            <w:noWrap/>
            <w:hideMark/>
          </w:tcPr>
          <w:p w14:paraId="2913DACE"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008" w:type="dxa"/>
            <w:tcBorders>
              <w:top w:val="nil"/>
              <w:left w:val="nil"/>
              <w:bottom w:val="single" w:sz="4" w:space="0" w:color="auto"/>
              <w:right w:val="single" w:sz="4" w:space="0" w:color="auto"/>
            </w:tcBorders>
            <w:shd w:val="clear" w:color="auto" w:fill="C6EFCE"/>
            <w:noWrap/>
            <w:hideMark/>
          </w:tcPr>
          <w:p w14:paraId="79BDCC1A"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Procent</w:t>
            </w:r>
          </w:p>
        </w:tc>
        <w:tc>
          <w:tcPr>
            <w:tcW w:w="1200" w:type="dxa"/>
            <w:tcBorders>
              <w:top w:val="nil"/>
              <w:left w:val="nil"/>
              <w:bottom w:val="single" w:sz="4" w:space="0" w:color="auto"/>
              <w:right w:val="single" w:sz="4" w:space="0" w:color="auto"/>
            </w:tcBorders>
            <w:shd w:val="clear" w:color="auto" w:fill="C6EFCE"/>
            <w:noWrap/>
            <w:hideMark/>
          </w:tcPr>
          <w:p w14:paraId="014BF54A"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45,4 %</w:t>
            </w:r>
          </w:p>
        </w:tc>
        <w:tc>
          <w:tcPr>
            <w:tcW w:w="1200" w:type="dxa"/>
            <w:tcBorders>
              <w:top w:val="nil"/>
              <w:left w:val="nil"/>
              <w:bottom w:val="single" w:sz="4" w:space="0" w:color="auto"/>
              <w:right w:val="single" w:sz="4" w:space="0" w:color="auto"/>
            </w:tcBorders>
            <w:shd w:val="clear" w:color="auto" w:fill="C6EFCE"/>
            <w:noWrap/>
            <w:hideMark/>
          </w:tcPr>
          <w:p w14:paraId="5A0DC477"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38 %</w:t>
            </w:r>
          </w:p>
        </w:tc>
        <w:tc>
          <w:tcPr>
            <w:tcW w:w="960" w:type="dxa"/>
            <w:tcBorders>
              <w:top w:val="nil"/>
              <w:left w:val="nil"/>
              <w:bottom w:val="single" w:sz="4" w:space="0" w:color="auto"/>
              <w:right w:val="single" w:sz="4" w:space="0" w:color="auto"/>
            </w:tcBorders>
            <w:shd w:val="clear" w:color="auto" w:fill="C6EFCE"/>
            <w:noWrap/>
            <w:hideMark/>
          </w:tcPr>
          <w:p w14:paraId="5D36E5FE"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796" w:type="dxa"/>
            <w:tcBorders>
              <w:top w:val="nil"/>
              <w:left w:val="nil"/>
              <w:bottom w:val="single" w:sz="4" w:space="0" w:color="auto"/>
              <w:right w:val="single" w:sz="4" w:space="0" w:color="auto"/>
            </w:tcBorders>
            <w:shd w:val="clear" w:color="auto" w:fill="C6EFCE"/>
            <w:noWrap/>
            <w:hideMark/>
          </w:tcPr>
          <w:p w14:paraId="1E2221A2"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2026 </w:t>
            </w:r>
          </w:p>
        </w:tc>
        <w:tc>
          <w:tcPr>
            <w:tcW w:w="3159" w:type="dxa"/>
            <w:tcBorders>
              <w:top w:val="nil"/>
              <w:left w:val="nil"/>
              <w:bottom w:val="single" w:sz="4" w:space="0" w:color="auto"/>
              <w:right w:val="single" w:sz="4" w:space="0" w:color="auto"/>
            </w:tcBorders>
            <w:shd w:val="clear" w:color="auto" w:fill="C6EFCE"/>
            <w:noWrap/>
            <w:hideMark/>
          </w:tcPr>
          <w:p w14:paraId="1E710DF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Scăderea cu cel puțin 7,4 puncte procentuale a ratei de sărăcie și excluziune socială în zonele rurale, conform indicatorului EUROSTAT (ILC_PEPS13), utilizând cifra de referință de 45,4 % în 2020</w:t>
            </w:r>
          </w:p>
          <w:p w14:paraId="72313C21" w14:textId="77777777" w:rsidR="007873BE" w:rsidRPr="009F1DC7" w:rsidRDefault="007873BE">
            <w:pPr>
              <w:spacing w:after="0" w:line="240" w:lineRule="auto"/>
              <w:jc w:val="both"/>
              <w:rPr>
                <w:rFonts w:ascii="Times New Roman" w:eastAsia="Times New Roman" w:hAnsi="Times New Roman" w:cs="Times New Roman"/>
                <w:noProof/>
                <w:sz w:val="24"/>
                <w:szCs w:val="24"/>
                <w:lang w:eastAsia="en-GB"/>
              </w:rPr>
            </w:pPr>
          </w:p>
        </w:tc>
      </w:tr>
      <w:tr w:rsidR="000A27B3" w:rsidRPr="000A27B3" w14:paraId="41AE4762"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5DDE4D8D"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312</w:t>
            </w:r>
          </w:p>
        </w:tc>
        <w:tc>
          <w:tcPr>
            <w:tcW w:w="1985" w:type="dxa"/>
            <w:tcBorders>
              <w:top w:val="nil"/>
              <w:left w:val="nil"/>
              <w:bottom w:val="single" w:sz="4" w:space="0" w:color="auto"/>
              <w:right w:val="single" w:sz="4" w:space="0" w:color="auto"/>
            </w:tcBorders>
            <w:shd w:val="clear" w:color="auto" w:fill="C6EFCE"/>
            <w:noWrap/>
          </w:tcPr>
          <w:p w14:paraId="3451F79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4. Îmbunătățirea calității locuințelor </w:t>
            </w:r>
          </w:p>
        </w:tc>
        <w:tc>
          <w:tcPr>
            <w:tcW w:w="1276" w:type="dxa"/>
            <w:tcBorders>
              <w:top w:val="nil"/>
              <w:left w:val="nil"/>
              <w:bottom w:val="single" w:sz="4" w:space="0" w:color="auto"/>
              <w:right w:val="single" w:sz="4" w:space="0" w:color="auto"/>
            </w:tcBorders>
            <w:shd w:val="clear" w:color="auto" w:fill="C6EFCE"/>
            <w:noWrap/>
          </w:tcPr>
          <w:p w14:paraId="4793F56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17" w:type="dxa"/>
            <w:tcBorders>
              <w:top w:val="nil"/>
              <w:left w:val="nil"/>
              <w:bottom w:val="single" w:sz="4" w:space="0" w:color="auto"/>
              <w:right w:val="single" w:sz="4" w:space="0" w:color="auto"/>
            </w:tcBorders>
            <w:shd w:val="clear" w:color="auto" w:fill="C6EFCE"/>
            <w:noWrap/>
          </w:tcPr>
          <w:p w14:paraId="123A6E4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actului legislativ de implementare a Strategiei naționale a locuirii și a planului de acțiune de reducere a privării severe de locuință</w:t>
            </w:r>
          </w:p>
        </w:tc>
        <w:tc>
          <w:tcPr>
            <w:tcW w:w="1498" w:type="dxa"/>
            <w:tcBorders>
              <w:top w:val="nil"/>
              <w:left w:val="nil"/>
              <w:bottom w:val="single" w:sz="4" w:space="0" w:color="auto"/>
              <w:right w:val="single" w:sz="4" w:space="0" w:color="auto"/>
            </w:tcBorders>
            <w:shd w:val="clear" w:color="auto" w:fill="C6EFCE"/>
            <w:noWrap/>
          </w:tcPr>
          <w:p w14:paraId="66A63971" w14:textId="77777777" w:rsidR="007873BE" w:rsidRPr="000A27B3" w:rsidRDefault="007873BE">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legislativ de implementare a Strategiei naționale a locuirii și a planului de acțiune de reducere a privării severe de locuință</w:t>
            </w:r>
          </w:p>
        </w:tc>
        <w:tc>
          <w:tcPr>
            <w:tcW w:w="1008" w:type="dxa"/>
            <w:tcBorders>
              <w:top w:val="nil"/>
              <w:left w:val="nil"/>
              <w:bottom w:val="single" w:sz="4" w:space="0" w:color="auto"/>
              <w:right w:val="single" w:sz="4" w:space="0" w:color="auto"/>
            </w:tcBorders>
            <w:shd w:val="clear" w:color="auto" w:fill="C6EFCE"/>
            <w:noWrap/>
          </w:tcPr>
          <w:p w14:paraId="11F68A1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3A1CF06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0340251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tcPr>
          <w:p w14:paraId="4EDAE21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nil"/>
              <w:left w:val="nil"/>
              <w:bottom w:val="single" w:sz="4" w:space="0" w:color="auto"/>
              <w:right w:val="single" w:sz="4" w:space="0" w:color="auto"/>
            </w:tcBorders>
            <w:shd w:val="clear" w:color="auto" w:fill="C6EFCE"/>
            <w:noWrap/>
          </w:tcPr>
          <w:p w14:paraId="3E20F2F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159" w:type="dxa"/>
            <w:tcBorders>
              <w:top w:val="nil"/>
              <w:left w:val="nil"/>
              <w:bottom w:val="single" w:sz="4" w:space="0" w:color="auto"/>
              <w:right w:val="single" w:sz="4" w:space="0" w:color="auto"/>
            </w:tcBorders>
            <w:shd w:val="clear" w:color="auto" w:fill="C6EFCE"/>
            <w:noWrap/>
          </w:tcPr>
          <w:p w14:paraId="1116A1D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Actul legislativ va asigura punerea în aplicare a Strategiei naționale a locuirii și a planului de acțiune în vederea îmbunătățirii calității locuințelor pentru categoriile și grupurile vulnerabile, reducând privarea severă de locuință, în special pentru persoanele din comunitățile marginalizate din zonele urbane și rurale.</w:t>
            </w:r>
          </w:p>
          <w:p w14:paraId="2C4B64F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Strategia și planul de acțiune: </w:t>
            </w:r>
          </w:p>
          <w:p w14:paraId="636DF402"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vor fi însoțite de o cartografiere a necesităților de locuințe, în special în comunitățile și grupurile marginalizate, inclusiv în așezările informale, în zonele urbane și rurale (conform versiunii actualizate a Atlasului comunităților marginalizate); </w:t>
            </w:r>
          </w:p>
          <w:p w14:paraId="0C36D01D"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vor asigura o abordare care garantează complementaritatea/corespunde cu investițiile existente sau viitoare ale centrelor comunitare integrate (adică furnizarea de servicii educaționale, sociale și de asistență medicală de bază) finanțate în cadrul FSE+ și al fondurilor viitoarei politici de coeziune;</w:t>
            </w:r>
          </w:p>
          <w:p w14:paraId="2DDAA4C7"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vor asigura acces complementar la educație și la servicii de sănătate în comunitățile marginalizate (astfel cum au fost identificate în versiunea actualizată a Atlasului comunităților marginalizate);</w:t>
            </w:r>
          </w:p>
          <w:p w14:paraId="37F041A2"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nu vor conduce la segregare socială;</w:t>
            </w:r>
          </w:p>
          <w:p w14:paraId="1712A771"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vor asigura posibilitatea de a utiliza zonele metropolitane, consorțiile administrative și asociațiile de dezvoltare intercomunitară pentru implementarea investițiilor.</w:t>
            </w:r>
          </w:p>
        </w:tc>
      </w:tr>
      <w:tr w:rsidR="000A27B3" w:rsidRPr="000A27B3" w14:paraId="5FF4CF28"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55F55052"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313</w:t>
            </w:r>
          </w:p>
        </w:tc>
        <w:tc>
          <w:tcPr>
            <w:tcW w:w="1985" w:type="dxa"/>
            <w:tcBorders>
              <w:top w:val="nil"/>
              <w:left w:val="nil"/>
              <w:bottom w:val="single" w:sz="4" w:space="0" w:color="auto"/>
              <w:right w:val="single" w:sz="4" w:space="0" w:color="auto"/>
            </w:tcBorders>
            <w:shd w:val="clear" w:color="auto" w:fill="C6EFCE"/>
            <w:noWrap/>
          </w:tcPr>
          <w:p w14:paraId="3F172BD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4. Îmbunătățirea calității locuințelor </w:t>
            </w:r>
          </w:p>
        </w:tc>
        <w:tc>
          <w:tcPr>
            <w:tcW w:w="1276" w:type="dxa"/>
            <w:tcBorders>
              <w:top w:val="nil"/>
              <w:left w:val="nil"/>
              <w:bottom w:val="single" w:sz="4" w:space="0" w:color="auto"/>
              <w:right w:val="single" w:sz="4" w:space="0" w:color="auto"/>
            </w:tcBorders>
            <w:shd w:val="clear" w:color="auto" w:fill="C6EFCE"/>
            <w:noWrap/>
          </w:tcPr>
          <w:p w14:paraId="76F9869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417" w:type="dxa"/>
            <w:tcBorders>
              <w:top w:val="nil"/>
              <w:left w:val="nil"/>
              <w:bottom w:val="single" w:sz="4" w:space="0" w:color="auto"/>
              <w:right w:val="single" w:sz="4" w:space="0" w:color="auto"/>
            </w:tcBorders>
            <w:shd w:val="clear" w:color="auto" w:fill="C6EFCE"/>
            <w:noWrap/>
          </w:tcPr>
          <w:p w14:paraId="5DADEEA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Reducerea procentului de supraaglomerare a locuințelor </w:t>
            </w:r>
          </w:p>
        </w:tc>
        <w:tc>
          <w:tcPr>
            <w:tcW w:w="1498" w:type="dxa"/>
            <w:tcBorders>
              <w:top w:val="nil"/>
              <w:left w:val="nil"/>
              <w:bottom w:val="single" w:sz="4" w:space="0" w:color="auto"/>
              <w:right w:val="single" w:sz="4" w:space="0" w:color="auto"/>
            </w:tcBorders>
            <w:shd w:val="clear" w:color="auto" w:fill="C6EFCE"/>
            <w:noWrap/>
          </w:tcPr>
          <w:p w14:paraId="74A970BB"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1008" w:type="dxa"/>
            <w:tcBorders>
              <w:top w:val="nil"/>
              <w:left w:val="nil"/>
              <w:bottom w:val="single" w:sz="4" w:space="0" w:color="auto"/>
              <w:right w:val="single" w:sz="4" w:space="0" w:color="auto"/>
            </w:tcBorders>
            <w:shd w:val="clear" w:color="auto" w:fill="C6EFCE"/>
            <w:noWrap/>
          </w:tcPr>
          <w:p w14:paraId="23569DA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Procent</w:t>
            </w:r>
          </w:p>
        </w:tc>
        <w:tc>
          <w:tcPr>
            <w:tcW w:w="1200" w:type="dxa"/>
            <w:tcBorders>
              <w:top w:val="nil"/>
              <w:left w:val="nil"/>
              <w:bottom w:val="single" w:sz="4" w:space="0" w:color="auto"/>
              <w:right w:val="single" w:sz="4" w:space="0" w:color="auto"/>
            </w:tcBorders>
            <w:shd w:val="clear" w:color="auto" w:fill="C6EFCE"/>
            <w:noWrap/>
          </w:tcPr>
          <w:p w14:paraId="4CEA38A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45,1 %</w:t>
            </w:r>
          </w:p>
        </w:tc>
        <w:tc>
          <w:tcPr>
            <w:tcW w:w="1200" w:type="dxa"/>
            <w:tcBorders>
              <w:top w:val="nil"/>
              <w:left w:val="nil"/>
              <w:bottom w:val="single" w:sz="4" w:space="0" w:color="auto"/>
              <w:right w:val="single" w:sz="4" w:space="0" w:color="auto"/>
            </w:tcBorders>
            <w:shd w:val="clear" w:color="auto" w:fill="C6EFCE"/>
            <w:noWrap/>
          </w:tcPr>
          <w:p w14:paraId="508D231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39 %</w:t>
            </w:r>
          </w:p>
        </w:tc>
        <w:tc>
          <w:tcPr>
            <w:tcW w:w="960" w:type="dxa"/>
            <w:tcBorders>
              <w:top w:val="nil"/>
              <w:left w:val="nil"/>
              <w:bottom w:val="single" w:sz="4" w:space="0" w:color="auto"/>
              <w:right w:val="single" w:sz="4" w:space="0" w:color="auto"/>
            </w:tcBorders>
            <w:shd w:val="clear" w:color="auto" w:fill="C6EFCE"/>
            <w:noWrap/>
          </w:tcPr>
          <w:p w14:paraId="5188AFF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nil"/>
              <w:left w:val="nil"/>
              <w:bottom w:val="single" w:sz="4" w:space="0" w:color="auto"/>
              <w:right w:val="single" w:sz="4" w:space="0" w:color="auto"/>
            </w:tcBorders>
            <w:shd w:val="clear" w:color="auto" w:fill="C6EFCE"/>
            <w:noWrap/>
          </w:tcPr>
          <w:p w14:paraId="03D3FC9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159" w:type="dxa"/>
            <w:tcBorders>
              <w:top w:val="nil"/>
              <w:left w:val="nil"/>
              <w:bottom w:val="single" w:sz="4" w:space="0" w:color="auto"/>
              <w:right w:val="single" w:sz="4" w:space="0" w:color="auto"/>
            </w:tcBorders>
            <w:shd w:val="clear" w:color="auto" w:fill="C6EFCE"/>
            <w:noWrap/>
          </w:tcPr>
          <w:p w14:paraId="768ED0F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Reducerea cu 6,1 puncte procentuale a ratei de suprapopulare a locuințelor, conform indicatorului Eurostat (ILC_LVHO05A), utilizând cifra de referință de 45,1 % din 2020</w:t>
            </w:r>
          </w:p>
        </w:tc>
      </w:tr>
      <w:tr w:rsidR="000A27B3" w:rsidRPr="000A27B3" w14:paraId="03B3CCD7"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4DBC0992"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314</w:t>
            </w:r>
          </w:p>
        </w:tc>
        <w:tc>
          <w:tcPr>
            <w:tcW w:w="1985" w:type="dxa"/>
            <w:tcBorders>
              <w:top w:val="nil"/>
              <w:left w:val="nil"/>
              <w:bottom w:val="single" w:sz="4" w:space="0" w:color="auto"/>
              <w:right w:val="single" w:sz="4" w:space="0" w:color="auto"/>
            </w:tcBorders>
            <w:shd w:val="clear" w:color="auto" w:fill="C6EFCE"/>
            <w:noWrap/>
          </w:tcPr>
          <w:p w14:paraId="41C8104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4. Îmbunătățirea calității locuințelor </w:t>
            </w:r>
          </w:p>
        </w:tc>
        <w:tc>
          <w:tcPr>
            <w:tcW w:w="1276" w:type="dxa"/>
            <w:tcBorders>
              <w:top w:val="nil"/>
              <w:left w:val="nil"/>
              <w:bottom w:val="single" w:sz="4" w:space="0" w:color="auto"/>
              <w:right w:val="single" w:sz="4" w:space="0" w:color="auto"/>
            </w:tcBorders>
            <w:shd w:val="clear" w:color="auto" w:fill="C6EFCE"/>
            <w:noWrap/>
          </w:tcPr>
          <w:p w14:paraId="3325B01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417" w:type="dxa"/>
            <w:tcBorders>
              <w:top w:val="nil"/>
              <w:left w:val="nil"/>
              <w:bottom w:val="single" w:sz="4" w:space="0" w:color="auto"/>
              <w:right w:val="single" w:sz="4" w:space="0" w:color="auto"/>
            </w:tcBorders>
            <w:shd w:val="clear" w:color="auto" w:fill="C6EFCE"/>
            <w:noWrap/>
          </w:tcPr>
          <w:p w14:paraId="47E1279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Reducerea procentului de populație care locuiește în așezări informale </w:t>
            </w:r>
          </w:p>
        </w:tc>
        <w:tc>
          <w:tcPr>
            <w:tcW w:w="1498" w:type="dxa"/>
            <w:tcBorders>
              <w:top w:val="nil"/>
              <w:left w:val="nil"/>
              <w:bottom w:val="single" w:sz="4" w:space="0" w:color="auto"/>
              <w:right w:val="single" w:sz="4" w:space="0" w:color="auto"/>
            </w:tcBorders>
            <w:shd w:val="clear" w:color="auto" w:fill="C6EFCE"/>
            <w:noWrap/>
          </w:tcPr>
          <w:p w14:paraId="23B89F67" w14:textId="77777777" w:rsidR="007873BE" w:rsidRPr="009F1DC7" w:rsidRDefault="007873BE">
            <w:pPr>
              <w:spacing w:after="0" w:line="240" w:lineRule="auto"/>
              <w:jc w:val="both"/>
              <w:rPr>
                <w:rFonts w:ascii="Times New Roman" w:hAnsi="Times New Roman" w:cs="Times New Roman"/>
                <w:noProof/>
                <w:sz w:val="24"/>
                <w:szCs w:val="24"/>
                <w:lang w:val="fr-FR"/>
              </w:rPr>
            </w:pPr>
          </w:p>
        </w:tc>
        <w:tc>
          <w:tcPr>
            <w:tcW w:w="1008" w:type="dxa"/>
            <w:tcBorders>
              <w:top w:val="nil"/>
              <w:left w:val="nil"/>
              <w:bottom w:val="single" w:sz="4" w:space="0" w:color="auto"/>
              <w:right w:val="single" w:sz="4" w:space="0" w:color="auto"/>
            </w:tcBorders>
            <w:shd w:val="clear" w:color="auto" w:fill="C6EFCE"/>
            <w:noWrap/>
          </w:tcPr>
          <w:p w14:paraId="7CC7FA3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Procent</w:t>
            </w:r>
          </w:p>
        </w:tc>
        <w:tc>
          <w:tcPr>
            <w:tcW w:w="1200" w:type="dxa"/>
            <w:tcBorders>
              <w:top w:val="nil"/>
              <w:left w:val="nil"/>
              <w:bottom w:val="single" w:sz="4" w:space="0" w:color="auto"/>
              <w:right w:val="single" w:sz="4" w:space="0" w:color="auto"/>
            </w:tcBorders>
            <w:shd w:val="clear" w:color="auto" w:fill="C6EFCE"/>
            <w:noWrap/>
          </w:tcPr>
          <w:p w14:paraId="1ED650D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nil"/>
              <w:left w:val="nil"/>
              <w:bottom w:val="single" w:sz="4" w:space="0" w:color="auto"/>
              <w:right w:val="single" w:sz="4" w:space="0" w:color="auto"/>
            </w:tcBorders>
            <w:shd w:val="clear" w:color="auto" w:fill="C6EFCE"/>
            <w:noWrap/>
          </w:tcPr>
          <w:p w14:paraId="1EE7371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20 %</w:t>
            </w:r>
          </w:p>
        </w:tc>
        <w:tc>
          <w:tcPr>
            <w:tcW w:w="960" w:type="dxa"/>
            <w:tcBorders>
              <w:top w:val="nil"/>
              <w:left w:val="nil"/>
              <w:bottom w:val="single" w:sz="4" w:space="0" w:color="auto"/>
              <w:right w:val="single" w:sz="4" w:space="0" w:color="auto"/>
            </w:tcBorders>
            <w:shd w:val="clear" w:color="auto" w:fill="C6EFCE"/>
            <w:noWrap/>
          </w:tcPr>
          <w:p w14:paraId="273A67E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nil"/>
              <w:left w:val="nil"/>
              <w:bottom w:val="single" w:sz="4" w:space="0" w:color="auto"/>
              <w:right w:val="single" w:sz="4" w:space="0" w:color="auto"/>
            </w:tcBorders>
            <w:shd w:val="clear" w:color="auto" w:fill="C6EFCE"/>
            <w:noWrap/>
          </w:tcPr>
          <w:p w14:paraId="06B0888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159" w:type="dxa"/>
            <w:tcBorders>
              <w:top w:val="nil"/>
              <w:left w:val="nil"/>
              <w:bottom w:val="single" w:sz="4" w:space="0" w:color="auto"/>
              <w:right w:val="single" w:sz="4" w:space="0" w:color="auto"/>
            </w:tcBorders>
            <w:shd w:val="clear" w:color="auto" w:fill="C6EFCE"/>
            <w:noWrap/>
          </w:tcPr>
          <w:p w14:paraId="3D7319D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Ținta va viza reducerea proporției populației care locuiește în așezări informale situate în zone urbane funcționale și creșterea gradului de integrare a acestor persoane în comunități. Numărul de persoane care trăiesc în așezări informale cu locuințe precare sau fără spații de locuit va fi stabilit în urma procesului de cartografiere elaborat în conformitate cu Legea privind amenajarea teritoriului și urbanismul.</w:t>
            </w:r>
          </w:p>
        </w:tc>
      </w:tr>
      <w:tr w:rsidR="000A27B3" w:rsidRPr="000A27B3" w14:paraId="2DF13013" w14:textId="77777777" w:rsidTr="00B61E33">
        <w:trPr>
          <w:trHeight w:val="313"/>
          <w:jc w:val="center"/>
        </w:trPr>
        <w:tc>
          <w:tcPr>
            <w:tcW w:w="851" w:type="dxa"/>
            <w:tcBorders>
              <w:top w:val="nil"/>
              <w:left w:val="single" w:sz="4" w:space="0" w:color="auto"/>
              <w:bottom w:val="single" w:sz="4" w:space="0" w:color="auto"/>
              <w:right w:val="single" w:sz="4" w:space="0" w:color="auto"/>
            </w:tcBorders>
            <w:shd w:val="clear" w:color="auto" w:fill="C6EFCE"/>
            <w:noWrap/>
          </w:tcPr>
          <w:p w14:paraId="23C60543"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315</w:t>
            </w:r>
          </w:p>
        </w:tc>
        <w:tc>
          <w:tcPr>
            <w:tcW w:w="1985" w:type="dxa"/>
            <w:tcBorders>
              <w:top w:val="nil"/>
              <w:left w:val="nil"/>
              <w:bottom w:val="single" w:sz="4" w:space="0" w:color="auto"/>
              <w:right w:val="single" w:sz="4" w:space="0" w:color="auto"/>
            </w:tcBorders>
            <w:shd w:val="clear" w:color="auto" w:fill="C6EFCE"/>
            <w:noWrap/>
          </w:tcPr>
          <w:p w14:paraId="7EC494C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Reforma 5. Dezvoltarea sistemului de planificare – Codul amenajării teritoriului, urbanismului și construcțiilor</w:t>
            </w:r>
          </w:p>
        </w:tc>
        <w:tc>
          <w:tcPr>
            <w:tcW w:w="1276" w:type="dxa"/>
            <w:tcBorders>
              <w:top w:val="nil"/>
              <w:left w:val="nil"/>
              <w:bottom w:val="single" w:sz="4" w:space="0" w:color="auto"/>
              <w:right w:val="single" w:sz="4" w:space="0" w:color="auto"/>
            </w:tcBorders>
            <w:shd w:val="clear" w:color="auto" w:fill="C6EFCE"/>
            <w:noWrap/>
          </w:tcPr>
          <w:p w14:paraId="568DAF4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17" w:type="dxa"/>
            <w:tcBorders>
              <w:top w:val="nil"/>
              <w:left w:val="nil"/>
              <w:bottom w:val="single" w:sz="4" w:space="0" w:color="auto"/>
              <w:right w:val="single" w:sz="4" w:space="0" w:color="auto"/>
            </w:tcBorders>
            <w:shd w:val="clear" w:color="auto" w:fill="C6EFCE"/>
            <w:noWrap/>
          </w:tcPr>
          <w:p w14:paraId="1489136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Codului amenajării teritoriului, urbanismului și construcțiilor </w:t>
            </w:r>
          </w:p>
        </w:tc>
        <w:tc>
          <w:tcPr>
            <w:tcW w:w="1498" w:type="dxa"/>
            <w:tcBorders>
              <w:top w:val="nil"/>
              <w:left w:val="nil"/>
              <w:bottom w:val="single" w:sz="4" w:space="0" w:color="auto"/>
              <w:right w:val="single" w:sz="4" w:space="0" w:color="auto"/>
            </w:tcBorders>
            <w:shd w:val="clear" w:color="auto" w:fill="C6EFCE"/>
            <w:noWrap/>
          </w:tcPr>
          <w:p w14:paraId="69B91DA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care indică intrarea în vigoare a Codului amenajării teritoriului, urbanismului și construcțiilor </w:t>
            </w:r>
          </w:p>
        </w:tc>
        <w:tc>
          <w:tcPr>
            <w:tcW w:w="1008" w:type="dxa"/>
            <w:tcBorders>
              <w:top w:val="nil"/>
              <w:left w:val="nil"/>
              <w:bottom w:val="single" w:sz="4" w:space="0" w:color="auto"/>
              <w:right w:val="single" w:sz="4" w:space="0" w:color="auto"/>
            </w:tcBorders>
            <w:shd w:val="clear" w:color="auto" w:fill="C6EFCE"/>
            <w:noWrap/>
          </w:tcPr>
          <w:p w14:paraId="7DB31FA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5BD1316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036185C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60" w:type="dxa"/>
            <w:tcBorders>
              <w:top w:val="nil"/>
              <w:left w:val="nil"/>
              <w:bottom w:val="single" w:sz="4" w:space="0" w:color="auto"/>
              <w:right w:val="single" w:sz="4" w:space="0" w:color="auto"/>
            </w:tcBorders>
            <w:shd w:val="clear" w:color="auto" w:fill="C6EFCE"/>
            <w:noWrap/>
          </w:tcPr>
          <w:p w14:paraId="4F54F33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796" w:type="dxa"/>
            <w:tcBorders>
              <w:top w:val="nil"/>
              <w:left w:val="nil"/>
              <w:bottom w:val="single" w:sz="4" w:space="0" w:color="auto"/>
              <w:right w:val="single" w:sz="4" w:space="0" w:color="auto"/>
            </w:tcBorders>
            <w:shd w:val="clear" w:color="auto" w:fill="C6EFCE"/>
            <w:noWrap/>
          </w:tcPr>
          <w:p w14:paraId="09033E0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159" w:type="dxa"/>
            <w:tcBorders>
              <w:top w:val="nil"/>
              <w:left w:val="nil"/>
              <w:bottom w:val="single" w:sz="4" w:space="0" w:color="auto"/>
              <w:right w:val="single" w:sz="4" w:space="0" w:color="auto"/>
            </w:tcBorders>
            <w:shd w:val="clear" w:color="auto" w:fill="C6EFCE"/>
            <w:noWrap/>
          </w:tcPr>
          <w:p w14:paraId="5C6E689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Codul amenajării teritoriului, urbanismului și construcțiilor va pune în aplicare, printre altele:</w:t>
            </w:r>
          </w:p>
          <w:p w14:paraId="12AFDDA6"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reducerea sarcinii administrative, reducerea termenelor pentru emiterea actelor administrative, precum și introducerea de noi mecanisme pentru a asigura procese administrative mai eficiente, digitalizate și de calitate în construcții, inclusiv structuri de planificare la nivelul zonelor urbane funcționale;</w:t>
            </w:r>
          </w:p>
          <w:p w14:paraId="7FD6ECE3"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actualizarea și transpunerea în sistemele de informații geografice (GIS) a tuturor planurilor de amenajare a teritoriului și de urbanism general și alinierea la noile principii ale politicii urbane a României (promovarea transportului durabil și îmbunătățirea siguranței rutiere, utilizarea soluțiilor bazate pe natură/infrastructurii verzi și albastre), inclusiv la nivelul zonelor urbane și rurale funcționale; </w:t>
            </w:r>
          </w:p>
          <w:p w14:paraId="734ABA85"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măsuri de creștere a eficienței energetice și de îmbunătățire a calității aerului, prin standarde obligatorii de construcție în toate unitățile administrativ-teritoriale și în zonele urbane și rurale funcționale;</w:t>
            </w:r>
          </w:p>
          <w:p w14:paraId="14E27C7A" w14:textId="3F4682B0"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dispoziții concrete în documentele actualizate de planificare urbană care vizează reducerea timpului și a distanței aferente navetei pentru populația din zonele urbane și rurale funcționale (punerea în aplicare a conceptului „orașul de 15</w:t>
            </w:r>
            <w:r w:rsidR="00B61E33">
              <w:rPr>
                <w:rFonts w:ascii="Times New Roman" w:hAnsi="Times New Roman"/>
                <w:noProof/>
                <w:sz w:val="24"/>
              </w:rPr>
              <w:t> </w:t>
            </w:r>
            <w:r>
              <w:rPr>
                <w:rFonts w:ascii="Times New Roman" w:hAnsi="Times New Roman"/>
                <w:noProof/>
                <w:sz w:val="24"/>
              </w:rPr>
              <w:t xml:space="preserve">minute”, și anume punerea accentului pe accesul sporit la structurile relevante). </w:t>
            </w:r>
          </w:p>
          <w:p w14:paraId="4FCE070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Elaborarea și adoptarea unui document/manual de orientare pentru a facilita punerea în aplicare a noilor dispoziții ale codului.</w:t>
            </w:r>
          </w:p>
        </w:tc>
      </w:tr>
      <w:tr w:rsidR="000A27B3" w:rsidRPr="000A27B3" w14:paraId="2C66942F"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8CE2524"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316</w:t>
            </w:r>
          </w:p>
        </w:tc>
        <w:tc>
          <w:tcPr>
            <w:tcW w:w="1985" w:type="dxa"/>
            <w:tcBorders>
              <w:top w:val="single" w:sz="4" w:space="0" w:color="auto"/>
              <w:left w:val="nil"/>
              <w:bottom w:val="single" w:sz="4" w:space="0" w:color="auto"/>
              <w:right w:val="single" w:sz="4" w:space="0" w:color="auto"/>
            </w:tcBorders>
            <w:shd w:val="clear" w:color="auto" w:fill="C6EFCE"/>
            <w:noWrap/>
          </w:tcPr>
          <w:p w14:paraId="3773A08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Reforma 5. Dezvoltarea sistemului de planificare – Codul amenajării teritoriului, urbanismului și construcțiilor</w:t>
            </w:r>
          </w:p>
        </w:tc>
        <w:tc>
          <w:tcPr>
            <w:tcW w:w="1276" w:type="dxa"/>
            <w:tcBorders>
              <w:top w:val="single" w:sz="4" w:space="0" w:color="auto"/>
              <w:left w:val="nil"/>
              <w:bottom w:val="single" w:sz="4" w:space="0" w:color="auto"/>
              <w:right w:val="single" w:sz="4" w:space="0" w:color="auto"/>
            </w:tcBorders>
            <w:shd w:val="clear" w:color="auto" w:fill="C6EFCE"/>
            <w:noWrap/>
          </w:tcPr>
          <w:p w14:paraId="69E3568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17" w:type="dxa"/>
            <w:tcBorders>
              <w:top w:val="single" w:sz="4" w:space="0" w:color="auto"/>
              <w:left w:val="nil"/>
              <w:bottom w:val="single" w:sz="4" w:space="0" w:color="auto"/>
              <w:right w:val="single" w:sz="4" w:space="0" w:color="auto"/>
            </w:tcBorders>
            <w:shd w:val="clear" w:color="auto" w:fill="C6EFCE"/>
            <w:noWrap/>
          </w:tcPr>
          <w:p w14:paraId="517C5FC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Punerea în funcțiune a platformei de date digitale urbane interoperabile (componentă a Observatorului teritorial) </w:t>
            </w:r>
          </w:p>
        </w:tc>
        <w:tc>
          <w:tcPr>
            <w:tcW w:w="1498" w:type="dxa"/>
            <w:tcBorders>
              <w:top w:val="single" w:sz="4" w:space="0" w:color="auto"/>
              <w:left w:val="nil"/>
              <w:bottom w:val="single" w:sz="4" w:space="0" w:color="auto"/>
              <w:right w:val="single" w:sz="4" w:space="0" w:color="auto"/>
            </w:tcBorders>
            <w:shd w:val="clear" w:color="auto" w:fill="C6EFCE"/>
            <w:noWrap/>
          </w:tcPr>
          <w:p w14:paraId="2B7409A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Punerea în funcțiune a platformei digitale (componentă a Observatorului teritorial)</w:t>
            </w:r>
          </w:p>
        </w:tc>
        <w:tc>
          <w:tcPr>
            <w:tcW w:w="1008" w:type="dxa"/>
            <w:tcBorders>
              <w:top w:val="single" w:sz="4" w:space="0" w:color="auto"/>
              <w:left w:val="nil"/>
              <w:bottom w:val="single" w:sz="4" w:space="0" w:color="auto"/>
              <w:right w:val="single" w:sz="4" w:space="0" w:color="auto"/>
            </w:tcBorders>
            <w:shd w:val="clear" w:color="auto" w:fill="C6EFCE"/>
            <w:noWrap/>
          </w:tcPr>
          <w:p w14:paraId="1DA203E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6B7CD1B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2E87468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16A9A77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single" w:sz="4" w:space="0" w:color="auto"/>
              <w:left w:val="nil"/>
              <w:bottom w:val="single" w:sz="4" w:space="0" w:color="auto"/>
              <w:right w:val="single" w:sz="4" w:space="0" w:color="auto"/>
            </w:tcBorders>
            <w:shd w:val="clear" w:color="auto" w:fill="C6EFCE"/>
            <w:noWrap/>
          </w:tcPr>
          <w:p w14:paraId="0589AAA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159" w:type="dxa"/>
            <w:tcBorders>
              <w:top w:val="single" w:sz="4" w:space="0" w:color="auto"/>
              <w:left w:val="nil"/>
              <w:bottom w:val="single" w:sz="4" w:space="0" w:color="auto"/>
              <w:right w:val="single" w:sz="4" w:space="0" w:color="auto"/>
            </w:tcBorders>
            <w:shd w:val="clear" w:color="auto" w:fill="C6EFCE"/>
            <w:noWrap/>
          </w:tcPr>
          <w:p w14:paraId="0D6504F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O platformă standardizată de date va fi operaționalizată, ca parte a Observatorului teritorial, și va permite:</w:t>
            </w:r>
          </w:p>
          <w:p w14:paraId="777C3CF6"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accesul public la cele mai recente documente de planificare spațială și teritorială care corespund tuturor unităților administrativ-teritoriale din țară;</w:t>
            </w:r>
          </w:p>
          <w:p w14:paraId="743BA346"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posibilitatea ca autoritățile publice locale să emită certificate de urbanism, autorizații de construire, într-un mod interoperabil cu toate bazele de date relevante ale autorităților publice (de exemplu, administrația fiscală) și utilizând infrastructura disponibilă pentru cloudul guvernamental; </w:t>
            </w:r>
          </w:p>
          <w:p w14:paraId="2EF3A2A7"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 xml:space="preserve">furnizarea de date în timp real (cum ar fi date privind reglementările urbane, toate restricțiile și utilizarea permisă a terenurilor) către toate părțile interesate, inclusiv către publicul larg, pentru a asigura transparența emiterii certificatelor de urbanism și a autorizațiilor de construire; </w:t>
            </w:r>
          </w:p>
          <w:p w14:paraId="53B39BA3" w14:textId="3D21CBF7" w:rsidR="007873BE" w:rsidRPr="000A27B3" w:rsidRDefault="007873BE" w:rsidP="007873BE">
            <w:pPr>
              <w:numPr>
                <w:ilvl w:val="0"/>
                <w:numId w:val="83"/>
              </w:numPr>
              <w:spacing w:after="0" w:line="240" w:lineRule="auto"/>
              <w:ind w:left="175" w:hanging="217"/>
              <w:jc w:val="both"/>
              <w:rPr>
                <w:rFonts w:ascii="Times New Roman" w:hAnsi="Times New Roman" w:cs="Times New Roman"/>
                <w:noProof/>
                <w:sz w:val="24"/>
                <w:szCs w:val="24"/>
              </w:rPr>
            </w:pPr>
            <w:r>
              <w:rPr>
                <w:rFonts w:ascii="Times New Roman" w:hAnsi="Times New Roman"/>
                <w:noProof/>
                <w:sz w:val="24"/>
              </w:rPr>
              <w:t>gestionarea dinamică a planificării urbane (actualizarea continuă a datelor ținând seama de modificările aduse – de exemplu, modificări ale indicatorilor planurilor urbanistice generale prin intermediul planurilor urbane zonale), permițând unităților administrative, inclusiv din zonele urbane și rurale funcționale, să coordoneze punerea în aplicare a unor politici precum energia, mediul, locuințele și transporturile, la nivel local.</w:t>
            </w:r>
          </w:p>
        </w:tc>
      </w:tr>
      <w:tr w:rsidR="000A27B3" w:rsidRPr="000A27B3" w14:paraId="280C5CAC"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64F8BFD"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317</w:t>
            </w:r>
          </w:p>
        </w:tc>
        <w:tc>
          <w:tcPr>
            <w:tcW w:w="1985" w:type="dxa"/>
            <w:tcBorders>
              <w:top w:val="single" w:sz="4" w:space="0" w:color="auto"/>
              <w:left w:val="nil"/>
              <w:bottom w:val="single" w:sz="4" w:space="0" w:color="auto"/>
              <w:right w:val="single" w:sz="4" w:space="0" w:color="auto"/>
            </w:tcBorders>
            <w:shd w:val="clear" w:color="auto" w:fill="C6EFCE"/>
            <w:noWrap/>
          </w:tcPr>
          <w:p w14:paraId="64BA5C99" w14:textId="77777777" w:rsidR="007873BE" w:rsidRPr="000A27B3" w:rsidRDefault="007873BE">
            <w:pPr>
              <w:spacing w:after="0" w:line="240" w:lineRule="auto"/>
              <w:rPr>
                <w:rFonts w:ascii="Times New Roman" w:hAnsi="Times New Roman" w:cs="Times New Roman"/>
                <w:noProof/>
                <w:sz w:val="24"/>
                <w:szCs w:val="24"/>
              </w:rPr>
            </w:pPr>
            <w:r>
              <w:rPr>
                <w:rFonts w:ascii="Times New Roman" w:hAnsi="Times New Roman"/>
                <w:noProof/>
                <w:sz w:val="24"/>
              </w:rPr>
              <w:t>Investiția 2. Construirea de locuințe pentru tineri și pentru specialiști din sănătate și învățământ</w:t>
            </w:r>
          </w:p>
        </w:tc>
        <w:tc>
          <w:tcPr>
            <w:tcW w:w="1276" w:type="dxa"/>
            <w:tcBorders>
              <w:top w:val="single" w:sz="4" w:space="0" w:color="auto"/>
              <w:left w:val="nil"/>
              <w:bottom w:val="single" w:sz="4" w:space="0" w:color="auto"/>
              <w:right w:val="single" w:sz="4" w:space="0" w:color="auto"/>
            </w:tcBorders>
            <w:shd w:val="clear" w:color="auto" w:fill="C6EFCE"/>
            <w:noWrap/>
          </w:tcPr>
          <w:p w14:paraId="5C7F44C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17" w:type="dxa"/>
            <w:tcBorders>
              <w:top w:val="single" w:sz="4" w:space="0" w:color="auto"/>
              <w:left w:val="nil"/>
              <w:bottom w:val="single" w:sz="4" w:space="0" w:color="auto"/>
              <w:right w:val="single" w:sz="4" w:space="0" w:color="auto"/>
            </w:tcBorders>
            <w:shd w:val="clear" w:color="auto" w:fill="C6EFCE"/>
            <w:noWrap/>
          </w:tcPr>
          <w:p w14:paraId="197F69E8" w14:textId="46FA78D4"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Semnarea tuturor contractelor de finanțare pentru construirea de locuințe pentru tinerii care provin din comunități și grupuri vulnerabile și pentru specialiști din sănătate și învățământ din zonele urbane sau rurale </w:t>
            </w:r>
          </w:p>
          <w:p w14:paraId="480E9F4E" w14:textId="77777777" w:rsidR="007873BE" w:rsidRPr="009F1DC7" w:rsidRDefault="007873BE">
            <w:pPr>
              <w:spacing w:after="0" w:line="240" w:lineRule="auto"/>
              <w:jc w:val="both"/>
              <w:rPr>
                <w:rFonts w:ascii="Times New Roman" w:hAnsi="Times New Roman" w:cs="Times New Roman"/>
                <w:noProof/>
                <w:sz w:val="24"/>
                <w:szCs w:val="24"/>
              </w:rPr>
            </w:pPr>
          </w:p>
          <w:p w14:paraId="74024BC0" w14:textId="77777777" w:rsidR="007873BE" w:rsidRPr="009F1DC7" w:rsidRDefault="007873BE">
            <w:pPr>
              <w:spacing w:after="0" w:line="240" w:lineRule="auto"/>
              <w:jc w:val="both"/>
              <w:rPr>
                <w:rFonts w:ascii="Times New Roman" w:hAnsi="Times New Roman" w:cs="Times New Roman"/>
                <w:noProof/>
                <w:sz w:val="24"/>
                <w:szCs w:val="24"/>
              </w:rPr>
            </w:pPr>
          </w:p>
        </w:tc>
        <w:tc>
          <w:tcPr>
            <w:tcW w:w="1498" w:type="dxa"/>
            <w:tcBorders>
              <w:top w:val="single" w:sz="4" w:space="0" w:color="auto"/>
              <w:left w:val="nil"/>
              <w:bottom w:val="single" w:sz="4" w:space="0" w:color="auto"/>
              <w:right w:val="single" w:sz="4" w:space="0" w:color="auto"/>
            </w:tcBorders>
            <w:shd w:val="clear" w:color="auto" w:fill="C6EFCE"/>
            <w:noWrap/>
          </w:tcPr>
          <w:p w14:paraId="1720EB7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Semnarea contractelor </w:t>
            </w:r>
          </w:p>
        </w:tc>
        <w:tc>
          <w:tcPr>
            <w:tcW w:w="1008" w:type="dxa"/>
            <w:tcBorders>
              <w:top w:val="single" w:sz="4" w:space="0" w:color="auto"/>
              <w:left w:val="nil"/>
              <w:bottom w:val="single" w:sz="4" w:space="0" w:color="auto"/>
              <w:right w:val="single" w:sz="4" w:space="0" w:color="auto"/>
            </w:tcBorders>
            <w:shd w:val="clear" w:color="auto" w:fill="C6EFCE"/>
            <w:noWrap/>
          </w:tcPr>
          <w:p w14:paraId="64F6825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5FF3D17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27B8D95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7975CCA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96" w:type="dxa"/>
            <w:tcBorders>
              <w:top w:val="single" w:sz="4" w:space="0" w:color="auto"/>
              <w:left w:val="nil"/>
              <w:bottom w:val="single" w:sz="4" w:space="0" w:color="auto"/>
              <w:right w:val="single" w:sz="4" w:space="0" w:color="auto"/>
            </w:tcBorders>
            <w:shd w:val="clear" w:color="auto" w:fill="C6EFCE"/>
            <w:noWrap/>
          </w:tcPr>
          <w:p w14:paraId="3738B61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159" w:type="dxa"/>
            <w:tcBorders>
              <w:top w:val="single" w:sz="4" w:space="0" w:color="auto"/>
              <w:left w:val="nil"/>
              <w:bottom w:val="single" w:sz="4" w:space="0" w:color="auto"/>
              <w:right w:val="single" w:sz="4" w:space="0" w:color="auto"/>
            </w:tcBorders>
            <w:shd w:val="clear" w:color="auto" w:fill="C6EFCE"/>
            <w:noWrap/>
          </w:tcPr>
          <w:p w14:paraId="15ADD28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Schema de finanțare a granturilor va fi elaborată pe baza dispozițiilor Strategiei naționale a locuirii și ale planului de acțiune, în conformitate cu specificațiile jalonului 312.</w:t>
            </w:r>
          </w:p>
          <w:p w14:paraId="4872D79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Schema de finanțare va fi deschisă tuturor unităților administrativ-teritoriale/zonelor metropolitane/consorțiilor administrative și va respecta următoarele specificații obligatorii:</w:t>
            </w:r>
          </w:p>
          <w:p w14:paraId="78C5A56D" w14:textId="49F124A9" w:rsidR="007873BE" w:rsidRPr="000A27B3" w:rsidRDefault="007873BE" w:rsidP="007873BE">
            <w:pPr>
              <w:numPr>
                <w:ilvl w:val="0"/>
                <w:numId w:val="82"/>
              </w:numPr>
              <w:spacing w:before="120"/>
              <w:ind w:left="318"/>
              <w:contextualSpacing/>
              <w:jc w:val="both"/>
              <w:rPr>
                <w:rFonts w:ascii="Times New Roman" w:hAnsi="Times New Roman" w:cs="Times New Roman"/>
                <w:noProof/>
                <w:sz w:val="24"/>
                <w:szCs w:val="24"/>
              </w:rPr>
            </w:pPr>
            <w:r>
              <w:rPr>
                <w:rFonts w:ascii="Times New Roman" w:hAnsi="Times New Roman"/>
                <w:noProof/>
                <w:sz w:val="24"/>
              </w:rPr>
              <w:t xml:space="preserve">locuințele pentru tineret vor fi acordate unităților administrativ-teritoriale/consorțiilor administrative/zonelor metropolitane pe baza unui plan de acțiune integrat pentru îmbunătățirea condițiilor de viață ale tinerilor din comunitățile și grupurile vulnerabile și din gospodăria acestora, inclusiv măsuri de promovare a integrării sociale și economice a grupurilor vizate. Tinerii beneficiari trebuie să îndeplinească cumulativ condiția de a proveni dintr-o comunitate/grup vulnerabil, de a avea vârsta cuprinsă între 18 și 35 de ani și un </w:t>
            </w:r>
            <w:r>
              <w:rPr>
                <w:rFonts w:ascii="Times New Roman" w:hAnsi="Times New Roman"/>
                <w:noProof/>
                <w:sz w:val="24"/>
              </w:rPr>
              <w:cr/>
            </w:r>
            <w:r>
              <w:rPr>
                <w:rFonts w:ascii="Times New Roman" w:hAnsi="Times New Roman"/>
                <w:noProof/>
                <w:sz w:val="24"/>
              </w:rPr>
              <w:br/>
              <w:t xml:space="preserve">venit per membru de familie sub salariul mediu lunar per economie; nu dețin o casă/nu au deținut o casă, trăind în prezent în condiții de locuit supraaglomerate/precare. Criteriile vor lua în considerare, de asemenea, dacă tinerii au unul sau mai mulți copii aflați în îngrijire/care locuiesc în gospodărie. </w:t>
            </w:r>
          </w:p>
          <w:p w14:paraId="5168442D" w14:textId="77777777" w:rsidR="007873BE" w:rsidRPr="000A27B3" w:rsidRDefault="007873BE" w:rsidP="007873BE">
            <w:pPr>
              <w:numPr>
                <w:ilvl w:val="0"/>
                <w:numId w:val="82"/>
              </w:numPr>
              <w:spacing w:before="120"/>
              <w:ind w:left="318"/>
              <w:contextualSpacing/>
              <w:jc w:val="both"/>
              <w:rPr>
                <w:rFonts w:ascii="Times New Roman" w:hAnsi="Times New Roman" w:cs="Times New Roman"/>
                <w:noProof/>
                <w:sz w:val="24"/>
                <w:szCs w:val="24"/>
              </w:rPr>
            </w:pPr>
            <w:r>
              <w:rPr>
                <w:rFonts w:ascii="Times New Roman" w:hAnsi="Times New Roman"/>
                <w:noProof/>
                <w:sz w:val="24"/>
              </w:rPr>
              <w:t>unitățile locative pentru specialiștii din sănătate și învățământ vor fi acordate unităților administrativ-teritoriale/consorțiilor administrative/zonelor metropolitane pe baza unui plan de acțiune integrat pentru îmbunătățirea serviciilor medicale sau educaționale pentru comunitățile și grupurile vulnerabile, astfel cum au fost identificate prin cartografierea nevoilor, în special în comunitățile și grupurile marginalizate. De asemenea, investiția se va realiza în corelație cu investițiile în componentele Educație, Sănătate (de exemplu, dezvoltarea infrastructurii medicale prespitalicești, cu scopul creșterii accesului la servicii medicale de bază) și Valul renovării din cadrul planului național de redresare și reziliență, precum și cu investiția 3 a componentei de față (Reabilitarea moderată a clădirilor ce adăpostesc servicii publice), cu programele operaționale (2014-2020 și 2021-2027) sau cu alte programe.</w:t>
            </w:r>
          </w:p>
        </w:tc>
      </w:tr>
      <w:tr w:rsidR="000A27B3" w:rsidRPr="000A27B3" w14:paraId="7B74C159"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D4C02A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318</w:t>
            </w:r>
          </w:p>
        </w:tc>
        <w:tc>
          <w:tcPr>
            <w:tcW w:w="1985" w:type="dxa"/>
            <w:tcBorders>
              <w:top w:val="single" w:sz="4" w:space="0" w:color="auto"/>
              <w:left w:val="nil"/>
              <w:bottom w:val="single" w:sz="4" w:space="0" w:color="auto"/>
              <w:right w:val="single" w:sz="4" w:space="0" w:color="auto"/>
            </w:tcBorders>
            <w:shd w:val="clear" w:color="auto" w:fill="C6EFCE"/>
            <w:noWrap/>
          </w:tcPr>
          <w:p w14:paraId="680ECE8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2. Construirea de locuințe pentru tineri și pentru specialiști din sănătate și învățământ</w:t>
            </w:r>
          </w:p>
        </w:tc>
        <w:tc>
          <w:tcPr>
            <w:tcW w:w="1276" w:type="dxa"/>
            <w:tcBorders>
              <w:top w:val="single" w:sz="4" w:space="0" w:color="auto"/>
              <w:left w:val="nil"/>
              <w:bottom w:val="single" w:sz="4" w:space="0" w:color="auto"/>
              <w:right w:val="single" w:sz="4" w:space="0" w:color="auto"/>
            </w:tcBorders>
            <w:shd w:val="clear" w:color="auto" w:fill="C6EFCE"/>
            <w:noWrap/>
          </w:tcPr>
          <w:p w14:paraId="1B15253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417" w:type="dxa"/>
            <w:tcBorders>
              <w:top w:val="single" w:sz="4" w:space="0" w:color="auto"/>
              <w:left w:val="nil"/>
              <w:bottom w:val="single" w:sz="4" w:space="0" w:color="auto"/>
              <w:right w:val="single" w:sz="4" w:space="0" w:color="auto"/>
            </w:tcBorders>
            <w:shd w:val="clear" w:color="auto" w:fill="C6EFCE"/>
            <w:noWrap/>
          </w:tcPr>
          <w:p w14:paraId="1541C6F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Unități locative construite pentru tinerii care provin din comunități/grupuri vulnerabile </w:t>
            </w:r>
          </w:p>
        </w:tc>
        <w:tc>
          <w:tcPr>
            <w:tcW w:w="1498" w:type="dxa"/>
            <w:tcBorders>
              <w:top w:val="single" w:sz="4" w:space="0" w:color="auto"/>
              <w:left w:val="nil"/>
              <w:bottom w:val="single" w:sz="4" w:space="0" w:color="auto"/>
              <w:right w:val="single" w:sz="4" w:space="0" w:color="auto"/>
            </w:tcBorders>
            <w:shd w:val="clear" w:color="auto" w:fill="C6EFCE"/>
            <w:noWrap/>
          </w:tcPr>
          <w:p w14:paraId="1779A6C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08" w:type="dxa"/>
            <w:tcBorders>
              <w:top w:val="single" w:sz="4" w:space="0" w:color="auto"/>
              <w:left w:val="nil"/>
              <w:bottom w:val="single" w:sz="4" w:space="0" w:color="auto"/>
              <w:right w:val="single" w:sz="4" w:space="0" w:color="auto"/>
            </w:tcBorders>
            <w:shd w:val="clear" w:color="auto" w:fill="C6EFCE"/>
            <w:noWrap/>
          </w:tcPr>
          <w:p w14:paraId="30FEEB1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200" w:type="dxa"/>
            <w:tcBorders>
              <w:top w:val="single" w:sz="4" w:space="0" w:color="auto"/>
              <w:left w:val="nil"/>
              <w:bottom w:val="single" w:sz="4" w:space="0" w:color="auto"/>
              <w:right w:val="single" w:sz="4" w:space="0" w:color="auto"/>
            </w:tcBorders>
            <w:shd w:val="clear" w:color="auto" w:fill="C6EFCE"/>
            <w:noWrap/>
          </w:tcPr>
          <w:p w14:paraId="3E8EAFC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tcPr>
          <w:p w14:paraId="02FAED0B" w14:textId="11FA3210"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3 490 </w:t>
            </w:r>
          </w:p>
          <w:p w14:paraId="6F6480DB"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960" w:type="dxa"/>
            <w:tcBorders>
              <w:top w:val="single" w:sz="4" w:space="0" w:color="auto"/>
              <w:left w:val="nil"/>
              <w:bottom w:val="single" w:sz="4" w:space="0" w:color="auto"/>
              <w:right w:val="single" w:sz="4" w:space="0" w:color="auto"/>
            </w:tcBorders>
            <w:shd w:val="clear" w:color="auto" w:fill="C6EFCE"/>
            <w:noWrap/>
          </w:tcPr>
          <w:p w14:paraId="7DB044C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single" w:sz="4" w:space="0" w:color="auto"/>
              <w:left w:val="nil"/>
              <w:bottom w:val="single" w:sz="4" w:space="0" w:color="auto"/>
              <w:right w:val="single" w:sz="4" w:space="0" w:color="auto"/>
            </w:tcBorders>
            <w:shd w:val="clear" w:color="auto" w:fill="C6EFCE"/>
            <w:noWrap/>
          </w:tcPr>
          <w:p w14:paraId="6E4C44F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7EFE7F2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Numărul de unități locative pentru tinerii care provin din comunități/grupuri vulnerabile, cu sprijinul unor măsuri complementare, cum ar fi măsuri sociale/educaționale/privind piața forței de muncă pentru toți tinerii identificați anterior, în conformitate cu cerințele prevăzute în cadrul jalonului 317.</w:t>
            </w:r>
          </w:p>
          <w:p w14:paraId="04603F9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tc>
      </w:tr>
      <w:tr w:rsidR="000A27B3" w:rsidRPr="000A27B3" w14:paraId="22BFC567"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92A5B55"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319</w:t>
            </w:r>
          </w:p>
        </w:tc>
        <w:tc>
          <w:tcPr>
            <w:tcW w:w="1985" w:type="dxa"/>
            <w:tcBorders>
              <w:top w:val="single" w:sz="4" w:space="0" w:color="auto"/>
              <w:left w:val="nil"/>
              <w:bottom w:val="single" w:sz="4" w:space="0" w:color="auto"/>
              <w:right w:val="single" w:sz="4" w:space="0" w:color="auto"/>
            </w:tcBorders>
            <w:shd w:val="clear" w:color="auto" w:fill="C6EFCE"/>
            <w:noWrap/>
          </w:tcPr>
          <w:p w14:paraId="78FEAA3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2. Construirea de locuințe pentru tineri și pentru specialiști din sănătate și învățământ</w:t>
            </w:r>
          </w:p>
        </w:tc>
        <w:tc>
          <w:tcPr>
            <w:tcW w:w="1276" w:type="dxa"/>
            <w:tcBorders>
              <w:top w:val="single" w:sz="4" w:space="0" w:color="auto"/>
              <w:left w:val="nil"/>
              <w:bottom w:val="single" w:sz="4" w:space="0" w:color="auto"/>
              <w:right w:val="single" w:sz="4" w:space="0" w:color="auto"/>
            </w:tcBorders>
            <w:shd w:val="clear" w:color="auto" w:fill="C6EFCE"/>
            <w:noWrap/>
          </w:tcPr>
          <w:p w14:paraId="5CD4CDC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417" w:type="dxa"/>
            <w:tcBorders>
              <w:top w:val="single" w:sz="4" w:space="0" w:color="auto"/>
              <w:left w:val="nil"/>
              <w:bottom w:val="single" w:sz="4" w:space="0" w:color="auto"/>
              <w:right w:val="single" w:sz="4" w:space="0" w:color="auto"/>
            </w:tcBorders>
            <w:shd w:val="clear" w:color="auto" w:fill="C6EFCE"/>
            <w:noWrap/>
          </w:tcPr>
          <w:p w14:paraId="6AE653E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Unități locative construite pentru specialiști din sănătate și învățământ </w:t>
            </w:r>
          </w:p>
        </w:tc>
        <w:tc>
          <w:tcPr>
            <w:tcW w:w="1498" w:type="dxa"/>
            <w:tcBorders>
              <w:top w:val="single" w:sz="4" w:space="0" w:color="auto"/>
              <w:left w:val="nil"/>
              <w:bottom w:val="single" w:sz="4" w:space="0" w:color="auto"/>
              <w:right w:val="single" w:sz="4" w:space="0" w:color="auto"/>
            </w:tcBorders>
            <w:shd w:val="clear" w:color="auto" w:fill="C6EFCE"/>
            <w:noWrap/>
          </w:tcPr>
          <w:p w14:paraId="212EC41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08" w:type="dxa"/>
            <w:tcBorders>
              <w:top w:val="single" w:sz="4" w:space="0" w:color="auto"/>
              <w:left w:val="nil"/>
              <w:bottom w:val="single" w:sz="4" w:space="0" w:color="auto"/>
              <w:right w:val="single" w:sz="4" w:space="0" w:color="auto"/>
            </w:tcBorders>
            <w:shd w:val="clear" w:color="auto" w:fill="C6EFCE"/>
            <w:noWrap/>
          </w:tcPr>
          <w:p w14:paraId="1A25EFF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200" w:type="dxa"/>
            <w:tcBorders>
              <w:top w:val="single" w:sz="4" w:space="0" w:color="auto"/>
              <w:left w:val="nil"/>
              <w:bottom w:val="single" w:sz="4" w:space="0" w:color="auto"/>
              <w:right w:val="single" w:sz="4" w:space="0" w:color="auto"/>
            </w:tcBorders>
            <w:shd w:val="clear" w:color="auto" w:fill="C6EFCE"/>
            <w:noWrap/>
          </w:tcPr>
          <w:p w14:paraId="3C748EE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tcPr>
          <w:p w14:paraId="5E9A4300" w14:textId="465F4982"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873</w:t>
            </w:r>
          </w:p>
          <w:p w14:paraId="5F093B1A"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960" w:type="dxa"/>
            <w:tcBorders>
              <w:top w:val="single" w:sz="4" w:space="0" w:color="auto"/>
              <w:left w:val="nil"/>
              <w:bottom w:val="single" w:sz="4" w:space="0" w:color="auto"/>
              <w:right w:val="single" w:sz="4" w:space="0" w:color="auto"/>
            </w:tcBorders>
            <w:shd w:val="clear" w:color="auto" w:fill="C6EFCE"/>
            <w:noWrap/>
          </w:tcPr>
          <w:p w14:paraId="002D481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single" w:sz="4" w:space="0" w:color="auto"/>
              <w:left w:val="nil"/>
              <w:bottom w:val="single" w:sz="4" w:space="0" w:color="auto"/>
              <w:right w:val="single" w:sz="4" w:space="0" w:color="auto"/>
            </w:tcBorders>
            <w:shd w:val="clear" w:color="auto" w:fill="C6EFCE"/>
            <w:noWrap/>
          </w:tcPr>
          <w:p w14:paraId="64324BB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788F139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Numărul de unități locative construite pentru specialiștii din sănătate și învățământ, în orașe sau zone rurale în care accesul la educație și asistență medicală este insuficient din cauza lipsei de specialiști, astfel cum a fost identificat în jalonul 317.</w:t>
            </w:r>
          </w:p>
          <w:p w14:paraId="23EEFF2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tc>
      </w:tr>
      <w:tr w:rsidR="000A27B3" w:rsidRPr="000A27B3" w14:paraId="7D3BB373"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204BD69"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320</w:t>
            </w:r>
          </w:p>
        </w:tc>
        <w:tc>
          <w:tcPr>
            <w:tcW w:w="1985" w:type="dxa"/>
            <w:tcBorders>
              <w:top w:val="single" w:sz="4" w:space="0" w:color="auto"/>
              <w:left w:val="nil"/>
              <w:bottom w:val="single" w:sz="4" w:space="0" w:color="auto"/>
              <w:right w:val="single" w:sz="4" w:space="0" w:color="auto"/>
            </w:tcBorders>
            <w:shd w:val="clear" w:color="auto" w:fill="C6EFCE"/>
            <w:noWrap/>
          </w:tcPr>
          <w:p w14:paraId="7AE3397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3. Reabilitarea moderată a clădirilor publice pentru a îmbunătăți furnizarea de servicii publice de către unitățile administrativ-teritoriale </w:t>
            </w:r>
          </w:p>
        </w:tc>
        <w:tc>
          <w:tcPr>
            <w:tcW w:w="1276" w:type="dxa"/>
            <w:tcBorders>
              <w:top w:val="single" w:sz="4" w:space="0" w:color="auto"/>
              <w:left w:val="nil"/>
              <w:bottom w:val="single" w:sz="4" w:space="0" w:color="auto"/>
              <w:right w:val="single" w:sz="4" w:space="0" w:color="auto"/>
            </w:tcBorders>
            <w:shd w:val="clear" w:color="auto" w:fill="C6EFCE"/>
            <w:noWrap/>
          </w:tcPr>
          <w:p w14:paraId="7A1F64C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17" w:type="dxa"/>
            <w:tcBorders>
              <w:top w:val="single" w:sz="4" w:space="0" w:color="auto"/>
              <w:left w:val="nil"/>
              <w:bottom w:val="single" w:sz="4" w:space="0" w:color="auto"/>
              <w:right w:val="single" w:sz="4" w:space="0" w:color="auto"/>
            </w:tcBorders>
            <w:shd w:val="clear" w:color="auto" w:fill="C6EFCE"/>
            <w:noWrap/>
          </w:tcPr>
          <w:p w14:paraId="216A70D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p w14:paraId="0B77279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pentru renovarea moderată a clădirilor publice</w:t>
            </w:r>
          </w:p>
        </w:tc>
        <w:tc>
          <w:tcPr>
            <w:tcW w:w="1498" w:type="dxa"/>
            <w:tcBorders>
              <w:top w:val="single" w:sz="4" w:space="0" w:color="auto"/>
              <w:left w:val="nil"/>
              <w:bottom w:val="single" w:sz="4" w:space="0" w:color="auto"/>
              <w:right w:val="single" w:sz="4" w:space="0" w:color="auto"/>
            </w:tcBorders>
            <w:shd w:val="clear" w:color="auto" w:fill="C6EFCE"/>
            <w:noWrap/>
          </w:tcPr>
          <w:p w14:paraId="7536BCF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008" w:type="dxa"/>
            <w:tcBorders>
              <w:top w:val="single" w:sz="4" w:space="0" w:color="auto"/>
              <w:left w:val="nil"/>
              <w:bottom w:val="single" w:sz="4" w:space="0" w:color="auto"/>
              <w:right w:val="single" w:sz="4" w:space="0" w:color="auto"/>
            </w:tcBorders>
            <w:shd w:val="clear" w:color="auto" w:fill="C6EFCE"/>
            <w:noWrap/>
          </w:tcPr>
          <w:p w14:paraId="4FFD671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4769B3B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3D1FD70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098840A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p w14:paraId="26C33DB4" w14:textId="77777777" w:rsidR="007873BE" w:rsidRPr="000A27B3" w:rsidRDefault="007873BE" w:rsidP="00492A9B">
            <w:pPr>
              <w:spacing w:after="0" w:line="240" w:lineRule="auto"/>
              <w:jc w:val="both"/>
              <w:rPr>
                <w:rFonts w:ascii="Times New Roman" w:hAnsi="Times New Roman" w:cs="Times New Roman"/>
                <w:noProof/>
                <w:sz w:val="24"/>
                <w:szCs w:val="24"/>
                <w:lang w:val="en-GB"/>
              </w:rPr>
            </w:pPr>
          </w:p>
        </w:tc>
        <w:tc>
          <w:tcPr>
            <w:tcW w:w="796" w:type="dxa"/>
            <w:tcBorders>
              <w:top w:val="single" w:sz="4" w:space="0" w:color="auto"/>
              <w:left w:val="nil"/>
              <w:bottom w:val="single" w:sz="4" w:space="0" w:color="auto"/>
              <w:right w:val="single" w:sz="4" w:space="0" w:color="auto"/>
            </w:tcBorders>
            <w:shd w:val="clear" w:color="auto" w:fill="C6EFCE"/>
            <w:noWrap/>
          </w:tcPr>
          <w:p w14:paraId="2B22F1F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p w14:paraId="14C188C9" w14:textId="77777777" w:rsidR="007873BE" w:rsidRPr="000A27B3" w:rsidRDefault="007873BE" w:rsidP="00492A9B">
            <w:pPr>
              <w:spacing w:after="0" w:line="240" w:lineRule="auto"/>
              <w:jc w:val="both"/>
              <w:rPr>
                <w:rFonts w:ascii="Times New Roman" w:hAnsi="Times New Roman" w:cs="Times New Roman"/>
                <w:noProof/>
                <w:sz w:val="24"/>
                <w:szCs w:val="24"/>
                <w:lang w:val="en-GB"/>
              </w:rPr>
            </w:pPr>
          </w:p>
        </w:tc>
        <w:tc>
          <w:tcPr>
            <w:tcW w:w="3159" w:type="dxa"/>
            <w:tcBorders>
              <w:top w:val="single" w:sz="4" w:space="0" w:color="auto"/>
              <w:left w:val="nil"/>
              <w:bottom w:val="single" w:sz="4" w:space="0" w:color="auto"/>
              <w:right w:val="single" w:sz="4" w:space="0" w:color="auto"/>
            </w:tcBorders>
            <w:shd w:val="clear" w:color="auto" w:fill="C6EFCE"/>
            <w:noWrap/>
          </w:tcPr>
          <w:p w14:paraId="5FA9334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Schema va stabili criteriile și condițiile care trebuie îndeplinite pentru renovarea moderată a clădirilor publice, printre acestea numărându-se următoarele condiții: </w:t>
            </w:r>
          </w:p>
          <w:p w14:paraId="7921F838"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sunt eligibile numai orașele și comunele;</w:t>
            </w:r>
          </w:p>
          <w:p w14:paraId="273C8816"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sunt eligibile numai clădirile publice al căror scop este furnizarea de servicii publice locale (de exemplu, clădirile primăriei, clădirile pentru servicii sociale);</w:t>
            </w:r>
          </w:p>
          <w:p w14:paraId="583D84B0" w14:textId="77777777" w:rsidR="007873BE" w:rsidRPr="000A27B3" w:rsidRDefault="007873BE" w:rsidP="007873BE">
            <w:pPr>
              <w:numPr>
                <w:ilvl w:val="0"/>
                <w:numId w:val="83"/>
              </w:numPr>
              <w:pBdr>
                <w:top w:val="nil"/>
                <w:left w:val="nil"/>
                <w:bottom w:val="nil"/>
                <w:right w:val="nil"/>
                <w:between w:val="nil"/>
              </w:pBdr>
              <w:spacing w:after="0" w:line="240" w:lineRule="auto"/>
              <w:ind w:left="175" w:hanging="217"/>
              <w:jc w:val="both"/>
              <w:rPr>
                <w:rFonts w:ascii="Times New Roman" w:hAnsi="Times New Roman" w:cs="Times New Roman"/>
                <w:noProof/>
                <w:sz w:val="24"/>
              </w:rPr>
            </w:pPr>
            <w:r>
              <w:rPr>
                <w:rFonts w:ascii="Times New Roman" w:hAnsi="Times New Roman"/>
                <w:noProof/>
                <w:sz w:val="24"/>
              </w:rPr>
              <w:t>proiectele de modernizare moderată vor duce la o reducere cu 30 % a necesarului de energie primară, astfel cum o demonstrează certificatele de performanță energetică.</w:t>
            </w:r>
          </w:p>
          <w:p w14:paraId="4B1845D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În cazul investițiilor pentru renovarea moderată a clădirilor publice, costurile sistemului fără eficiență energetică nu vor depăși 10 % din costul total.</w:t>
            </w:r>
          </w:p>
        </w:tc>
      </w:tr>
      <w:tr w:rsidR="000A27B3" w:rsidRPr="000A27B3" w14:paraId="3DF42CDD"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22ECAC3"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322</w:t>
            </w:r>
          </w:p>
        </w:tc>
        <w:tc>
          <w:tcPr>
            <w:tcW w:w="1985" w:type="dxa"/>
            <w:tcBorders>
              <w:top w:val="single" w:sz="4" w:space="0" w:color="auto"/>
              <w:left w:val="nil"/>
              <w:bottom w:val="single" w:sz="4" w:space="0" w:color="auto"/>
              <w:right w:val="single" w:sz="4" w:space="0" w:color="auto"/>
            </w:tcBorders>
            <w:shd w:val="clear" w:color="auto" w:fill="C6EFCE"/>
            <w:noWrap/>
          </w:tcPr>
          <w:p w14:paraId="28254BE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3. Reabilitarea moderată a clădirilor publice pentru a îmbunătăți furnizarea de servicii publice de către unitățile administrativ-teritoriale </w:t>
            </w:r>
          </w:p>
        </w:tc>
        <w:tc>
          <w:tcPr>
            <w:tcW w:w="1276" w:type="dxa"/>
            <w:tcBorders>
              <w:top w:val="single" w:sz="4" w:space="0" w:color="auto"/>
              <w:left w:val="nil"/>
              <w:bottom w:val="single" w:sz="4" w:space="0" w:color="auto"/>
              <w:right w:val="single" w:sz="4" w:space="0" w:color="auto"/>
            </w:tcBorders>
            <w:shd w:val="clear" w:color="auto" w:fill="C6EFCE"/>
            <w:noWrap/>
          </w:tcPr>
          <w:p w14:paraId="39DE4F3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Țintă </w:t>
            </w:r>
          </w:p>
        </w:tc>
        <w:tc>
          <w:tcPr>
            <w:tcW w:w="1417" w:type="dxa"/>
            <w:tcBorders>
              <w:top w:val="single" w:sz="4" w:space="0" w:color="auto"/>
              <w:left w:val="nil"/>
              <w:bottom w:val="single" w:sz="4" w:space="0" w:color="auto"/>
              <w:right w:val="single" w:sz="4" w:space="0" w:color="auto"/>
            </w:tcBorders>
            <w:shd w:val="clear" w:color="auto" w:fill="C6EFCE"/>
            <w:noWrap/>
          </w:tcPr>
          <w:p w14:paraId="20929AF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Suprafața în metri pătrați a clădirilor publice renovate </w:t>
            </w:r>
          </w:p>
        </w:tc>
        <w:tc>
          <w:tcPr>
            <w:tcW w:w="1498" w:type="dxa"/>
            <w:tcBorders>
              <w:top w:val="single" w:sz="4" w:space="0" w:color="auto"/>
              <w:left w:val="nil"/>
              <w:bottom w:val="single" w:sz="4" w:space="0" w:color="auto"/>
              <w:right w:val="single" w:sz="4" w:space="0" w:color="auto"/>
            </w:tcBorders>
            <w:shd w:val="clear" w:color="auto" w:fill="C6EFCE"/>
            <w:noWrap/>
          </w:tcPr>
          <w:p w14:paraId="335004B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08" w:type="dxa"/>
            <w:tcBorders>
              <w:top w:val="single" w:sz="4" w:space="0" w:color="auto"/>
              <w:left w:val="nil"/>
              <w:bottom w:val="single" w:sz="4" w:space="0" w:color="auto"/>
              <w:right w:val="single" w:sz="4" w:space="0" w:color="auto"/>
            </w:tcBorders>
            <w:shd w:val="clear" w:color="auto" w:fill="C6EFCE"/>
            <w:noWrap/>
          </w:tcPr>
          <w:p w14:paraId="1FD0EA0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 de mp</w:t>
            </w:r>
          </w:p>
        </w:tc>
        <w:tc>
          <w:tcPr>
            <w:tcW w:w="1200" w:type="dxa"/>
            <w:tcBorders>
              <w:top w:val="single" w:sz="4" w:space="0" w:color="auto"/>
              <w:left w:val="nil"/>
              <w:bottom w:val="single" w:sz="4" w:space="0" w:color="auto"/>
              <w:right w:val="single" w:sz="4" w:space="0" w:color="auto"/>
            </w:tcBorders>
            <w:shd w:val="clear" w:color="auto" w:fill="C6EFCE"/>
            <w:noWrap/>
          </w:tcPr>
          <w:p w14:paraId="2CAE94FD" w14:textId="5093D4D2" w:rsidR="007873BE" w:rsidRPr="000A27B3" w:rsidRDefault="007873BE">
            <w:pPr>
              <w:spacing w:after="0" w:line="240" w:lineRule="auto"/>
              <w:jc w:val="both"/>
              <w:rPr>
                <w:rFonts w:ascii="Times New Roman" w:hAnsi="Times New Roman" w:cs="Times New Roman"/>
                <w:noProof/>
                <w:sz w:val="24"/>
              </w:rPr>
            </w:pPr>
            <w:r>
              <w:rPr>
                <w:rFonts w:ascii="Times New Roman" w:hAnsi="Times New Roman"/>
                <w:noProof/>
                <w:sz w:val="24"/>
              </w:rPr>
              <w:t>0</w:t>
            </w:r>
          </w:p>
        </w:tc>
        <w:tc>
          <w:tcPr>
            <w:tcW w:w="1200" w:type="dxa"/>
            <w:tcBorders>
              <w:top w:val="single" w:sz="4" w:space="0" w:color="auto"/>
              <w:left w:val="nil"/>
              <w:bottom w:val="single" w:sz="4" w:space="0" w:color="auto"/>
              <w:right w:val="single" w:sz="4" w:space="0" w:color="auto"/>
            </w:tcBorders>
            <w:shd w:val="clear" w:color="auto" w:fill="C6EFCE"/>
            <w:noWrap/>
          </w:tcPr>
          <w:p w14:paraId="40967937" w14:textId="5193072F" w:rsidR="007873BE" w:rsidRPr="000A27B3" w:rsidRDefault="007873BE">
            <w:pPr>
              <w:spacing w:after="0" w:line="240" w:lineRule="auto"/>
              <w:jc w:val="both"/>
              <w:rPr>
                <w:rFonts w:ascii="Times New Roman" w:hAnsi="Times New Roman" w:cs="Times New Roman"/>
                <w:noProof/>
                <w:sz w:val="24"/>
              </w:rPr>
            </w:pPr>
            <w:r>
              <w:rPr>
                <w:rFonts w:ascii="Times New Roman" w:hAnsi="Times New Roman"/>
                <w:noProof/>
                <w:sz w:val="24"/>
              </w:rPr>
              <w:t>1 015 481</w:t>
            </w:r>
          </w:p>
        </w:tc>
        <w:tc>
          <w:tcPr>
            <w:tcW w:w="960" w:type="dxa"/>
            <w:tcBorders>
              <w:top w:val="single" w:sz="4" w:space="0" w:color="auto"/>
              <w:left w:val="nil"/>
              <w:bottom w:val="single" w:sz="4" w:space="0" w:color="auto"/>
              <w:right w:val="single" w:sz="4" w:space="0" w:color="auto"/>
            </w:tcBorders>
            <w:shd w:val="clear" w:color="auto" w:fill="C6EFCE"/>
            <w:noWrap/>
          </w:tcPr>
          <w:p w14:paraId="67B4FB82" w14:textId="77777777" w:rsidR="007873BE" w:rsidRPr="000A27B3" w:rsidRDefault="007873BE">
            <w:pPr>
              <w:spacing w:after="0" w:line="240" w:lineRule="auto"/>
              <w:jc w:val="both"/>
              <w:rPr>
                <w:rFonts w:ascii="Times New Roman" w:hAnsi="Times New Roman" w:cs="Times New Roman"/>
                <w:noProof/>
                <w:sz w:val="24"/>
              </w:rPr>
            </w:pPr>
            <w:r>
              <w:rPr>
                <w:rFonts w:ascii="Times New Roman" w:hAnsi="Times New Roman"/>
                <w:noProof/>
                <w:sz w:val="24"/>
              </w:rPr>
              <w:t>T2</w:t>
            </w:r>
          </w:p>
        </w:tc>
        <w:tc>
          <w:tcPr>
            <w:tcW w:w="796" w:type="dxa"/>
            <w:tcBorders>
              <w:top w:val="single" w:sz="4" w:space="0" w:color="auto"/>
              <w:left w:val="nil"/>
              <w:bottom w:val="single" w:sz="4" w:space="0" w:color="auto"/>
              <w:right w:val="single" w:sz="4" w:space="0" w:color="auto"/>
            </w:tcBorders>
            <w:shd w:val="clear" w:color="auto" w:fill="C6EFCE"/>
            <w:noWrap/>
          </w:tcPr>
          <w:p w14:paraId="2521A3D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16971B0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Ținta acoperă suprafața totală construită care urmează să fie renovată moderat, exprimată în metri pătrați și îndeplinirea sa este demonstrată de o reducere cu 30 % a cererii de energie primară prin intermediul certificatelor de performanță energetică.</w:t>
            </w:r>
          </w:p>
        </w:tc>
      </w:tr>
      <w:tr w:rsidR="000A27B3" w:rsidRPr="000A27B3" w14:paraId="73CA0AE9"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B69EDE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323</w:t>
            </w:r>
          </w:p>
        </w:tc>
        <w:tc>
          <w:tcPr>
            <w:tcW w:w="1985" w:type="dxa"/>
            <w:tcBorders>
              <w:top w:val="single" w:sz="4" w:space="0" w:color="auto"/>
              <w:left w:val="nil"/>
              <w:bottom w:val="single" w:sz="4" w:space="0" w:color="auto"/>
              <w:right w:val="single" w:sz="4" w:space="0" w:color="auto"/>
            </w:tcBorders>
            <w:shd w:val="clear" w:color="auto" w:fill="C6EFCE"/>
            <w:noWrap/>
          </w:tcPr>
          <w:p w14:paraId="09D8AC0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Elaborarea/actualizarea în format GIS a documentelor de amenajare a teritoriului și de urbanism </w:t>
            </w:r>
          </w:p>
        </w:tc>
        <w:tc>
          <w:tcPr>
            <w:tcW w:w="1276" w:type="dxa"/>
            <w:tcBorders>
              <w:top w:val="single" w:sz="4" w:space="0" w:color="auto"/>
              <w:left w:val="nil"/>
              <w:bottom w:val="single" w:sz="4" w:space="0" w:color="auto"/>
              <w:right w:val="single" w:sz="4" w:space="0" w:color="auto"/>
            </w:tcBorders>
            <w:shd w:val="clear" w:color="auto" w:fill="C6EFCE"/>
            <w:noWrap/>
          </w:tcPr>
          <w:p w14:paraId="584C851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17" w:type="dxa"/>
            <w:tcBorders>
              <w:top w:val="single" w:sz="4" w:space="0" w:color="auto"/>
              <w:left w:val="nil"/>
              <w:bottom w:val="single" w:sz="4" w:space="0" w:color="auto"/>
              <w:right w:val="single" w:sz="4" w:space="0" w:color="auto"/>
            </w:tcBorders>
            <w:shd w:val="clear" w:color="auto" w:fill="C6EFCE"/>
            <w:noWrap/>
          </w:tcPr>
          <w:p w14:paraId="0A99FF6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elaborarea/actualizarea documentelor de amenajare a teritoriului și de urbanism și a planurilor de mobilitate urbană durabilă</w:t>
            </w:r>
          </w:p>
        </w:tc>
        <w:tc>
          <w:tcPr>
            <w:tcW w:w="1498" w:type="dxa"/>
            <w:tcBorders>
              <w:top w:val="single" w:sz="4" w:space="0" w:color="auto"/>
              <w:left w:val="nil"/>
              <w:bottom w:val="single" w:sz="4" w:space="0" w:color="auto"/>
              <w:right w:val="single" w:sz="4" w:space="0" w:color="auto"/>
            </w:tcBorders>
            <w:shd w:val="clear" w:color="auto" w:fill="C6EFCE"/>
            <w:noWrap/>
          </w:tcPr>
          <w:p w14:paraId="50E7A93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008" w:type="dxa"/>
            <w:tcBorders>
              <w:top w:val="single" w:sz="4" w:space="0" w:color="auto"/>
              <w:left w:val="nil"/>
              <w:bottom w:val="single" w:sz="4" w:space="0" w:color="auto"/>
              <w:right w:val="single" w:sz="4" w:space="0" w:color="auto"/>
            </w:tcBorders>
            <w:shd w:val="clear" w:color="auto" w:fill="C6EFCE"/>
            <w:noWrap/>
          </w:tcPr>
          <w:p w14:paraId="6252C56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1C6B928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65E2036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60" w:type="dxa"/>
            <w:tcBorders>
              <w:top w:val="single" w:sz="4" w:space="0" w:color="auto"/>
              <w:left w:val="nil"/>
              <w:bottom w:val="single" w:sz="4" w:space="0" w:color="auto"/>
              <w:right w:val="single" w:sz="4" w:space="0" w:color="auto"/>
            </w:tcBorders>
            <w:shd w:val="clear" w:color="auto" w:fill="C6EFCE"/>
            <w:noWrap/>
          </w:tcPr>
          <w:p w14:paraId="2AA9CB5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T4</w:t>
            </w:r>
          </w:p>
          <w:p w14:paraId="0D8F24EC" w14:textId="77777777" w:rsidR="007873BE" w:rsidRPr="000A27B3" w:rsidRDefault="007873BE" w:rsidP="00492A9B">
            <w:pPr>
              <w:spacing w:after="0" w:line="240" w:lineRule="auto"/>
              <w:jc w:val="both"/>
              <w:rPr>
                <w:rFonts w:ascii="Times New Roman" w:hAnsi="Times New Roman" w:cs="Times New Roman"/>
                <w:noProof/>
                <w:sz w:val="24"/>
                <w:szCs w:val="24"/>
                <w:lang w:val="en-GB"/>
              </w:rPr>
            </w:pPr>
          </w:p>
        </w:tc>
        <w:tc>
          <w:tcPr>
            <w:tcW w:w="796" w:type="dxa"/>
            <w:tcBorders>
              <w:top w:val="single" w:sz="4" w:space="0" w:color="auto"/>
              <w:left w:val="nil"/>
              <w:bottom w:val="single" w:sz="4" w:space="0" w:color="auto"/>
              <w:right w:val="single" w:sz="4" w:space="0" w:color="auto"/>
            </w:tcBorders>
            <w:shd w:val="clear" w:color="auto" w:fill="C6EFCE"/>
            <w:noWrap/>
          </w:tcPr>
          <w:p w14:paraId="4788387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2022</w:t>
            </w:r>
          </w:p>
          <w:p w14:paraId="39186D6E" w14:textId="77777777" w:rsidR="007873BE" w:rsidRPr="000A27B3" w:rsidRDefault="007873BE" w:rsidP="00492A9B">
            <w:pPr>
              <w:spacing w:after="0" w:line="240" w:lineRule="auto"/>
              <w:jc w:val="both"/>
              <w:rPr>
                <w:rFonts w:ascii="Times New Roman" w:hAnsi="Times New Roman" w:cs="Times New Roman"/>
                <w:noProof/>
                <w:sz w:val="24"/>
                <w:szCs w:val="24"/>
                <w:lang w:val="en-GB"/>
              </w:rPr>
            </w:pPr>
          </w:p>
        </w:tc>
        <w:tc>
          <w:tcPr>
            <w:tcW w:w="3159" w:type="dxa"/>
            <w:tcBorders>
              <w:top w:val="single" w:sz="4" w:space="0" w:color="auto"/>
              <w:left w:val="nil"/>
              <w:bottom w:val="single" w:sz="4" w:space="0" w:color="auto"/>
              <w:right w:val="single" w:sz="4" w:space="0" w:color="auto"/>
            </w:tcBorders>
            <w:shd w:val="clear" w:color="auto" w:fill="C6EFCE"/>
            <w:noWrap/>
          </w:tcPr>
          <w:p w14:paraId="792AD638" w14:textId="77777777" w:rsidR="007873BE" w:rsidRPr="000A27B3" w:rsidRDefault="007873BE">
            <w:pPr>
              <w:spacing w:after="0" w:line="240" w:lineRule="auto"/>
              <w:jc w:val="both"/>
              <w:rPr>
                <w:rFonts w:ascii="Times New Roman" w:hAnsi="Times New Roman" w:cs="Times New Roman"/>
                <w:noProof/>
                <w:sz w:val="24"/>
              </w:rPr>
            </w:pPr>
            <w:r>
              <w:rPr>
                <w:rFonts w:ascii="Times New Roman" w:hAnsi="Times New Roman"/>
                <w:noProof/>
                <w:sz w:val="24"/>
              </w:rPr>
              <w:t>Schema va stabili criteriile și condițiile care trebuie îndeplinite pentru finanțarea elaborării/actualizării planurilor de amenajare a teritoriului, de planificare urbană și de mobilitate urbană durabilă.</w:t>
            </w:r>
          </w:p>
          <w:p w14:paraId="7B692A8F" w14:textId="77777777" w:rsidR="007873BE" w:rsidRPr="008F1E27" w:rsidRDefault="007873BE">
            <w:pPr>
              <w:spacing w:after="0" w:line="240" w:lineRule="auto"/>
              <w:jc w:val="both"/>
              <w:rPr>
                <w:rFonts w:ascii="Times New Roman" w:hAnsi="Times New Roman" w:cs="Times New Roman"/>
                <w:noProof/>
                <w:sz w:val="24"/>
                <w:szCs w:val="24"/>
                <w:lang w:val="fr-FR"/>
              </w:rPr>
            </w:pPr>
          </w:p>
          <w:p w14:paraId="0C92B8D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Redactarea/actualizarea documentației se va realiza în format digital, în conformitate cu dispozițiile jalonului 288 și ale jalonului 315. PMUD va fi aprobat de Grupul național pentru optimizarea PMUD instituit în conformitate cu dispozițiile stabilite în jalonul 289, iar documentația de amenajare a teritoriului și urbanism va fi încărcată în Observatorul teritorial. Va fi asigurată integrarea cu platforma digitală descrisă în jalonul 316.</w:t>
            </w:r>
          </w:p>
        </w:tc>
      </w:tr>
      <w:tr w:rsidR="000A27B3" w:rsidRPr="000A27B3" w14:paraId="6CE63326" w14:textId="77777777" w:rsidTr="00B61E33">
        <w:trPr>
          <w:trHeight w:val="313"/>
          <w:jc w:val="center"/>
        </w:trPr>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271DAAC"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325</w:t>
            </w:r>
          </w:p>
        </w:tc>
        <w:tc>
          <w:tcPr>
            <w:tcW w:w="1985" w:type="dxa"/>
            <w:tcBorders>
              <w:top w:val="single" w:sz="4" w:space="0" w:color="auto"/>
              <w:left w:val="nil"/>
              <w:bottom w:val="single" w:sz="4" w:space="0" w:color="auto"/>
              <w:right w:val="single" w:sz="4" w:space="0" w:color="auto"/>
            </w:tcBorders>
            <w:shd w:val="clear" w:color="auto" w:fill="C6EFCE"/>
            <w:noWrap/>
          </w:tcPr>
          <w:p w14:paraId="44DEF2D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Elaborarea/actualizarea în format GIS a documentelor de amenajare a teritoriului și de urbanism </w:t>
            </w:r>
          </w:p>
        </w:tc>
        <w:tc>
          <w:tcPr>
            <w:tcW w:w="1276" w:type="dxa"/>
            <w:tcBorders>
              <w:top w:val="single" w:sz="4" w:space="0" w:color="auto"/>
              <w:left w:val="nil"/>
              <w:bottom w:val="single" w:sz="4" w:space="0" w:color="auto"/>
              <w:right w:val="single" w:sz="4" w:space="0" w:color="auto"/>
            </w:tcBorders>
            <w:shd w:val="clear" w:color="auto" w:fill="C6EFCE"/>
            <w:noWrap/>
          </w:tcPr>
          <w:p w14:paraId="381713B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Țintă </w:t>
            </w:r>
          </w:p>
        </w:tc>
        <w:tc>
          <w:tcPr>
            <w:tcW w:w="1417" w:type="dxa"/>
            <w:tcBorders>
              <w:top w:val="single" w:sz="4" w:space="0" w:color="auto"/>
              <w:left w:val="nil"/>
              <w:bottom w:val="single" w:sz="4" w:space="0" w:color="auto"/>
              <w:right w:val="single" w:sz="4" w:space="0" w:color="auto"/>
            </w:tcBorders>
            <w:shd w:val="clear" w:color="auto" w:fill="C6EFCE"/>
            <w:noWrap/>
          </w:tcPr>
          <w:p w14:paraId="685B7B9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Finalizarea planurilor de amenajare a teritoriului, de urbanism și de mobilitate urbană durabilă și preluarea acestora în cadrul platformei Observatorului teritorial</w:t>
            </w:r>
          </w:p>
        </w:tc>
        <w:tc>
          <w:tcPr>
            <w:tcW w:w="1498" w:type="dxa"/>
            <w:tcBorders>
              <w:top w:val="single" w:sz="4" w:space="0" w:color="auto"/>
              <w:left w:val="nil"/>
              <w:bottom w:val="single" w:sz="4" w:space="0" w:color="auto"/>
              <w:right w:val="single" w:sz="4" w:space="0" w:color="auto"/>
            </w:tcBorders>
            <w:shd w:val="clear" w:color="auto" w:fill="C6EFCE"/>
            <w:noWrap/>
          </w:tcPr>
          <w:p w14:paraId="18A12739"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08" w:type="dxa"/>
            <w:tcBorders>
              <w:top w:val="single" w:sz="4" w:space="0" w:color="auto"/>
              <w:left w:val="nil"/>
              <w:bottom w:val="single" w:sz="4" w:space="0" w:color="auto"/>
              <w:right w:val="single" w:sz="4" w:space="0" w:color="auto"/>
            </w:tcBorders>
            <w:shd w:val="clear" w:color="auto" w:fill="C6EFCE"/>
            <w:noWrap/>
          </w:tcPr>
          <w:p w14:paraId="796A879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200" w:type="dxa"/>
            <w:tcBorders>
              <w:top w:val="single" w:sz="4" w:space="0" w:color="auto"/>
              <w:left w:val="nil"/>
              <w:bottom w:val="single" w:sz="4" w:space="0" w:color="auto"/>
              <w:right w:val="single" w:sz="4" w:space="0" w:color="auto"/>
            </w:tcBorders>
            <w:shd w:val="clear" w:color="auto" w:fill="C6EFCE"/>
            <w:noWrap/>
          </w:tcPr>
          <w:p w14:paraId="06E10D3E" w14:textId="1CAAEAF0"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0</w:t>
            </w:r>
          </w:p>
        </w:tc>
        <w:tc>
          <w:tcPr>
            <w:tcW w:w="1200" w:type="dxa"/>
            <w:tcBorders>
              <w:top w:val="single" w:sz="4" w:space="0" w:color="auto"/>
              <w:left w:val="nil"/>
              <w:bottom w:val="single" w:sz="4" w:space="0" w:color="auto"/>
              <w:right w:val="single" w:sz="4" w:space="0" w:color="auto"/>
            </w:tcBorders>
            <w:shd w:val="clear" w:color="auto" w:fill="C6EFCE"/>
            <w:noWrap/>
          </w:tcPr>
          <w:p w14:paraId="02C5C564" w14:textId="6403B31B"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298</w:t>
            </w:r>
          </w:p>
        </w:tc>
        <w:tc>
          <w:tcPr>
            <w:tcW w:w="960" w:type="dxa"/>
            <w:tcBorders>
              <w:top w:val="single" w:sz="4" w:space="0" w:color="auto"/>
              <w:left w:val="nil"/>
              <w:bottom w:val="single" w:sz="4" w:space="0" w:color="auto"/>
              <w:right w:val="single" w:sz="4" w:space="0" w:color="auto"/>
            </w:tcBorders>
            <w:shd w:val="clear" w:color="auto" w:fill="C6EFCE"/>
            <w:noWrap/>
          </w:tcPr>
          <w:p w14:paraId="783233D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96" w:type="dxa"/>
            <w:tcBorders>
              <w:top w:val="single" w:sz="4" w:space="0" w:color="auto"/>
              <w:left w:val="nil"/>
              <w:bottom w:val="single" w:sz="4" w:space="0" w:color="auto"/>
              <w:right w:val="single" w:sz="4" w:space="0" w:color="auto"/>
            </w:tcBorders>
            <w:shd w:val="clear" w:color="auto" w:fill="C6EFCE"/>
            <w:noWrap/>
          </w:tcPr>
          <w:p w14:paraId="38FBA6E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159" w:type="dxa"/>
            <w:tcBorders>
              <w:top w:val="single" w:sz="4" w:space="0" w:color="auto"/>
              <w:left w:val="nil"/>
              <w:bottom w:val="single" w:sz="4" w:space="0" w:color="auto"/>
              <w:right w:val="single" w:sz="4" w:space="0" w:color="auto"/>
            </w:tcBorders>
            <w:shd w:val="clear" w:color="auto" w:fill="C6EFCE"/>
            <w:noWrap/>
          </w:tcPr>
          <w:p w14:paraId="293E0C89" w14:textId="43AE32F3"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298 de planuri de amenajare a teritoriului, de urbanism și de mobilitate urbană sunt elaborate digital și adoptate. </w:t>
            </w:r>
          </w:p>
          <w:p w14:paraId="4C73B4D7" w14:textId="4224EE6A"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Vor fi elaborate 206 de documentații de tip plan urbanistic general [142 pentru comune, 39 pentru orașe, 17</w:t>
            </w:r>
            <w:r w:rsidR="00B61E33">
              <w:rPr>
                <w:rFonts w:ascii="Times New Roman" w:hAnsi="Times New Roman"/>
                <w:noProof/>
                <w:sz w:val="24"/>
              </w:rPr>
              <w:t> </w:t>
            </w:r>
            <w:r>
              <w:rPr>
                <w:rFonts w:ascii="Times New Roman" w:hAnsi="Times New Roman"/>
                <w:noProof/>
                <w:sz w:val="24"/>
              </w:rPr>
              <w:t>pentru municipii și 8 pentru municipii reședință de județ (inclusiv București)]; 4</w:t>
            </w:r>
            <w:r w:rsidR="00B61E33">
              <w:rPr>
                <w:rFonts w:ascii="Times New Roman" w:hAnsi="Times New Roman"/>
                <w:noProof/>
                <w:sz w:val="24"/>
              </w:rPr>
              <w:t> </w:t>
            </w:r>
            <w:r>
              <w:rPr>
                <w:rFonts w:ascii="Times New Roman" w:hAnsi="Times New Roman"/>
                <w:noProof/>
                <w:sz w:val="24"/>
              </w:rPr>
              <w:t xml:space="preserve">documentații de tip plan de amenajarea teritoriului județean; 1 documentație de tip plan de amenajarea teritoriului zonal; 47 de documentații de tip plan urbanistic zonal și 40 de planuri de mobilitate urbană durabilă. Toate documentele se vor publica pe platforma Observatorului teritorial. </w:t>
            </w:r>
          </w:p>
          <w:p w14:paraId="0DED8A7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se va efectua în conformitate cu cerințele prevăzute în cadrul jalonului 323.</w:t>
            </w:r>
          </w:p>
        </w:tc>
      </w:tr>
    </w:tbl>
    <w:p w14:paraId="564527EC" w14:textId="77777777" w:rsidR="007873BE" w:rsidRPr="009F1DC7" w:rsidRDefault="007873BE">
      <w:pPr>
        <w:spacing w:before="120" w:after="120" w:line="240" w:lineRule="auto"/>
        <w:ind w:left="850"/>
        <w:jc w:val="both"/>
        <w:rPr>
          <w:rFonts w:ascii="Times New Roman" w:hAnsi="Times New Roman" w:cs="Times New Roman"/>
          <w:noProof/>
          <w:sz w:val="24"/>
          <w:szCs w:val="24"/>
          <w:lang w:val="fr-FR"/>
        </w:rPr>
        <w:sectPr w:rsidR="007873BE" w:rsidRPr="009F1DC7">
          <w:headerReference w:type="even" r:id="rId229"/>
          <w:headerReference w:type="default" r:id="rId230"/>
          <w:footerReference w:type="even" r:id="rId231"/>
          <w:footerReference w:type="default" r:id="rId232"/>
          <w:headerReference w:type="first" r:id="rId233"/>
          <w:footerReference w:type="first" r:id="rId234"/>
          <w:pgSz w:w="16839" w:h="11907" w:orient="landscape"/>
          <w:pgMar w:top="1417" w:right="1134" w:bottom="1417" w:left="1134" w:header="709" w:footer="709" w:gutter="0"/>
          <w:cols w:space="720"/>
          <w:docGrid w:linePitch="360"/>
        </w:sectPr>
      </w:pPr>
    </w:p>
    <w:p w14:paraId="30CC1DE2" w14:textId="77777777" w:rsidR="007873BE" w:rsidRPr="000A27B3" w:rsidRDefault="007873BE" w:rsidP="007873BE">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11: Turism și cultură</w:t>
      </w:r>
    </w:p>
    <w:p w14:paraId="21A3351B" w14:textId="77777777" w:rsidR="007873BE" w:rsidRPr="000A27B3" w:rsidRDefault="007873BE">
      <w:pPr>
        <w:spacing w:before="120" w:after="120"/>
        <w:jc w:val="both"/>
        <w:rPr>
          <w:rFonts w:ascii="Times New Roman" w:hAnsi="Times New Roman" w:cs="Times New Roman"/>
          <w:iCs/>
          <w:noProof/>
          <w:sz w:val="24"/>
        </w:rPr>
      </w:pPr>
      <w:r>
        <w:rPr>
          <w:rFonts w:ascii="Times New Roman" w:hAnsi="Times New Roman"/>
          <w:noProof/>
          <w:sz w:val="24"/>
        </w:rPr>
        <w:t>Obiectivul componentei „Turism și cultură” este de a spori coeziunea socială, economică și teritorială și de a crea noi locuri de muncă, în special în zonele rurale, și anume:</w:t>
      </w:r>
    </w:p>
    <w:p w14:paraId="0D3903A9" w14:textId="77777777" w:rsidR="007873BE" w:rsidRPr="000A27B3" w:rsidRDefault="007873BE" w:rsidP="007873BE">
      <w:pPr>
        <w:numPr>
          <w:ilvl w:val="0"/>
          <w:numId w:val="91"/>
        </w:numPr>
        <w:spacing w:before="120" w:after="120" w:line="240" w:lineRule="auto"/>
        <w:ind w:left="360"/>
        <w:jc w:val="both"/>
        <w:rPr>
          <w:rFonts w:ascii="Times New Roman" w:hAnsi="Times New Roman" w:cs="Times New Roman"/>
          <w:iCs/>
          <w:noProof/>
          <w:sz w:val="24"/>
        </w:rPr>
      </w:pPr>
      <w:r>
        <w:rPr>
          <w:rFonts w:ascii="Times New Roman" w:hAnsi="Times New Roman"/>
          <w:noProof/>
          <w:sz w:val="24"/>
        </w:rPr>
        <w:t>promovarea transformării socioeconomice durabile în zonele rurale și defavorizate prin dezvoltarea unei rețele de organizații regionale de management al destinației și prin sprijinirea investițiilor în turismul local;</w:t>
      </w:r>
    </w:p>
    <w:p w14:paraId="5F4E1C5F" w14:textId="77777777" w:rsidR="007873BE" w:rsidRPr="000A27B3" w:rsidRDefault="007873BE" w:rsidP="007873BE">
      <w:pPr>
        <w:numPr>
          <w:ilvl w:val="0"/>
          <w:numId w:val="91"/>
        </w:numPr>
        <w:spacing w:before="120" w:after="120" w:line="240" w:lineRule="auto"/>
        <w:ind w:left="360"/>
        <w:jc w:val="both"/>
        <w:rPr>
          <w:rFonts w:ascii="Times New Roman" w:hAnsi="Times New Roman" w:cs="Times New Roman"/>
          <w:iCs/>
          <w:noProof/>
          <w:sz w:val="24"/>
        </w:rPr>
      </w:pPr>
      <w:r>
        <w:rPr>
          <w:rFonts w:ascii="Times New Roman" w:hAnsi="Times New Roman"/>
          <w:noProof/>
          <w:sz w:val="24"/>
        </w:rPr>
        <w:t xml:space="preserve">sprijinirea mobilității durabile prin crearea unei rețele naționale velo care să includă și rutele EuroVelo; și </w:t>
      </w:r>
    </w:p>
    <w:p w14:paraId="52A34845" w14:textId="77777777" w:rsidR="007873BE" w:rsidRPr="000A27B3" w:rsidRDefault="007873BE" w:rsidP="007873BE">
      <w:pPr>
        <w:numPr>
          <w:ilvl w:val="0"/>
          <w:numId w:val="91"/>
        </w:numPr>
        <w:spacing w:before="120" w:after="120" w:line="240" w:lineRule="auto"/>
        <w:ind w:left="360"/>
        <w:jc w:val="both"/>
        <w:rPr>
          <w:rFonts w:ascii="Times New Roman" w:hAnsi="Times New Roman" w:cs="Times New Roman"/>
          <w:iCs/>
          <w:noProof/>
          <w:sz w:val="24"/>
        </w:rPr>
      </w:pPr>
      <w:r>
        <w:rPr>
          <w:rFonts w:ascii="Times New Roman" w:hAnsi="Times New Roman"/>
          <w:noProof/>
          <w:sz w:val="24"/>
        </w:rPr>
        <w:t>reducerea decalajului în ceea ce privește accesul la cultură între zonele rurale și marile zone urbane.</w:t>
      </w:r>
    </w:p>
    <w:p w14:paraId="5D185E26" w14:textId="77777777" w:rsidR="007873BE" w:rsidRPr="000A27B3" w:rsidRDefault="007873BE">
      <w:pPr>
        <w:spacing w:before="120" w:after="120"/>
        <w:jc w:val="both"/>
        <w:rPr>
          <w:rFonts w:ascii="Times New Roman" w:hAnsi="Times New Roman" w:cs="Times New Roman"/>
          <w:iCs/>
          <w:noProof/>
          <w:sz w:val="24"/>
        </w:rPr>
      </w:pPr>
      <w:r>
        <w:rPr>
          <w:rFonts w:ascii="Times New Roman" w:hAnsi="Times New Roman"/>
          <w:noProof/>
          <w:sz w:val="24"/>
        </w:rPr>
        <w:t>Reformele și investițiile vor contribui la punerea în aplicare a recomandărilor specifice fiecărei țări transmise României în 2019 și 2020, cu privire la necesitatea următoare: „să direcționeze cu prioritate investițiile către tranziția verde și tranziția digitală, în special către transportul durabil, infrastructura de servicii digitale” (recomandarea specifică de țară 3, 2020), „ținând seama de disparitățile regionale” (recomandarea specifică de țară 4, 2019).</w:t>
      </w:r>
    </w:p>
    <w:p w14:paraId="0AE0C4E7" w14:textId="77777777" w:rsidR="007873BE" w:rsidRPr="000A27B3" w:rsidRDefault="007873BE">
      <w:pPr>
        <w:spacing w:before="120" w:after="120"/>
        <w:jc w:val="both"/>
        <w:rPr>
          <w:rFonts w:ascii="Times New Roman" w:hAnsi="Times New Roman" w:cs="Times New Roman"/>
          <w:iCs/>
          <w:noProof/>
          <w:sz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6BEE9760" w14:textId="77777777" w:rsidR="007873BE" w:rsidRPr="000A27B3" w:rsidRDefault="007873BE">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K.1. </w:t>
      </w:r>
      <w:r>
        <w:rPr>
          <w:noProof/>
        </w:rPr>
        <w:tab/>
      </w:r>
      <w:r>
        <w:rPr>
          <w:rFonts w:ascii="Times New Roman" w:hAnsi="Times New Roman"/>
          <w:b/>
          <w:noProof/>
          <w:sz w:val="24"/>
        </w:rPr>
        <w:t xml:space="preserve">Descrierea reformelor și a investițiilor pentru care se prevede acordarea împrumutului </w:t>
      </w:r>
    </w:p>
    <w:p w14:paraId="3B322653" w14:textId="1423F121"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Reforma 1. Operaționalizarea organizațiilor de management al destinației (OMD-uri) </w:t>
      </w:r>
    </w:p>
    <w:p w14:paraId="0DF52016" w14:textId="77777777" w:rsidR="007873BE" w:rsidRPr="00B61E33" w:rsidRDefault="007873BE">
      <w:pPr>
        <w:spacing w:before="120" w:after="120" w:line="240" w:lineRule="auto"/>
        <w:jc w:val="both"/>
        <w:rPr>
          <w:rFonts w:ascii="Times New Roman" w:eastAsia="Calibri" w:hAnsi="Times New Roman" w:cs="Times New Roman"/>
          <w:noProof/>
          <w:spacing w:val="-2"/>
          <w:sz w:val="24"/>
        </w:rPr>
      </w:pPr>
      <w:r w:rsidRPr="00B61E33">
        <w:rPr>
          <w:rFonts w:ascii="Times New Roman" w:hAnsi="Times New Roman"/>
          <w:noProof/>
          <w:spacing w:val="-2"/>
          <w:sz w:val="24"/>
        </w:rPr>
        <w:t>Obiectivul acestei reforme este de a spori competitivitatea sectorului turismului din România și de a promova transformarea socioeconomică durabilă în zonele rurale și defavorizate prin adoptarea cadrului necesar pentru operaționalizarea organizațiilor de management al destinației.</w:t>
      </w:r>
    </w:p>
    <w:p w14:paraId="0FDCAEFB"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Punerea în aplicare a acestei reforme constă în adoptarea unui cadru legislativ necesar pentru funcționarea organizațiilor de management al destinației și elaborarea unui plan de acțiune dedicat valorificării patrimoniului cultural în vederea creșterii competitivității sectorului turismului din România. </w:t>
      </w:r>
    </w:p>
    <w:p w14:paraId="2031957F"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Instituirea și operaționalizarea organizațiilor de management al destinației se vor baza pe Recomandările Organizației pentru Cooperare și Dezvoltare Economică (OCDE) incluse în studiul „Operaționalizarea organizațiilor de management al destinației”.</w:t>
      </w:r>
    </w:p>
    <w:p w14:paraId="2940F976"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Cadrul legislativ necesar pentru funcționarea organizațiilor de management al destinației include, de asemenea, o descriere detaliată a mecanismului de finanțare și un model clar de guvernanță. Planul de acțiune se va desfășura în conformitate cu setul de măsuri propuse în strategia de dezvoltare a organizațiilor de management al destinației și va fi în concordanță cu rezultatele activității de cartografiere.</w:t>
      </w:r>
    </w:p>
    <w:p w14:paraId="3CAEF2EB"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Organizația de management al destinației va fi o persoană juridică care pune în aplicare politica de dezvoltare turistică a fiecărei destinații specifice, inclusiv politica de comercializare a destinației, în conformitate cu dispozițiile legale în vigoare, reunind o serie de alte organizații, cum ar fi: operatori economici, instituții din sectorul public, asociații profesionale și patronale și organisme de reglementare. Organizațiile regionale de management al destinației vor fi concepute pentru a forma o rețea eficientă axată pe avantajele competitive locale și vor lucra în parteneriat cu autoritatea națională pentru turism.</w:t>
      </w:r>
    </w:p>
    <w:p w14:paraId="1EA9ED0D" w14:textId="77777777" w:rsidR="007873BE" w:rsidRPr="000A27B3" w:rsidRDefault="007873BE">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Implementarea reformei va fi finalizată până la 31 decembrie 2023.</w:t>
      </w:r>
    </w:p>
    <w:p w14:paraId="77F7D0BB" w14:textId="2A7FC9BD"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Investiția 1. Promovarea celor 12 rute turistice/culturale</w:t>
      </w:r>
      <w:r w:rsidR="004C4C72">
        <w:rPr>
          <w:noProof/>
          <w:u w:val="single"/>
        </w:rPr>
        <w:t xml:space="preserve"> </w:t>
      </w:r>
    </w:p>
    <w:p w14:paraId="790F7AEF"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este de a spori atractivitatea destinațiilor turistice selectate prin dezvoltarea a 12 rute turistice tematice în zonele rurale defavorizate din România și de a crea noi locuri de muncă în industria turismului.</w:t>
      </w:r>
    </w:p>
    <w:p w14:paraId="61EC1D55"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acestei investiții va include sprijin financiar pentru promovarea celor 12 rute turistice și modernizarea/reabilitarea siturilor turistice cu impact național și internațional incluse în cele 12 rute identificate în zonele optime de destinație. Cele 12 rute tematice sunt: ruta castelelor, ruta curiilor, ruta culelor, traseul gastronomiei tradiționale românești, ruta bisericilor fortificate, ruta bisericilor de lemn, ruta mănăstirilor din zona Moldovei, ruta Sfântul Ladislau, traseul castrelor romane, ruta fortărețelor, refacerea peisajului cultural din Delta Dunării, ruta satelor cu arhitectură tradițională. </w:t>
      </w:r>
    </w:p>
    <w:p w14:paraId="3A2E1F1F"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Siturile turistice specifice vor fi cel puțin 225 și vor fi selectate în urma cartografierii destinațiilor optime pentru fiecare organizație de management al destinației, pe baza capacității acestora de a atrage turiști internaționali și naționali și de a promova o transformare socioeconomică durabilă/orientată către mediu în zonele rurale și defavorizate.</w:t>
      </w:r>
    </w:p>
    <w:p w14:paraId="166CA88E" w14:textId="059B4E2E" w:rsidR="007873BE" w:rsidRPr="000A27B3" w:rsidRDefault="007873BE">
      <w:pPr>
        <w:spacing w:before="120" w:after="120" w:line="240" w:lineRule="auto"/>
        <w:jc w:val="both"/>
        <w:rPr>
          <w:rFonts w:ascii="Times New Roman" w:eastAsia="Calibri" w:hAnsi="Times New Roman" w:cs="Times New Roman"/>
          <w:noProof/>
          <w:sz w:val="24"/>
          <w:szCs w:val="24"/>
          <w:u w:val="single"/>
        </w:rPr>
      </w:pPr>
      <w:r>
        <w:rPr>
          <w:rFonts w:ascii="Times New Roman" w:hAnsi="Times New Roman"/>
          <w:noProof/>
          <w:sz w:val="24"/>
        </w:rPr>
        <w:t>Implementarea investiției va fi finalizată până la 30 iunie 2026.</w:t>
      </w:r>
    </w:p>
    <w:p w14:paraId="618AFD37"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Investiția 2. Modernizarea/crearea de muzee și memoriale</w:t>
      </w:r>
    </w:p>
    <w:p w14:paraId="2C211893"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este de a intensifica turismul cultural prin dezvoltarea de muzee și memoriale dedicate opresiunii și conflictelor.</w:t>
      </w:r>
    </w:p>
    <w:p w14:paraId="0CB880F8" w14:textId="30D3A253" w:rsidR="007873BE" w:rsidRPr="000A27B3" w:rsidRDefault="007873BE">
      <w:pPr>
        <w:spacing w:after="0" w:line="257" w:lineRule="auto"/>
        <w:jc w:val="both"/>
        <w:rPr>
          <w:rFonts w:ascii="Times New Roman" w:eastAsia="Times New Roman" w:hAnsi="Times New Roman" w:cs="Times New Roman"/>
          <w:noProof/>
          <w:sz w:val="19"/>
          <w:szCs w:val="19"/>
        </w:rPr>
      </w:pPr>
      <w:r>
        <w:rPr>
          <w:rFonts w:ascii="Times New Roman" w:hAnsi="Times New Roman"/>
          <w:noProof/>
          <w:sz w:val="24"/>
        </w:rPr>
        <w:t>Implementarea acestei investiții va include modernizarea și crearea următoarelor muzee și situri memoriale: Muzeul Național de Istorie a Evreilor și al Holocaustului (București), Memorialul Revoluției Decembrie 1989 (Timișoara), Memorialul Victimelor (Sighet), Închisoarea tăcerii (Râmnicu Sărat), Memorialul strămutării forțate a persoanelor și al industrializării (Satu Mare), Muzeul Ororilor Comunismului (Sfântu Gheorghe), Galeria Istorică a Transilvaniei, Râpa Robilor (Aiud).</w:t>
      </w:r>
    </w:p>
    <w:p w14:paraId="1D385B19"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Clădirile nou-construite vor respecta obiectivul ca necesarul de energie primară să fie cu cel puțin 20 % mai mic decât cerința pentru clădirile al căror consum de energie este aproape egal cu zero conform orientărilor naționale, ceea ce se va asigura prin certificate de performanță energetică.</w:t>
      </w:r>
    </w:p>
    <w:p w14:paraId="160B9FFB"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2026.</w:t>
      </w:r>
    </w:p>
    <w:p w14:paraId="5705281D" w14:textId="3E491BDC"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Reforma 2. Cadrul pentru operaționalizarea traseelor cicloturistice la nivel național</w:t>
      </w:r>
      <w:r w:rsidR="004C4C72">
        <w:rPr>
          <w:noProof/>
          <w:u w:val="single"/>
        </w:rPr>
        <w:t xml:space="preserve"> </w:t>
      </w:r>
    </w:p>
    <w:p w14:paraId="7BE0C8C2"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reforme este de a contribui la dezvoltarea economică a orașelor mici și a zonelor rurale prin adoptarea unui cadru legislativ, instituțional și de investiții pentru trasee cicloturistice și forme durabile de turism.</w:t>
      </w:r>
    </w:p>
    <w:p w14:paraId="7982ADB7"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acestei reforme va consta într-o reformă de reglementare pentru a stabili entitățile relevante, criteriile pentru traseele cicloturistice și stimulentele pentru promovarea cicloturismului.</w:t>
      </w:r>
    </w:p>
    <w:p w14:paraId="254F2D68" w14:textId="77777777" w:rsidR="007873BE" w:rsidRPr="000A27B3" w:rsidRDefault="007873BE">
      <w:pPr>
        <w:spacing w:before="120" w:after="120" w:line="240" w:lineRule="auto"/>
        <w:rPr>
          <w:rFonts w:ascii="Times New Roman" w:eastAsia="Times New Roman" w:hAnsi="Times New Roman" w:cs="Times New Roman"/>
          <w:noProof/>
          <w:sz w:val="24"/>
        </w:rPr>
        <w:sectPr w:rsidR="007873BE" w:rsidRPr="000A27B3" w:rsidSect="00ED6412">
          <w:headerReference w:type="even" r:id="rId235"/>
          <w:headerReference w:type="default" r:id="rId236"/>
          <w:footerReference w:type="even" r:id="rId237"/>
          <w:footerReference w:type="default" r:id="rId238"/>
          <w:headerReference w:type="first" r:id="rId239"/>
          <w:footerReference w:type="first" r:id="rId240"/>
          <w:pgSz w:w="11906" w:h="16838"/>
          <w:pgMar w:top="1440" w:right="1440" w:bottom="1440" w:left="1440" w:header="708" w:footer="708" w:gutter="0"/>
          <w:cols w:space="708"/>
          <w:docGrid w:linePitch="360"/>
        </w:sectPr>
      </w:pPr>
      <w:r>
        <w:rPr>
          <w:rFonts w:ascii="Times New Roman" w:hAnsi="Times New Roman"/>
          <w:noProof/>
          <w:sz w:val="24"/>
        </w:rPr>
        <w:t>Implementarea reformei va fi finalizată până la 31 martie 2022.</w:t>
      </w:r>
    </w:p>
    <w:p w14:paraId="698DC638"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Investiția 3. Instituirea și operaționalizarea Centrului Național de Coordonare Velo </w:t>
      </w:r>
    </w:p>
    <w:p w14:paraId="7EFA5192"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este de a contribui la mobilitatea durabilă prin promovarea ciclismului prin intermediul unui nou Centru Național de Coordonare Velo.</w:t>
      </w:r>
    </w:p>
    <w:p w14:paraId="64183836"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acestei investiții va include un studiu privind traseele cicloturistice la nivel național, care va constitui baza pentru digitalizarea pistelor și traseelor velo și pentru dezvoltarea unei platforme naționale eVelo, cu o aplicație digitală integrată pentru toate traseele cicloturistice și un site web dedicat.</w:t>
      </w:r>
    </w:p>
    <w:p w14:paraId="1031584C"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septembrie 2022.</w:t>
      </w:r>
    </w:p>
    <w:p w14:paraId="50150592" w14:textId="4BD419E7" w:rsidR="007873BE" w:rsidRPr="000A27B3" w:rsidRDefault="007873BE">
      <w:pPr>
        <w:spacing w:before="120" w:after="12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Investiția 4. Implementarea a 2 404</w:t>
      </w:r>
      <w:r w:rsidR="004C4C72">
        <w:rPr>
          <w:rFonts w:ascii="Times New Roman" w:hAnsi="Times New Roman"/>
          <w:noProof/>
          <w:sz w:val="24"/>
          <w:u w:val="single"/>
        </w:rPr>
        <w:t xml:space="preserve"> </w:t>
      </w:r>
      <w:r>
        <w:rPr>
          <w:rFonts w:ascii="Times New Roman" w:hAnsi="Times New Roman"/>
          <w:noProof/>
          <w:sz w:val="24"/>
          <w:u w:val="single"/>
        </w:rPr>
        <w:t>km de piste pentru biciclete</w:t>
      </w:r>
    </w:p>
    <w:p w14:paraId="51838116"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Obiectivul acestei investiții este de a dezvolta un transport durabil prin dezvoltarea infrastructurii de piste pentru biciclete. </w:t>
      </w:r>
    </w:p>
    <w:p w14:paraId="3CFC1B09" w14:textId="4D61FFF7" w:rsidR="007873BE" w:rsidRPr="000A27B3" w:rsidRDefault="007873BE">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Implementarea acestei investiții va include dezvoltarea a 2 404 km de noi piste naționale pentru biciclete pe teritoriul României. Pistele vor fi amplasate cu prioritate de-a lungul principalelor rute turistice.</w:t>
      </w:r>
    </w:p>
    <w:p w14:paraId="2EA5ED48"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2026.</w:t>
      </w:r>
    </w:p>
    <w:p w14:paraId="2E8CA1CC"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Reforma 3. Reformarea sistemului de finanțare a sectorului cultural</w:t>
      </w:r>
    </w:p>
    <w:p w14:paraId="6427E341"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reforme este de a crea un cadru juridic și administrativ stabil, previzibil și durabil pe termen lung pentru sectorul cultural care nu este public (privat/independent) și pentru lucrătorii din sectorul cultural, prin crearea unor instrumente de colectare a datelor pentru viitoarele politici publice, și de a iniția un proces care să contribuie la dezvoltarea socio-educațională și culturală a micilor zone rurale și urbane.</w:t>
      </w:r>
    </w:p>
    <w:p w14:paraId="69460DC7"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acestei reforme va consta în intrarea în vigoare a legislației privind sistemul de finanțare a proiectelor culturale și sprijinirea lucrătorilor din sectoarele culturale.</w:t>
      </w:r>
    </w:p>
    <w:p w14:paraId="3F8B6AFA" w14:textId="77777777" w:rsidR="007873BE" w:rsidRPr="000A27B3" w:rsidRDefault="007873BE">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Implementarea reformei va fi finalizată până la 31 martie 2023.</w:t>
      </w:r>
    </w:p>
    <w:p w14:paraId="6293D0EF"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Investiția 5. Sporirea accesului la cultură în zonele defavorizate din punct de vedere cultural</w:t>
      </w:r>
    </w:p>
    <w:p w14:paraId="5BC3520A"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este de a spori accesul la cultură în localitățile defavorizate din punct de vedere cultural.</w:t>
      </w:r>
    </w:p>
    <w:p w14:paraId="6F2F3514"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Punerea în aplicare a acestei investiții va include un program-pilot de finanțare în parteneriat cu autoritățile locale pentru a sprijini programele culturale anuale sau multianuale puse în aplicare la nivel local și un program-pilot de finanțare a proiectelor de educație culturală, ai căror beneficiari vor fi instituțiile de învățământ din zonele rurale și orașele mici.</w:t>
      </w:r>
    </w:p>
    <w:p w14:paraId="01142C3E"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2024.</w:t>
      </w:r>
    </w:p>
    <w:p w14:paraId="7DF1F041"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Investiția 6. Dezvoltarea unui sistem digital pentru procesele de finanțare a culturii</w:t>
      </w:r>
    </w:p>
    <w:p w14:paraId="459AF47C"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Obiectivul acestei investiții este de a dezvolta un sistem digital pentru acordarea de finanțare publică în sectoarele culturale.</w:t>
      </w:r>
    </w:p>
    <w:p w14:paraId="64A21CA0"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Punerea în aplicare a acestei investiții va include dezvoltarea unui sistem digital care: să faciliteze accesul la finanțare pentru operatorii culturali naționali prin aplicații simplificate și digitalizate; să înregistreze toate subvențiile culturale publice deja acordate pentru a preveni dubla finanțare și să colecteze date privind cheltuielile culturale la nivelul localităților pentru a permite luarea unei decizii bazate pe dovezi în domeniul politicii culturale, permițând, în același timp, accesul transparent la informații neconfidențiale privind proiectele culturale.</w:t>
      </w:r>
    </w:p>
    <w:p w14:paraId="3A310F53"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30 iunie 2024.</w:t>
      </w:r>
    </w:p>
    <w:p w14:paraId="0725BDE5" w14:textId="77777777" w:rsidR="007873BE" w:rsidRPr="000A27B3" w:rsidRDefault="007873BE">
      <w:pPr>
        <w:pStyle w:val="Standard"/>
        <w:spacing w:before="240"/>
        <w:jc w:val="both"/>
        <w:rPr>
          <w:rFonts w:ascii="Times New Roman" w:eastAsiaTheme="majorEastAsia" w:hAnsi="Times New Roman" w:cs="Times New Roman"/>
          <w:bCs/>
          <w:noProof/>
          <w:u w:val="single"/>
        </w:rPr>
      </w:pPr>
      <w:r>
        <w:rPr>
          <w:noProof/>
          <w:u w:val="single"/>
        </w:rPr>
        <w:t xml:space="preserve">Investiția 7. Accelerarea digitalizării producției și distribuției de filme </w:t>
      </w:r>
    </w:p>
    <w:p w14:paraId="4DF2AC65"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 xml:space="preserve">Obiectivul acestei investiții este de a consolida capacitatea microîntreprinderilor și a întreprinderilor mici și mijlocii de a produce filme și de a accelera tranziția digitală a producătorilor și distribuitorilor de film din România prin creșterea capacităților digitale de producție, distribuție, marketing și promovare, inclusiv a tehnologiilor de arhivare digitală. </w:t>
      </w:r>
    </w:p>
    <w:p w14:paraId="71CC6CFD"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Punerea în aplicare a acestei investiții va include dezvoltarea de conținut și creșterea capacității comerciale a producătorilor și distribuitorilor de film, combinând finanțarea proiectelor cu finanțarea entității.</w:t>
      </w:r>
    </w:p>
    <w:p w14:paraId="4A7E1EFE" w14:textId="77777777" w:rsidR="007873BE" w:rsidRPr="000A27B3" w:rsidRDefault="007873BE">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Implementarea investiției va fi finalizată până la 31 martie 2025.</w:t>
      </w:r>
    </w:p>
    <w:p w14:paraId="6377E47E" w14:textId="77777777" w:rsidR="007873BE" w:rsidRPr="009F1DC7" w:rsidRDefault="007873BE">
      <w:pPr>
        <w:spacing w:before="120" w:after="120" w:line="240" w:lineRule="auto"/>
        <w:jc w:val="both"/>
        <w:rPr>
          <w:rFonts w:ascii="Times New Roman" w:eastAsia="Calibri" w:hAnsi="Times New Roman" w:cs="Times New Roman"/>
          <w:noProof/>
          <w:sz w:val="24"/>
          <w:u w:val="single"/>
          <w:lang w:val="fr-FR"/>
        </w:rPr>
      </w:pPr>
    </w:p>
    <w:p w14:paraId="09859709" w14:textId="77777777" w:rsidR="007873BE" w:rsidRPr="009F1DC7" w:rsidRDefault="007873BE">
      <w:pPr>
        <w:spacing w:before="120" w:after="120" w:line="240" w:lineRule="auto"/>
        <w:jc w:val="both"/>
        <w:rPr>
          <w:rFonts w:ascii="Times New Roman" w:hAnsi="Times New Roman" w:cs="Times New Roman"/>
          <w:b/>
          <w:noProof/>
          <w:sz w:val="24"/>
          <w:lang w:val="fr-FR"/>
        </w:rPr>
        <w:sectPr w:rsidR="007873BE" w:rsidRPr="009F1DC7">
          <w:headerReference w:type="even" r:id="rId241"/>
          <w:headerReference w:type="default" r:id="rId242"/>
          <w:footerReference w:type="even" r:id="rId243"/>
          <w:footerReference w:type="default" r:id="rId244"/>
          <w:headerReference w:type="first" r:id="rId245"/>
          <w:footerReference w:type="first" r:id="rId246"/>
          <w:pgSz w:w="11907" w:h="16839"/>
          <w:pgMar w:top="1134" w:right="1417" w:bottom="1134" w:left="1417" w:header="709" w:footer="709" w:gutter="0"/>
          <w:cols w:space="720"/>
          <w:docGrid w:linePitch="360"/>
        </w:sectPr>
      </w:pPr>
    </w:p>
    <w:p w14:paraId="64FFDEE7" w14:textId="77777777" w:rsidR="007873BE" w:rsidRPr="000A27B3" w:rsidRDefault="007873BE">
      <w:pPr>
        <w:keepNext/>
        <w:spacing w:before="120" w:after="120" w:line="240" w:lineRule="auto"/>
        <w:ind w:firstLine="720"/>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K.2. </w:t>
      </w:r>
      <w:r>
        <w:rPr>
          <w:noProof/>
        </w:rPr>
        <w:tab/>
      </w:r>
      <w:r>
        <w:rPr>
          <w:rFonts w:ascii="Times New Roman" w:hAnsi="Times New Roman"/>
          <w:b/>
          <w:noProof/>
          <w:sz w:val="24"/>
        </w:rPr>
        <w:t xml:space="preserve">Jaloane, ținte, indicatori și calendarul de monitorizare și implementare aplicabile împrumutului </w:t>
      </w:r>
    </w:p>
    <w:tbl>
      <w:tblPr>
        <w:tblW w:w="15876" w:type="dxa"/>
        <w:jc w:val="center"/>
        <w:tblLayout w:type="fixed"/>
        <w:tblLook w:val="04A0" w:firstRow="1" w:lastRow="0" w:firstColumn="1" w:lastColumn="0" w:noHBand="0" w:noVBand="1"/>
      </w:tblPr>
      <w:tblGrid>
        <w:gridCol w:w="860"/>
        <w:gridCol w:w="1586"/>
        <w:gridCol w:w="1302"/>
        <w:gridCol w:w="1518"/>
        <w:gridCol w:w="1658"/>
        <w:gridCol w:w="991"/>
        <w:gridCol w:w="1200"/>
        <w:gridCol w:w="1131"/>
        <w:gridCol w:w="1269"/>
        <w:gridCol w:w="720"/>
        <w:gridCol w:w="3641"/>
      </w:tblGrid>
      <w:tr w:rsidR="000A27B3" w:rsidRPr="000A27B3" w14:paraId="23170EE2" w14:textId="77777777" w:rsidTr="00B61E33">
        <w:trPr>
          <w:trHeight w:val="632"/>
          <w:tblHeader/>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172B52"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Număr secvențial</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EE5B5BD"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Măsură conexă (reformă sau investiție)</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21F31" w14:textId="77777777" w:rsidR="00B61E33" w:rsidRDefault="007873BE">
            <w:pPr>
              <w:spacing w:after="0" w:line="240" w:lineRule="auto"/>
              <w:jc w:val="center"/>
              <w:rPr>
                <w:rFonts w:ascii="Times New Roman" w:hAnsi="Times New Roman"/>
                <w:b/>
                <w:noProof/>
                <w:sz w:val="24"/>
              </w:rPr>
            </w:pPr>
            <w:r>
              <w:rPr>
                <w:rFonts w:ascii="Times New Roman" w:hAnsi="Times New Roman"/>
                <w:b/>
                <w:noProof/>
                <w:sz w:val="24"/>
              </w:rPr>
              <w:t>Jalon/</w:t>
            </w:r>
          </w:p>
          <w:p w14:paraId="2D7A0268" w14:textId="1DDB2AB5"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țintă</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BB1517"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Denumire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24EDDE" w14:textId="635D0DDC"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32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3C647AC" w14:textId="4CBE6F4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989" w:type="dxa"/>
            <w:gridSpan w:val="2"/>
            <w:tcBorders>
              <w:top w:val="single" w:sz="4" w:space="0" w:color="auto"/>
              <w:left w:val="nil"/>
              <w:bottom w:val="single" w:sz="4" w:space="0" w:color="auto"/>
              <w:right w:val="single" w:sz="4" w:space="0" w:color="auto"/>
            </w:tcBorders>
            <w:shd w:val="clear" w:color="auto" w:fill="BDD7EE"/>
            <w:vAlign w:val="center"/>
            <w:hideMark/>
          </w:tcPr>
          <w:p w14:paraId="78B86C38" w14:textId="15EF7D3C"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Calendar orientativ pentru atingerea jaloanelor/</w:t>
            </w:r>
            <w:r w:rsidR="00B61E33">
              <w:rPr>
                <w:rFonts w:ascii="Times New Roman" w:hAnsi="Times New Roman"/>
                <w:b/>
                <w:noProof/>
                <w:sz w:val="24"/>
              </w:rPr>
              <w:br/>
            </w:r>
            <w:r>
              <w:rPr>
                <w:rFonts w:ascii="Times New Roman" w:hAnsi="Times New Roman"/>
                <w:b/>
                <w:noProof/>
                <w:sz w:val="24"/>
              </w:rPr>
              <w:t xml:space="preserve">țintelor </w:t>
            </w:r>
          </w:p>
        </w:tc>
        <w:tc>
          <w:tcPr>
            <w:tcW w:w="36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61C9F45"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Descrierea fiecărui jalon și a fiecărei ținte</w:t>
            </w:r>
          </w:p>
        </w:tc>
      </w:tr>
      <w:tr w:rsidR="000A27B3" w:rsidRPr="000A27B3" w14:paraId="6E51D3C6" w14:textId="77777777" w:rsidTr="00B61E33">
        <w:trPr>
          <w:trHeight w:val="56"/>
          <w:tblHeader/>
          <w:jc w:val="center"/>
        </w:trPr>
        <w:tc>
          <w:tcPr>
            <w:tcW w:w="860" w:type="dxa"/>
            <w:vMerge/>
            <w:tcBorders>
              <w:top w:val="single" w:sz="4" w:space="0" w:color="auto"/>
              <w:left w:val="single" w:sz="4" w:space="0" w:color="auto"/>
              <w:bottom w:val="single" w:sz="4" w:space="0" w:color="auto"/>
              <w:right w:val="single" w:sz="4" w:space="0" w:color="auto"/>
            </w:tcBorders>
            <w:hideMark/>
          </w:tcPr>
          <w:p w14:paraId="46A2AE65" w14:textId="77777777" w:rsidR="007873BE" w:rsidRPr="009F1DC7" w:rsidRDefault="007873BE">
            <w:pPr>
              <w:spacing w:after="0" w:line="240" w:lineRule="auto"/>
              <w:jc w:val="center"/>
              <w:rPr>
                <w:rFonts w:ascii="Times New Roman" w:eastAsia="Times New Roman" w:hAnsi="Times New Roman" w:cs="Times New Roman"/>
                <w:b/>
                <w:bCs/>
                <w:noProof/>
                <w:sz w:val="24"/>
                <w:szCs w:val="24"/>
                <w:lang w:eastAsia="en-GB"/>
              </w:rPr>
            </w:pPr>
          </w:p>
        </w:tc>
        <w:tc>
          <w:tcPr>
            <w:tcW w:w="1586" w:type="dxa"/>
            <w:vMerge/>
            <w:tcBorders>
              <w:top w:val="single" w:sz="4" w:space="0" w:color="auto"/>
              <w:left w:val="single" w:sz="4" w:space="0" w:color="auto"/>
              <w:bottom w:val="single" w:sz="4" w:space="0" w:color="auto"/>
              <w:right w:val="single" w:sz="4" w:space="0" w:color="auto"/>
            </w:tcBorders>
            <w:hideMark/>
          </w:tcPr>
          <w:p w14:paraId="6A093EAB" w14:textId="77777777" w:rsidR="007873BE" w:rsidRPr="009F1DC7" w:rsidRDefault="007873BE">
            <w:pPr>
              <w:spacing w:after="0" w:line="240" w:lineRule="auto"/>
              <w:jc w:val="both"/>
              <w:rPr>
                <w:rFonts w:ascii="Times New Roman" w:eastAsia="Times New Roman" w:hAnsi="Times New Roman" w:cs="Times New Roman"/>
                <w:b/>
                <w:bCs/>
                <w:noProof/>
                <w:sz w:val="24"/>
                <w:szCs w:val="24"/>
                <w:lang w:eastAsia="en-GB"/>
              </w:rPr>
            </w:pPr>
          </w:p>
        </w:tc>
        <w:tc>
          <w:tcPr>
            <w:tcW w:w="1302" w:type="dxa"/>
            <w:vMerge/>
            <w:tcBorders>
              <w:top w:val="single" w:sz="4" w:space="0" w:color="auto"/>
              <w:left w:val="single" w:sz="4" w:space="0" w:color="auto"/>
              <w:bottom w:val="single" w:sz="4" w:space="0" w:color="auto"/>
              <w:right w:val="single" w:sz="4" w:space="0" w:color="auto"/>
            </w:tcBorders>
            <w:hideMark/>
          </w:tcPr>
          <w:p w14:paraId="7FB60820" w14:textId="77777777" w:rsidR="007873BE" w:rsidRPr="009F1DC7" w:rsidRDefault="007873BE">
            <w:pPr>
              <w:spacing w:after="0" w:line="240" w:lineRule="auto"/>
              <w:jc w:val="center"/>
              <w:rPr>
                <w:rFonts w:ascii="Times New Roman" w:eastAsia="Times New Roman" w:hAnsi="Times New Roman" w:cs="Times New Roman"/>
                <w:b/>
                <w:bCs/>
                <w:noProof/>
                <w:sz w:val="24"/>
                <w:szCs w:val="24"/>
                <w:lang w:eastAsia="en-GB"/>
              </w:rPr>
            </w:pPr>
          </w:p>
        </w:tc>
        <w:tc>
          <w:tcPr>
            <w:tcW w:w="1518" w:type="dxa"/>
            <w:vMerge/>
            <w:tcBorders>
              <w:top w:val="single" w:sz="4" w:space="0" w:color="auto"/>
              <w:left w:val="single" w:sz="4" w:space="0" w:color="auto"/>
              <w:bottom w:val="single" w:sz="4" w:space="0" w:color="auto"/>
              <w:right w:val="single" w:sz="4" w:space="0" w:color="auto"/>
            </w:tcBorders>
            <w:hideMark/>
          </w:tcPr>
          <w:p w14:paraId="0562A3F2" w14:textId="77777777" w:rsidR="007873BE" w:rsidRPr="009F1DC7" w:rsidRDefault="007873BE">
            <w:pPr>
              <w:spacing w:after="0" w:line="240" w:lineRule="auto"/>
              <w:jc w:val="both"/>
              <w:rPr>
                <w:rFonts w:ascii="Times New Roman" w:eastAsia="Times New Roman" w:hAnsi="Times New Roman" w:cs="Times New Roman"/>
                <w:b/>
                <w:bCs/>
                <w:noProof/>
                <w:sz w:val="24"/>
                <w:szCs w:val="24"/>
                <w:lang w:eastAsia="en-GB"/>
              </w:rPr>
            </w:pPr>
          </w:p>
        </w:tc>
        <w:tc>
          <w:tcPr>
            <w:tcW w:w="1658" w:type="dxa"/>
            <w:vMerge/>
            <w:tcBorders>
              <w:top w:val="single" w:sz="4" w:space="0" w:color="auto"/>
              <w:left w:val="single" w:sz="4" w:space="0" w:color="auto"/>
              <w:bottom w:val="single" w:sz="4" w:space="0" w:color="auto"/>
              <w:right w:val="single" w:sz="4" w:space="0" w:color="auto"/>
            </w:tcBorders>
            <w:hideMark/>
          </w:tcPr>
          <w:p w14:paraId="3438392E" w14:textId="77777777" w:rsidR="007873BE" w:rsidRPr="009F1DC7" w:rsidRDefault="007873BE">
            <w:pPr>
              <w:spacing w:after="0" w:line="240" w:lineRule="auto"/>
              <w:jc w:val="both"/>
              <w:rPr>
                <w:rFonts w:ascii="Times New Roman" w:eastAsia="Times New Roman" w:hAnsi="Times New Roman" w:cs="Times New Roman"/>
                <w:b/>
                <w:bCs/>
                <w:noProof/>
                <w:sz w:val="24"/>
                <w:szCs w:val="24"/>
                <w:lang w:eastAsia="en-GB"/>
              </w:rPr>
            </w:pPr>
          </w:p>
        </w:tc>
        <w:tc>
          <w:tcPr>
            <w:tcW w:w="991" w:type="dxa"/>
            <w:tcBorders>
              <w:top w:val="nil"/>
              <w:left w:val="single" w:sz="4" w:space="0" w:color="auto"/>
              <w:bottom w:val="single" w:sz="4" w:space="0" w:color="auto"/>
              <w:right w:val="single" w:sz="4" w:space="0" w:color="auto"/>
            </w:tcBorders>
            <w:shd w:val="clear" w:color="auto" w:fill="BDD7EE"/>
            <w:vAlign w:val="center"/>
            <w:hideMark/>
          </w:tcPr>
          <w:p w14:paraId="6BF67160"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Unitate de măsură</w:t>
            </w:r>
          </w:p>
        </w:tc>
        <w:tc>
          <w:tcPr>
            <w:tcW w:w="1200" w:type="dxa"/>
            <w:tcBorders>
              <w:top w:val="nil"/>
              <w:left w:val="nil"/>
              <w:bottom w:val="single" w:sz="4" w:space="0" w:color="auto"/>
              <w:right w:val="single" w:sz="4" w:space="0" w:color="auto"/>
            </w:tcBorders>
            <w:shd w:val="clear" w:color="auto" w:fill="BDD7EE"/>
            <w:vAlign w:val="center"/>
            <w:hideMark/>
          </w:tcPr>
          <w:p w14:paraId="68685DA5"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 xml:space="preserve">Valoare de referință </w:t>
            </w:r>
          </w:p>
        </w:tc>
        <w:tc>
          <w:tcPr>
            <w:tcW w:w="1131" w:type="dxa"/>
            <w:tcBorders>
              <w:top w:val="nil"/>
              <w:left w:val="nil"/>
              <w:bottom w:val="single" w:sz="4" w:space="0" w:color="auto"/>
              <w:right w:val="single" w:sz="4" w:space="0" w:color="auto"/>
            </w:tcBorders>
            <w:shd w:val="clear" w:color="auto" w:fill="BDD7EE"/>
            <w:vAlign w:val="center"/>
            <w:hideMark/>
          </w:tcPr>
          <w:p w14:paraId="06DD60D5"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 xml:space="preserve">Obiectiv </w:t>
            </w:r>
          </w:p>
        </w:tc>
        <w:tc>
          <w:tcPr>
            <w:tcW w:w="1269" w:type="dxa"/>
            <w:tcBorders>
              <w:top w:val="nil"/>
              <w:left w:val="nil"/>
              <w:bottom w:val="single" w:sz="4" w:space="0" w:color="auto"/>
              <w:right w:val="single" w:sz="4" w:space="0" w:color="auto"/>
            </w:tcBorders>
            <w:shd w:val="clear" w:color="auto" w:fill="BDD7EE"/>
            <w:vAlign w:val="center"/>
            <w:hideMark/>
          </w:tcPr>
          <w:p w14:paraId="75D86F57" w14:textId="703D0235"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Trimes</w:t>
            </w:r>
            <w:r w:rsidR="00B61E33">
              <w:rPr>
                <w:rFonts w:ascii="Times New Roman" w:hAnsi="Times New Roman"/>
                <w:b/>
                <w:noProof/>
                <w:sz w:val="24"/>
              </w:rPr>
              <w:br/>
            </w:r>
            <w:r>
              <w:rPr>
                <w:rFonts w:ascii="Times New Roman" w:hAnsi="Times New Roman"/>
                <w:b/>
                <w:noProof/>
                <w:sz w:val="24"/>
              </w:rPr>
              <w:t>tru</w:t>
            </w:r>
          </w:p>
        </w:tc>
        <w:tc>
          <w:tcPr>
            <w:tcW w:w="720" w:type="dxa"/>
            <w:tcBorders>
              <w:top w:val="nil"/>
              <w:left w:val="nil"/>
              <w:bottom w:val="single" w:sz="4" w:space="0" w:color="auto"/>
              <w:right w:val="single" w:sz="4" w:space="0" w:color="auto"/>
            </w:tcBorders>
            <w:shd w:val="clear" w:color="auto" w:fill="BDD7EE"/>
            <w:vAlign w:val="center"/>
            <w:hideMark/>
          </w:tcPr>
          <w:p w14:paraId="0B346401" w14:textId="77777777" w:rsidR="007873BE" w:rsidRPr="000A27B3" w:rsidRDefault="007873BE">
            <w:pPr>
              <w:spacing w:after="0" w:line="240" w:lineRule="auto"/>
              <w:jc w:val="center"/>
              <w:rPr>
                <w:rFonts w:ascii="Times New Roman" w:eastAsia="Times New Roman" w:hAnsi="Times New Roman" w:cs="Times New Roman"/>
                <w:b/>
                <w:noProof/>
                <w:sz w:val="24"/>
                <w:szCs w:val="24"/>
              </w:rPr>
            </w:pPr>
            <w:r>
              <w:rPr>
                <w:rFonts w:ascii="Times New Roman" w:hAnsi="Times New Roman"/>
                <w:b/>
                <w:noProof/>
                <w:sz w:val="24"/>
              </w:rPr>
              <w:t>An</w:t>
            </w:r>
          </w:p>
        </w:tc>
        <w:tc>
          <w:tcPr>
            <w:tcW w:w="3641" w:type="dxa"/>
            <w:vMerge/>
            <w:tcBorders>
              <w:top w:val="single" w:sz="4" w:space="0" w:color="auto"/>
              <w:bottom w:val="single" w:sz="4" w:space="0" w:color="auto"/>
              <w:right w:val="single" w:sz="4" w:space="0" w:color="auto"/>
            </w:tcBorders>
            <w:hideMark/>
          </w:tcPr>
          <w:p w14:paraId="73ED3687" w14:textId="77777777" w:rsidR="007873BE" w:rsidRPr="000A27B3" w:rsidRDefault="007873BE">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23B0BF74" w14:textId="77777777" w:rsidTr="00B61E33">
        <w:trPr>
          <w:trHeight w:val="309"/>
          <w:jc w:val="center"/>
        </w:trPr>
        <w:tc>
          <w:tcPr>
            <w:tcW w:w="860" w:type="dxa"/>
            <w:tcBorders>
              <w:top w:val="single" w:sz="4" w:space="0" w:color="auto"/>
              <w:left w:val="single" w:sz="4" w:space="0" w:color="auto"/>
              <w:bottom w:val="single" w:sz="4" w:space="0" w:color="auto"/>
              <w:right w:val="single" w:sz="4" w:space="0" w:color="auto"/>
            </w:tcBorders>
            <w:shd w:val="clear" w:color="auto" w:fill="C6EFCE"/>
            <w:noWrap/>
            <w:hideMark/>
          </w:tcPr>
          <w:p w14:paraId="5436412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326</w:t>
            </w:r>
          </w:p>
        </w:tc>
        <w:tc>
          <w:tcPr>
            <w:tcW w:w="1586" w:type="dxa"/>
            <w:tcBorders>
              <w:top w:val="single" w:sz="4" w:space="0" w:color="auto"/>
              <w:left w:val="nil"/>
              <w:bottom w:val="single" w:sz="4" w:space="0" w:color="auto"/>
              <w:right w:val="single" w:sz="4" w:space="0" w:color="auto"/>
            </w:tcBorders>
            <w:shd w:val="clear" w:color="auto" w:fill="C6EFCE"/>
            <w:noWrap/>
            <w:hideMark/>
          </w:tcPr>
          <w:p w14:paraId="406E3023"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1. Operaționalizarea organizațiilor de management al destinației (OMD-uri)</w:t>
            </w:r>
          </w:p>
        </w:tc>
        <w:tc>
          <w:tcPr>
            <w:tcW w:w="1302" w:type="dxa"/>
            <w:tcBorders>
              <w:top w:val="single" w:sz="4" w:space="0" w:color="auto"/>
              <w:left w:val="nil"/>
              <w:bottom w:val="single" w:sz="4" w:space="0" w:color="auto"/>
              <w:right w:val="single" w:sz="4" w:space="0" w:color="auto"/>
            </w:tcBorders>
            <w:shd w:val="clear" w:color="auto" w:fill="C6EFCE"/>
            <w:noWrap/>
            <w:hideMark/>
          </w:tcPr>
          <w:p w14:paraId="5E3986A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single" w:sz="4" w:space="0" w:color="auto"/>
              <w:left w:val="nil"/>
              <w:bottom w:val="single" w:sz="4" w:space="0" w:color="auto"/>
              <w:right w:val="single" w:sz="4" w:space="0" w:color="auto"/>
            </w:tcBorders>
            <w:shd w:val="clear" w:color="auto" w:fill="C6EFCE"/>
            <w:noWrap/>
            <w:hideMark/>
          </w:tcPr>
          <w:p w14:paraId="5FF0A47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Toate zonele optime de destinație pentru organizațiile de management al destinației (OMD-uri) din România au fost cartografiate</w:t>
            </w:r>
          </w:p>
        </w:tc>
        <w:tc>
          <w:tcPr>
            <w:tcW w:w="1658" w:type="dxa"/>
            <w:tcBorders>
              <w:top w:val="single" w:sz="4" w:space="0" w:color="auto"/>
              <w:left w:val="nil"/>
              <w:bottom w:val="single" w:sz="4" w:space="0" w:color="auto"/>
              <w:right w:val="single" w:sz="4" w:space="0" w:color="auto"/>
            </w:tcBorders>
            <w:shd w:val="clear" w:color="auto" w:fill="C6EFCE"/>
            <w:noWrap/>
            <w:hideMark/>
          </w:tcPr>
          <w:p w14:paraId="2DE3431A"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Au fost publicate toate zonele optime de destinație pentru OMD-uri din România</w:t>
            </w:r>
          </w:p>
          <w:p w14:paraId="0292014F" w14:textId="77777777" w:rsidR="007873BE" w:rsidRPr="009F1DC7" w:rsidRDefault="007873BE">
            <w:pPr>
              <w:spacing w:after="0" w:line="240" w:lineRule="auto"/>
              <w:jc w:val="both"/>
              <w:rPr>
                <w:rFonts w:ascii="Times New Roman" w:eastAsia="Times New Roman" w:hAnsi="Times New Roman" w:cs="Times New Roman"/>
                <w:noProof/>
                <w:sz w:val="24"/>
                <w:szCs w:val="24"/>
                <w:lang w:val="fr-FR" w:eastAsia="en-GB"/>
              </w:rPr>
            </w:pPr>
          </w:p>
        </w:tc>
        <w:tc>
          <w:tcPr>
            <w:tcW w:w="991" w:type="dxa"/>
            <w:tcBorders>
              <w:top w:val="nil"/>
              <w:left w:val="nil"/>
              <w:bottom w:val="single" w:sz="4" w:space="0" w:color="auto"/>
              <w:right w:val="single" w:sz="4" w:space="0" w:color="auto"/>
            </w:tcBorders>
            <w:shd w:val="clear" w:color="auto" w:fill="C6EFCE"/>
            <w:noWrap/>
            <w:hideMark/>
          </w:tcPr>
          <w:p w14:paraId="3648E467" w14:textId="77777777" w:rsidR="007873BE" w:rsidRPr="009F1DC7" w:rsidRDefault="007873BE">
            <w:pPr>
              <w:spacing w:after="0" w:line="240" w:lineRule="auto"/>
              <w:rPr>
                <w:rFonts w:ascii="Times New Roman" w:eastAsia="Times New Roman" w:hAnsi="Times New Roman" w:cs="Times New Roman"/>
                <w:noProof/>
                <w:sz w:val="24"/>
                <w:szCs w:val="24"/>
                <w:lang w:val="fr-FR" w:eastAsia="en-GB"/>
              </w:rPr>
            </w:pPr>
          </w:p>
        </w:tc>
        <w:tc>
          <w:tcPr>
            <w:tcW w:w="1200" w:type="dxa"/>
            <w:tcBorders>
              <w:top w:val="nil"/>
              <w:left w:val="nil"/>
              <w:bottom w:val="single" w:sz="4" w:space="0" w:color="auto"/>
              <w:right w:val="single" w:sz="4" w:space="0" w:color="auto"/>
            </w:tcBorders>
            <w:shd w:val="clear" w:color="auto" w:fill="C6EFCE"/>
            <w:noWrap/>
            <w:hideMark/>
          </w:tcPr>
          <w:p w14:paraId="256F1FCF" w14:textId="77777777" w:rsidR="007873BE" w:rsidRPr="009F1DC7" w:rsidRDefault="007873BE">
            <w:pPr>
              <w:spacing w:after="0" w:line="240" w:lineRule="auto"/>
              <w:jc w:val="right"/>
              <w:rPr>
                <w:rFonts w:ascii="Times New Roman" w:eastAsia="Times New Roman" w:hAnsi="Times New Roman" w:cs="Times New Roman"/>
                <w:noProof/>
                <w:sz w:val="24"/>
                <w:szCs w:val="24"/>
                <w:lang w:val="fr-FR" w:eastAsia="en-GB"/>
              </w:rPr>
            </w:pPr>
          </w:p>
        </w:tc>
        <w:tc>
          <w:tcPr>
            <w:tcW w:w="1131" w:type="dxa"/>
            <w:tcBorders>
              <w:top w:val="nil"/>
              <w:left w:val="nil"/>
              <w:bottom w:val="single" w:sz="4" w:space="0" w:color="auto"/>
              <w:right w:val="single" w:sz="4" w:space="0" w:color="auto"/>
            </w:tcBorders>
            <w:shd w:val="clear" w:color="auto" w:fill="C6EFCE"/>
            <w:noWrap/>
            <w:hideMark/>
          </w:tcPr>
          <w:p w14:paraId="33241141" w14:textId="77777777" w:rsidR="007873BE" w:rsidRPr="009F1DC7" w:rsidRDefault="007873BE">
            <w:pPr>
              <w:spacing w:after="0" w:line="240" w:lineRule="auto"/>
              <w:jc w:val="right"/>
              <w:rPr>
                <w:rFonts w:ascii="Times New Roman" w:eastAsia="Times New Roman" w:hAnsi="Times New Roman" w:cs="Times New Roman"/>
                <w:noProof/>
                <w:sz w:val="24"/>
                <w:szCs w:val="24"/>
                <w:lang w:val="fr-FR" w:eastAsia="en-GB"/>
              </w:rPr>
            </w:pPr>
          </w:p>
        </w:tc>
        <w:tc>
          <w:tcPr>
            <w:tcW w:w="1269" w:type="dxa"/>
            <w:tcBorders>
              <w:top w:val="nil"/>
              <w:left w:val="nil"/>
              <w:bottom w:val="single" w:sz="4" w:space="0" w:color="auto"/>
              <w:right w:val="single" w:sz="4" w:space="0" w:color="auto"/>
            </w:tcBorders>
            <w:shd w:val="clear" w:color="auto" w:fill="C6EFCE"/>
            <w:noWrap/>
            <w:hideMark/>
          </w:tcPr>
          <w:p w14:paraId="09B6C847"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hideMark/>
          </w:tcPr>
          <w:p w14:paraId="442E013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single" w:sz="4" w:space="0" w:color="auto"/>
              <w:left w:val="nil"/>
              <w:bottom w:val="single" w:sz="4" w:space="0" w:color="auto"/>
              <w:right w:val="single" w:sz="4" w:space="0" w:color="auto"/>
            </w:tcBorders>
            <w:shd w:val="clear" w:color="auto" w:fill="C6EFCE"/>
            <w:noWrap/>
            <w:hideMark/>
          </w:tcPr>
          <w:p w14:paraId="33F1886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Organizațiile de management al destinației vor identifica zonele de destinație optime pe baza următoarelor criterii:</w:t>
            </w:r>
          </w:p>
          <w:p w14:paraId="5409AC35"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capacitatea lor de a atrage turiști internaționali;</w:t>
            </w:r>
          </w:p>
          <w:p w14:paraId="12204539"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promovarea transformării socioeconomice durabile/ecologice în zonele rurale și defavorizate, în complementaritate cu componenta Fondul local (de exemplu, în ceea ce privește zonele rurale funcționale);</w:t>
            </w:r>
          </w:p>
          <w:p w14:paraId="7B0C589F"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potențialul de creare de noi locuri de muncă.</w:t>
            </w:r>
          </w:p>
        </w:tc>
      </w:tr>
      <w:tr w:rsidR="000A27B3" w:rsidRPr="000A27B3" w14:paraId="0395CC8B"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4EAD8A00"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327</w:t>
            </w:r>
          </w:p>
        </w:tc>
        <w:tc>
          <w:tcPr>
            <w:tcW w:w="1586" w:type="dxa"/>
            <w:tcBorders>
              <w:top w:val="nil"/>
              <w:left w:val="nil"/>
              <w:bottom w:val="single" w:sz="4" w:space="0" w:color="auto"/>
              <w:right w:val="single" w:sz="4" w:space="0" w:color="auto"/>
            </w:tcBorders>
            <w:shd w:val="clear" w:color="auto" w:fill="C6EFCE"/>
            <w:noWrap/>
          </w:tcPr>
          <w:p w14:paraId="7293F910"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Reforma 1.</w:t>
            </w:r>
          </w:p>
          <w:p w14:paraId="31C6DD9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Operaționalizarea organizațiilor de management al destinației (OMD-uri)</w:t>
            </w:r>
          </w:p>
        </w:tc>
        <w:tc>
          <w:tcPr>
            <w:tcW w:w="1302" w:type="dxa"/>
            <w:tcBorders>
              <w:top w:val="nil"/>
              <w:left w:val="nil"/>
              <w:bottom w:val="single" w:sz="4" w:space="0" w:color="auto"/>
              <w:right w:val="single" w:sz="4" w:space="0" w:color="auto"/>
            </w:tcBorders>
            <w:shd w:val="clear" w:color="auto" w:fill="C6EFCE"/>
            <w:noWrap/>
          </w:tcPr>
          <w:p w14:paraId="352EB5C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5C01672B"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Plan de acțiune pentru utilizarea patrimoniului cultural în vederea sporirii competitivității sectorului turismului din România</w:t>
            </w:r>
          </w:p>
        </w:tc>
        <w:tc>
          <w:tcPr>
            <w:tcW w:w="1658" w:type="dxa"/>
            <w:tcBorders>
              <w:top w:val="nil"/>
              <w:left w:val="nil"/>
              <w:bottom w:val="single" w:sz="4" w:space="0" w:color="auto"/>
              <w:right w:val="single" w:sz="4" w:space="0" w:color="auto"/>
            </w:tcBorders>
            <w:shd w:val="clear" w:color="auto" w:fill="C6EFCE"/>
            <w:noWrap/>
          </w:tcPr>
          <w:p w14:paraId="3CDFB37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Adoptarea planului de acțiune pentru utilizarea patrimoniului cultural în vederea sporirii competitivității sectorului turismului din România</w:t>
            </w:r>
          </w:p>
        </w:tc>
        <w:tc>
          <w:tcPr>
            <w:tcW w:w="991" w:type="dxa"/>
            <w:tcBorders>
              <w:top w:val="nil"/>
              <w:left w:val="nil"/>
              <w:bottom w:val="single" w:sz="4" w:space="0" w:color="auto"/>
              <w:right w:val="single" w:sz="4" w:space="0" w:color="auto"/>
            </w:tcBorders>
            <w:shd w:val="clear" w:color="auto" w:fill="C6EFCE"/>
            <w:noWrap/>
          </w:tcPr>
          <w:p w14:paraId="6CF4A3B6" w14:textId="77777777" w:rsidR="007873BE" w:rsidRPr="009F1DC7" w:rsidRDefault="007873BE">
            <w:pPr>
              <w:spacing w:after="0" w:line="240" w:lineRule="auto"/>
              <w:rPr>
                <w:rFonts w:ascii="Times New Roman" w:eastAsia="Times New Roman" w:hAnsi="Times New Roman" w:cs="Times New Roman"/>
                <w:noProof/>
                <w:sz w:val="24"/>
                <w:szCs w:val="24"/>
                <w:lang w:val="fr-FR" w:eastAsia="en-GB"/>
              </w:rPr>
            </w:pPr>
          </w:p>
        </w:tc>
        <w:tc>
          <w:tcPr>
            <w:tcW w:w="1200" w:type="dxa"/>
            <w:tcBorders>
              <w:top w:val="nil"/>
              <w:left w:val="nil"/>
              <w:bottom w:val="single" w:sz="4" w:space="0" w:color="auto"/>
              <w:right w:val="single" w:sz="4" w:space="0" w:color="auto"/>
            </w:tcBorders>
            <w:shd w:val="clear" w:color="auto" w:fill="C6EFCE"/>
            <w:noWrap/>
          </w:tcPr>
          <w:p w14:paraId="003961E6" w14:textId="77777777" w:rsidR="007873BE" w:rsidRPr="009F1DC7" w:rsidRDefault="007873BE">
            <w:pPr>
              <w:spacing w:after="0" w:line="240" w:lineRule="auto"/>
              <w:jc w:val="right"/>
              <w:rPr>
                <w:rFonts w:ascii="Times New Roman" w:eastAsia="Times New Roman" w:hAnsi="Times New Roman" w:cs="Times New Roman"/>
                <w:noProof/>
                <w:sz w:val="24"/>
                <w:szCs w:val="24"/>
                <w:lang w:val="fr-FR" w:eastAsia="en-GB"/>
              </w:rPr>
            </w:pPr>
          </w:p>
        </w:tc>
        <w:tc>
          <w:tcPr>
            <w:tcW w:w="1131" w:type="dxa"/>
            <w:tcBorders>
              <w:top w:val="nil"/>
              <w:left w:val="nil"/>
              <w:bottom w:val="single" w:sz="4" w:space="0" w:color="auto"/>
              <w:right w:val="single" w:sz="4" w:space="0" w:color="auto"/>
            </w:tcBorders>
            <w:shd w:val="clear" w:color="auto" w:fill="C6EFCE"/>
            <w:noWrap/>
          </w:tcPr>
          <w:p w14:paraId="346D73DF" w14:textId="77777777" w:rsidR="007873BE" w:rsidRPr="009F1DC7" w:rsidRDefault="007873BE">
            <w:pPr>
              <w:spacing w:after="0" w:line="240" w:lineRule="auto"/>
              <w:jc w:val="right"/>
              <w:rPr>
                <w:rFonts w:ascii="Times New Roman" w:eastAsia="Times New Roman" w:hAnsi="Times New Roman" w:cs="Times New Roman"/>
                <w:noProof/>
                <w:sz w:val="24"/>
                <w:szCs w:val="24"/>
                <w:lang w:val="fr-FR" w:eastAsia="en-GB"/>
              </w:rPr>
            </w:pPr>
          </w:p>
        </w:tc>
        <w:tc>
          <w:tcPr>
            <w:tcW w:w="1269" w:type="dxa"/>
            <w:tcBorders>
              <w:top w:val="nil"/>
              <w:left w:val="nil"/>
              <w:bottom w:val="single" w:sz="4" w:space="0" w:color="auto"/>
              <w:right w:val="single" w:sz="4" w:space="0" w:color="auto"/>
            </w:tcBorders>
            <w:shd w:val="clear" w:color="auto" w:fill="C6EFCE"/>
            <w:noWrap/>
          </w:tcPr>
          <w:p w14:paraId="6602F82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1AF68C4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7F6FEAF6" w14:textId="1CE6E3AB"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Planul de acțiune va fi conform cu pachetele turistice multiple ale OMD-urilor. Planul de acțiune va acoperi perioada 2022-2026 și va include obiective anuale și multianuale specifice, precum și următoarele acțiuni principale: a) stabilirea tipurilor de situri, cu impact național și internațional, care vor fi utilizate pentru promovarea turismului în România și vor contribui la promovarea transformării socioeconomice durabile/ecologice în zonele rurale și defavorizate; și b) stabilirea rutelor culturale care sunt rezultatul exercițiului de cartografiere.</w:t>
            </w:r>
            <w:r w:rsidR="004C4C72">
              <w:rPr>
                <w:rFonts w:ascii="Times New Roman" w:hAnsi="Times New Roman"/>
                <w:noProof/>
                <w:sz w:val="24"/>
              </w:rPr>
              <w:t xml:space="preserve"> </w:t>
            </w:r>
            <w:r>
              <w:rPr>
                <w:rFonts w:ascii="Times New Roman" w:hAnsi="Times New Roman"/>
                <w:noProof/>
                <w:sz w:val="24"/>
              </w:rPr>
              <w:t>Planul de acțiune detaliază, de asemenea, principalii actori, rolurile și responsabilitățile acestora, precum și rezultatele preconizate.</w:t>
            </w:r>
          </w:p>
        </w:tc>
      </w:tr>
      <w:tr w:rsidR="000A27B3" w:rsidRPr="000A27B3" w14:paraId="31D9DFDC"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24D496A3"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328</w:t>
            </w:r>
          </w:p>
        </w:tc>
        <w:tc>
          <w:tcPr>
            <w:tcW w:w="1586" w:type="dxa"/>
            <w:tcBorders>
              <w:top w:val="nil"/>
              <w:left w:val="nil"/>
              <w:bottom w:val="single" w:sz="4" w:space="0" w:color="auto"/>
              <w:right w:val="single" w:sz="4" w:space="0" w:color="auto"/>
            </w:tcBorders>
            <w:shd w:val="clear" w:color="auto" w:fill="C6EFCE"/>
            <w:noWrap/>
          </w:tcPr>
          <w:p w14:paraId="0AA3B02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1. Operaționalizarea organizațiilor de management al destinației (OMD-uri)</w:t>
            </w:r>
          </w:p>
        </w:tc>
        <w:tc>
          <w:tcPr>
            <w:tcW w:w="1302" w:type="dxa"/>
            <w:tcBorders>
              <w:top w:val="nil"/>
              <w:left w:val="nil"/>
              <w:bottom w:val="single" w:sz="4" w:space="0" w:color="auto"/>
              <w:right w:val="single" w:sz="4" w:space="0" w:color="auto"/>
            </w:tcBorders>
            <w:shd w:val="clear" w:color="auto" w:fill="C6EFCE"/>
            <w:noWrap/>
          </w:tcPr>
          <w:p w14:paraId="44A97FD7"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359A335F" w14:textId="47E6DBB1"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vigoare a cadrului legislativ printr-o ordonanță de urgență a guvernului, care va include o descriere clară a mecanismului de finanțare pentru sprijinirea dezvoltării rețelei de OMD-uri și un model clar de guvernanță</w:t>
            </w:r>
          </w:p>
        </w:tc>
        <w:tc>
          <w:tcPr>
            <w:tcW w:w="1658" w:type="dxa"/>
            <w:tcBorders>
              <w:top w:val="nil"/>
              <w:left w:val="nil"/>
              <w:bottom w:val="single" w:sz="4" w:space="0" w:color="auto"/>
              <w:right w:val="single" w:sz="4" w:space="0" w:color="auto"/>
            </w:tcBorders>
            <w:shd w:val="clear" w:color="auto" w:fill="C6EFCE"/>
            <w:noWrap/>
          </w:tcPr>
          <w:p w14:paraId="77B19C4C"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legală care indică intrarea în vigoare a legii de înființare a OMD-urilor</w:t>
            </w:r>
          </w:p>
        </w:tc>
        <w:tc>
          <w:tcPr>
            <w:tcW w:w="991" w:type="dxa"/>
            <w:tcBorders>
              <w:top w:val="nil"/>
              <w:left w:val="nil"/>
              <w:bottom w:val="single" w:sz="4" w:space="0" w:color="auto"/>
              <w:right w:val="single" w:sz="4" w:space="0" w:color="auto"/>
            </w:tcBorders>
            <w:shd w:val="clear" w:color="auto" w:fill="C6EFCE"/>
            <w:noWrap/>
          </w:tcPr>
          <w:p w14:paraId="73C6192D"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11C0C012" w14:textId="77777777" w:rsidR="007873BE" w:rsidRPr="000A27B3" w:rsidRDefault="007873BE">
            <w:pPr>
              <w:spacing w:after="0" w:line="240" w:lineRule="auto"/>
              <w:jc w:val="right"/>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2A953B99" w14:textId="77777777" w:rsidR="007873BE" w:rsidRPr="000A27B3" w:rsidRDefault="007873BE">
            <w:pPr>
              <w:spacing w:after="0" w:line="240" w:lineRule="auto"/>
              <w:jc w:val="right"/>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3A1C13E1"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tcPr>
          <w:p w14:paraId="62337A8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6BF0541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Legislația va include o descriere clară a mecanismului de finanțare pentru sprijinirea dezvoltării rețelei de OMD-uri regionale și locale (organizații de management al destinației) și un model solid de guvernanță.</w:t>
            </w:r>
          </w:p>
          <w:p w14:paraId="7DD63E3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Principalele elemente ale cadrului juridic vor fi următoarele:</w:t>
            </w:r>
          </w:p>
          <w:p w14:paraId="1F1E5BD7"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scopul legislației, definirea OMD-urilor la diferite niveluri teritoriale, precum și a OMD-urilor tematice;</w:t>
            </w:r>
          </w:p>
          <w:p w14:paraId="6AB60B10"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identificarea membrilor;</w:t>
            </w:r>
          </w:p>
          <w:p w14:paraId="64D35B59"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criteriile minime pentru ca o destinație să fie eligibilă să formeze un OMD pentru a reprezenta destinația;</w:t>
            </w:r>
          </w:p>
          <w:p w14:paraId="1B644CD0"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forma de organizare – OMD-ul va avea o adunare generală, un consiliu de administrație și personalul care va reprezenta partea executivă. OMD-urile vor fi înregistrate cu dispoziții statutare, pentru a avea o strategie și un plan de acțiune, pentru a dispune de fondurile necesare pentru punerea în aplicare a strategiei. În ceea ce privește membrii, OMD-ul va fi un organism reprezentativ al operatorilor economici din domeniul turismului de destinație, al asociațiilor de turism și al altor părți interesate relevante și al autorităților publice de la nivel local sau județean;</w:t>
            </w:r>
          </w:p>
          <w:p w14:paraId="71E3751E"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descrierea atribuțiilor consiliului de administrație și ale adunării generale;</w:t>
            </w:r>
          </w:p>
          <w:p w14:paraId="3E10EA86"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sistemul de vot și procesul decizional;</w:t>
            </w:r>
          </w:p>
          <w:p w14:paraId="2A01DC71"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mecanismul de finanțare;</w:t>
            </w:r>
          </w:p>
          <w:p w14:paraId="247292A6" w14:textId="77777777" w:rsidR="007873BE" w:rsidRPr="000A27B3" w:rsidRDefault="007873BE" w:rsidP="007873BE">
            <w:pPr>
              <w:numPr>
                <w:ilvl w:val="0"/>
                <w:numId w:val="85"/>
              </w:numPr>
              <w:spacing w:before="120" w:after="0" w:line="240" w:lineRule="auto"/>
              <w:ind w:left="202" w:hanging="232"/>
              <w:contextualSpacing/>
              <w:jc w:val="both"/>
              <w:rPr>
                <w:rFonts w:ascii="Times New Roman" w:hAnsi="Times New Roman" w:cs="Times New Roman"/>
                <w:noProof/>
                <w:sz w:val="24"/>
                <w:szCs w:val="24"/>
              </w:rPr>
            </w:pPr>
            <w:r>
              <w:rPr>
                <w:rFonts w:ascii="Times New Roman" w:hAnsi="Times New Roman"/>
                <w:noProof/>
                <w:sz w:val="24"/>
              </w:rPr>
              <w:t>obiectivele OMD-urilor și monitorizarea rezultatelor cu responsabilități specifice.</w:t>
            </w:r>
          </w:p>
          <w:p w14:paraId="5A70BB9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Un OMD se va înființa luând în considerare unitățile geografice (județe, localități) cu obiectivul de a promova turismul local sau regional.</w:t>
            </w:r>
          </w:p>
        </w:tc>
      </w:tr>
      <w:tr w:rsidR="000A27B3" w:rsidRPr="000A27B3" w14:paraId="7C57FAC4"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0E6DB76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329</w:t>
            </w:r>
          </w:p>
        </w:tc>
        <w:tc>
          <w:tcPr>
            <w:tcW w:w="1586" w:type="dxa"/>
            <w:tcBorders>
              <w:top w:val="nil"/>
              <w:left w:val="nil"/>
              <w:bottom w:val="single" w:sz="4" w:space="0" w:color="auto"/>
              <w:right w:val="single" w:sz="4" w:space="0" w:color="auto"/>
            </w:tcBorders>
            <w:shd w:val="clear" w:color="auto" w:fill="C6EFCE"/>
            <w:noWrap/>
          </w:tcPr>
          <w:p w14:paraId="22214136"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1. Operaționalizarea organizațiilor de management al destinației (OMD-uri)</w:t>
            </w:r>
          </w:p>
        </w:tc>
        <w:tc>
          <w:tcPr>
            <w:tcW w:w="1302" w:type="dxa"/>
            <w:tcBorders>
              <w:top w:val="nil"/>
              <w:left w:val="nil"/>
              <w:bottom w:val="single" w:sz="4" w:space="0" w:color="auto"/>
              <w:right w:val="single" w:sz="4" w:space="0" w:color="auto"/>
            </w:tcBorders>
            <w:shd w:val="clear" w:color="auto" w:fill="C6EFCE"/>
            <w:noWrap/>
          </w:tcPr>
          <w:p w14:paraId="70CF6BD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6068EBEC"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OMD-urile sunt instituite </w:t>
            </w:r>
          </w:p>
        </w:tc>
        <w:tc>
          <w:tcPr>
            <w:tcW w:w="1658" w:type="dxa"/>
            <w:tcBorders>
              <w:top w:val="nil"/>
              <w:left w:val="nil"/>
              <w:bottom w:val="single" w:sz="4" w:space="0" w:color="auto"/>
              <w:right w:val="single" w:sz="4" w:space="0" w:color="auto"/>
            </w:tcBorders>
            <w:shd w:val="clear" w:color="auto" w:fill="C6EFCE"/>
            <w:noWrap/>
          </w:tcPr>
          <w:p w14:paraId="342FAE40"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991" w:type="dxa"/>
            <w:tcBorders>
              <w:top w:val="nil"/>
              <w:left w:val="nil"/>
              <w:bottom w:val="single" w:sz="4" w:space="0" w:color="auto"/>
              <w:right w:val="single" w:sz="4" w:space="0" w:color="auto"/>
            </w:tcBorders>
            <w:shd w:val="clear" w:color="auto" w:fill="C6EFCE"/>
            <w:noWrap/>
          </w:tcPr>
          <w:p w14:paraId="243CAE36"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Număr </w:t>
            </w:r>
          </w:p>
        </w:tc>
        <w:tc>
          <w:tcPr>
            <w:tcW w:w="1200" w:type="dxa"/>
            <w:tcBorders>
              <w:top w:val="nil"/>
              <w:left w:val="nil"/>
              <w:bottom w:val="single" w:sz="4" w:space="0" w:color="auto"/>
              <w:right w:val="single" w:sz="4" w:space="0" w:color="auto"/>
            </w:tcBorders>
            <w:shd w:val="clear" w:color="auto" w:fill="C6EFCE"/>
            <w:noWrap/>
          </w:tcPr>
          <w:p w14:paraId="46F402BE" w14:textId="77777777" w:rsidR="007873BE" w:rsidRPr="000A27B3" w:rsidRDefault="007873BE">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1A1A048C" w14:textId="77777777" w:rsidR="007873BE" w:rsidRPr="000A27B3" w:rsidRDefault="007873BE">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 xml:space="preserve">8 </w:t>
            </w:r>
          </w:p>
        </w:tc>
        <w:tc>
          <w:tcPr>
            <w:tcW w:w="1269" w:type="dxa"/>
            <w:tcBorders>
              <w:top w:val="nil"/>
              <w:left w:val="nil"/>
              <w:bottom w:val="single" w:sz="4" w:space="0" w:color="auto"/>
              <w:right w:val="single" w:sz="4" w:space="0" w:color="auto"/>
            </w:tcBorders>
            <w:shd w:val="clear" w:color="auto" w:fill="C6EFCE"/>
            <w:noWrap/>
          </w:tcPr>
          <w:p w14:paraId="732D3A4F"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2922E58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2023</w:t>
            </w:r>
          </w:p>
        </w:tc>
        <w:tc>
          <w:tcPr>
            <w:tcW w:w="3641" w:type="dxa"/>
            <w:tcBorders>
              <w:top w:val="nil"/>
              <w:left w:val="nil"/>
              <w:bottom w:val="single" w:sz="4" w:space="0" w:color="auto"/>
              <w:right w:val="single" w:sz="4" w:space="0" w:color="auto"/>
            </w:tcBorders>
            <w:shd w:val="clear" w:color="auto" w:fill="C6EFCE"/>
            <w:noWrap/>
          </w:tcPr>
          <w:p w14:paraId="3ACC5D8F"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Guvernul va înființa 8 organizații de management al destinației (în concordanță cu jalonul 328), incluzând toate entitățile relevante care își desfășoară activitatea în sectoarele turismului și culturii într-o anumită zonă; acestea vor fi conduse de Comitetul executiv al OMD-urilor. Responsabilitatea pentru rezultatele organizațiilor de management al destinației este partajată între Ministerul Economiei, Antreprenoriatului și Turismului și Comitetul executiv al OMD-urilor.</w:t>
            </w:r>
          </w:p>
          <w:p w14:paraId="4D2E17E8" w14:textId="558DB052"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Instituirea și operaționalizarea organizațiilor de management al destinației se vor baza pe Recomandările Organizației pentru Cooperare și Dezvoltare Economică (OCDE) incluse în studiul „Operaționalizarea organizațiilor de management al destinației”. </w:t>
            </w:r>
          </w:p>
        </w:tc>
      </w:tr>
      <w:tr w:rsidR="000A27B3" w:rsidRPr="000A27B3" w14:paraId="7C55C840"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563C291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330</w:t>
            </w:r>
          </w:p>
        </w:tc>
        <w:tc>
          <w:tcPr>
            <w:tcW w:w="1586" w:type="dxa"/>
            <w:tcBorders>
              <w:top w:val="nil"/>
              <w:left w:val="nil"/>
              <w:bottom w:val="single" w:sz="4" w:space="0" w:color="auto"/>
              <w:right w:val="single" w:sz="4" w:space="0" w:color="auto"/>
            </w:tcBorders>
            <w:shd w:val="clear" w:color="auto" w:fill="C6EFCE"/>
            <w:noWrap/>
          </w:tcPr>
          <w:p w14:paraId="5D0122CF" w14:textId="472627F6"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1. Operaționalizarea organizațiilor de management al destinației (OMD-uri)</w:t>
            </w:r>
          </w:p>
        </w:tc>
        <w:tc>
          <w:tcPr>
            <w:tcW w:w="1302" w:type="dxa"/>
            <w:tcBorders>
              <w:top w:val="nil"/>
              <w:left w:val="nil"/>
              <w:bottom w:val="single" w:sz="4" w:space="0" w:color="auto"/>
              <w:right w:val="single" w:sz="4" w:space="0" w:color="auto"/>
            </w:tcBorders>
            <w:shd w:val="clear" w:color="auto" w:fill="C6EFCE"/>
            <w:noWrap/>
          </w:tcPr>
          <w:p w14:paraId="0FA135A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3694AC2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Creșterea ponderii turiștilor străini care vizează județele care fac parte din OMD-urile regionale </w:t>
            </w:r>
          </w:p>
        </w:tc>
        <w:tc>
          <w:tcPr>
            <w:tcW w:w="1658" w:type="dxa"/>
            <w:tcBorders>
              <w:top w:val="nil"/>
              <w:left w:val="nil"/>
              <w:bottom w:val="single" w:sz="4" w:space="0" w:color="auto"/>
              <w:right w:val="single" w:sz="4" w:space="0" w:color="auto"/>
            </w:tcBorders>
            <w:shd w:val="clear" w:color="auto" w:fill="C6EFCE"/>
            <w:noWrap/>
          </w:tcPr>
          <w:p w14:paraId="009C1AA6" w14:textId="77777777" w:rsidR="007873BE" w:rsidRPr="009F1DC7" w:rsidRDefault="007873BE">
            <w:pPr>
              <w:spacing w:after="0" w:line="240" w:lineRule="auto"/>
              <w:jc w:val="both"/>
              <w:rPr>
                <w:rFonts w:ascii="Times New Roman" w:eastAsia="Times New Roman" w:hAnsi="Times New Roman" w:cs="Times New Roman"/>
                <w:noProof/>
                <w:sz w:val="24"/>
                <w:szCs w:val="24"/>
                <w:lang w:eastAsia="en-GB"/>
              </w:rPr>
            </w:pPr>
          </w:p>
        </w:tc>
        <w:tc>
          <w:tcPr>
            <w:tcW w:w="991" w:type="dxa"/>
            <w:tcBorders>
              <w:top w:val="nil"/>
              <w:left w:val="nil"/>
              <w:bottom w:val="single" w:sz="4" w:space="0" w:color="auto"/>
              <w:right w:val="single" w:sz="4" w:space="0" w:color="auto"/>
            </w:tcBorders>
            <w:shd w:val="clear" w:color="auto" w:fill="C6EFCE"/>
            <w:noWrap/>
          </w:tcPr>
          <w:p w14:paraId="7FB70FAB"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Procent (%)</w:t>
            </w:r>
          </w:p>
        </w:tc>
        <w:tc>
          <w:tcPr>
            <w:tcW w:w="1200" w:type="dxa"/>
            <w:tcBorders>
              <w:top w:val="nil"/>
              <w:left w:val="nil"/>
              <w:bottom w:val="single" w:sz="4" w:space="0" w:color="auto"/>
              <w:right w:val="single" w:sz="4" w:space="0" w:color="auto"/>
            </w:tcBorders>
            <w:shd w:val="clear" w:color="auto" w:fill="C6EFCE"/>
            <w:noWrap/>
          </w:tcPr>
          <w:p w14:paraId="2CE10A42" w14:textId="77777777" w:rsidR="007873BE" w:rsidRPr="000A27B3" w:rsidRDefault="007873BE">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50536403" w14:textId="3B98D11D" w:rsidR="007873BE" w:rsidRPr="000A27B3" w:rsidRDefault="007873BE">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 xml:space="preserve">5 % </w:t>
            </w:r>
          </w:p>
        </w:tc>
        <w:tc>
          <w:tcPr>
            <w:tcW w:w="1269" w:type="dxa"/>
            <w:tcBorders>
              <w:top w:val="nil"/>
              <w:left w:val="nil"/>
              <w:bottom w:val="single" w:sz="4" w:space="0" w:color="auto"/>
              <w:right w:val="single" w:sz="4" w:space="0" w:color="auto"/>
            </w:tcBorders>
            <w:shd w:val="clear" w:color="auto" w:fill="C6EFCE"/>
            <w:noWrap/>
          </w:tcPr>
          <w:p w14:paraId="2A309F5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265E3EDA"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2026</w:t>
            </w:r>
          </w:p>
        </w:tc>
        <w:tc>
          <w:tcPr>
            <w:tcW w:w="3641" w:type="dxa"/>
            <w:tcBorders>
              <w:top w:val="nil"/>
              <w:left w:val="nil"/>
              <w:bottom w:val="single" w:sz="4" w:space="0" w:color="auto"/>
              <w:right w:val="single" w:sz="4" w:space="0" w:color="auto"/>
            </w:tcBorders>
            <w:shd w:val="clear" w:color="auto" w:fill="C6EFCE"/>
            <w:noWrap/>
          </w:tcPr>
          <w:p w14:paraId="2DC1BBFE" w14:textId="77DB45D3"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Numărul de turiști străini va crește cu cel puțin 5 % până la sfârșitul anului 2025, comparativ cu 2019, în județele care fac parte din OMD-urile regionale, pe baza datelor oficiale furnizate de Institutul Național de Statistică și a datelor colectate de Ministerul Economiei, Antreprenoriatului și Turismului </w:t>
            </w:r>
          </w:p>
        </w:tc>
      </w:tr>
      <w:tr w:rsidR="000A27B3" w:rsidRPr="000A27B3" w14:paraId="1567B653"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hideMark/>
          </w:tcPr>
          <w:p w14:paraId="01F03C4F"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331</w:t>
            </w:r>
          </w:p>
        </w:tc>
        <w:tc>
          <w:tcPr>
            <w:tcW w:w="1586" w:type="dxa"/>
            <w:tcBorders>
              <w:top w:val="nil"/>
              <w:left w:val="nil"/>
              <w:bottom w:val="single" w:sz="4" w:space="0" w:color="auto"/>
              <w:right w:val="single" w:sz="4" w:space="0" w:color="auto"/>
            </w:tcBorders>
            <w:shd w:val="clear" w:color="auto" w:fill="C6EFCE"/>
            <w:noWrap/>
            <w:hideMark/>
          </w:tcPr>
          <w:p w14:paraId="78465C51" w14:textId="7C5610B6"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1. Promovarea celor 12 rute turistice/culturale</w:t>
            </w:r>
          </w:p>
        </w:tc>
        <w:tc>
          <w:tcPr>
            <w:tcW w:w="1302" w:type="dxa"/>
            <w:tcBorders>
              <w:top w:val="nil"/>
              <w:left w:val="nil"/>
              <w:bottom w:val="single" w:sz="4" w:space="0" w:color="auto"/>
              <w:right w:val="single" w:sz="4" w:space="0" w:color="auto"/>
            </w:tcBorders>
            <w:shd w:val="clear" w:color="auto" w:fill="C6EFCE"/>
            <w:noWrap/>
            <w:hideMark/>
          </w:tcPr>
          <w:p w14:paraId="3E50836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hideMark/>
          </w:tcPr>
          <w:p w14:paraId="31CE715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Situri care sunt incluse în rutele culturale</w:t>
            </w:r>
          </w:p>
          <w:p w14:paraId="57DE1B46"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7EC92704"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05EAB573"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658" w:type="dxa"/>
            <w:tcBorders>
              <w:top w:val="nil"/>
              <w:left w:val="nil"/>
              <w:bottom w:val="single" w:sz="4" w:space="0" w:color="auto"/>
              <w:right w:val="single" w:sz="4" w:space="0" w:color="auto"/>
            </w:tcBorders>
            <w:shd w:val="clear" w:color="auto" w:fill="C6EFCE"/>
            <w:noWrap/>
            <w:hideMark/>
          </w:tcPr>
          <w:p w14:paraId="183FACF6"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991" w:type="dxa"/>
            <w:tcBorders>
              <w:top w:val="nil"/>
              <w:left w:val="nil"/>
              <w:bottom w:val="single" w:sz="4" w:space="0" w:color="auto"/>
              <w:right w:val="single" w:sz="4" w:space="0" w:color="auto"/>
            </w:tcBorders>
            <w:shd w:val="clear" w:color="auto" w:fill="C6EFCE"/>
            <w:noWrap/>
            <w:hideMark/>
          </w:tcPr>
          <w:p w14:paraId="5DDB04F9"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Număr</w:t>
            </w:r>
          </w:p>
        </w:tc>
        <w:tc>
          <w:tcPr>
            <w:tcW w:w="1200" w:type="dxa"/>
            <w:tcBorders>
              <w:top w:val="nil"/>
              <w:left w:val="nil"/>
              <w:bottom w:val="single" w:sz="4" w:space="0" w:color="auto"/>
              <w:right w:val="single" w:sz="4" w:space="0" w:color="auto"/>
            </w:tcBorders>
            <w:shd w:val="clear" w:color="auto" w:fill="C6EFCE"/>
            <w:noWrap/>
            <w:hideMark/>
          </w:tcPr>
          <w:p w14:paraId="365AB9B9" w14:textId="77777777" w:rsidR="007873BE" w:rsidRPr="000A27B3" w:rsidRDefault="007873BE">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hideMark/>
          </w:tcPr>
          <w:p w14:paraId="5193ABF2" w14:textId="77777777" w:rsidR="007873BE" w:rsidRPr="000A27B3" w:rsidRDefault="007873BE">
            <w:pPr>
              <w:spacing w:after="0" w:line="240" w:lineRule="auto"/>
              <w:jc w:val="right"/>
              <w:rPr>
                <w:rFonts w:ascii="Times New Roman" w:eastAsia="Times New Roman" w:hAnsi="Times New Roman" w:cs="Times New Roman"/>
                <w:noProof/>
                <w:sz w:val="24"/>
                <w:szCs w:val="24"/>
              </w:rPr>
            </w:pPr>
            <w:r>
              <w:rPr>
                <w:rFonts w:ascii="Times New Roman" w:hAnsi="Times New Roman"/>
                <w:noProof/>
                <w:sz w:val="24"/>
              </w:rPr>
              <w:t>225</w:t>
            </w:r>
          </w:p>
        </w:tc>
        <w:tc>
          <w:tcPr>
            <w:tcW w:w="1269" w:type="dxa"/>
            <w:tcBorders>
              <w:top w:val="nil"/>
              <w:left w:val="nil"/>
              <w:bottom w:val="single" w:sz="4" w:space="0" w:color="auto"/>
              <w:right w:val="single" w:sz="4" w:space="0" w:color="auto"/>
            </w:tcBorders>
            <w:shd w:val="clear" w:color="auto" w:fill="C6EFCE"/>
            <w:noWrap/>
            <w:hideMark/>
          </w:tcPr>
          <w:p w14:paraId="2938568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hideMark/>
          </w:tcPr>
          <w:p w14:paraId="715C5D4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hideMark/>
          </w:tcPr>
          <w:p w14:paraId="7F7407C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225 de situri vor fi incluse în rutele culturale, vor fi alese pe baza cartografierii și vor fi poziționate în principal în zonele rurale și defavorizate pentru a atrage turiști și a crea noi locuri de muncă în industria turismului. </w:t>
            </w:r>
          </w:p>
          <w:p w14:paraId="215BF93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„Siturile” sunt punctele de atracție turistică (precum castele, fortificații, mănăstiri, case tradiționale) care vor fi incluse în cele 12 rute culturale, vor fi alese de un comitet și se vor baza pe un proces de consultare.</w:t>
            </w:r>
          </w:p>
          <w:p w14:paraId="6073D62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Criteriile minime de selecție sunt: a) criteriile teritoriale, economice și sociale, inclusiv creșterea economică, locurile de muncă, cu accent pe regiunile mai puțin dezvoltate; b) capacitatea proiectului de a genera un impact asupra atractivității turismului și creșterea participării culturale, caracterul unic la nivel național, avantajele comparative și competitive; c) includerea siturilor legate de tema rutelor finanțate anterior în cadrul Programului Operațional Regional și al Programului Național pentru Dezvoltare Rurală; d) includerea siturilor pe lista patrimoniului mondial UNESCO sau pe lista temporară sau orientativă; e) includerea siturilor în categoria clădirilor istorice care nu sunt considerate monumente istorice.</w:t>
            </w:r>
          </w:p>
          <w:p w14:paraId="56EB2142"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Printre rutele culturale vor fi incluse numai acele situri care le oferă în prezent acces turiștilor. </w:t>
            </w:r>
          </w:p>
        </w:tc>
      </w:tr>
      <w:tr w:rsidR="000A27B3" w:rsidRPr="000A27B3" w14:paraId="50C4A805"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hideMark/>
          </w:tcPr>
          <w:p w14:paraId="46CA3D5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332</w:t>
            </w:r>
          </w:p>
        </w:tc>
        <w:tc>
          <w:tcPr>
            <w:tcW w:w="1586" w:type="dxa"/>
            <w:tcBorders>
              <w:top w:val="nil"/>
              <w:left w:val="nil"/>
              <w:bottom w:val="single" w:sz="4" w:space="0" w:color="auto"/>
              <w:right w:val="single" w:sz="4" w:space="0" w:color="auto"/>
            </w:tcBorders>
            <w:shd w:val="clear" w:color="auto" w:fill="C6EFCE"/>
            <w:noWrap/>
            <w:hideMark/>
          </w:tcPr>
          <w:p w14:paraId="57A0B688" w14:textId="09311F9E"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1. Promovarea celor 12 rute turistice/culturale</w:t>
            </w:r>
          </w:p>
        </w:tc>
        <w:tc>
          <w:tcPr>
            <w:tcW w:w="1302" w:type="dxa"/>
            <w:tcBorders>
              <w:top w:val="nil"/>
              <w:left w:val="nil"/>
              <w:bottom w:val="single" w:sz="4" w:space="0" w:color="auto"/>
              <w:right w:val="single" w:sz="4" w:space="0" w:color="auto"/>
            </w:tcBorders>
            <w:shd w:val="clear" w:color="auto" w:fill="C6EFCE"/>
            <w:noWrap/>
            <w:hideMark/>
          </w:tcPr>
          <w:p w14:paraId="4B875D8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hideMark/>
          </w:tcPr>
          <w:p w14:paraId="231B703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Semnarea contractelor de promovare a celor 12 rute </w:t>
            </w:r>
          </w:p>
        </w:tc>
        <w:tc>
          <w:tcPr>
            <w:tcW w:w="1658" w:type="dxa"/>
            <w:tcBorders>
              <w:top w:val="nil"/>
              <w:left w:val="nil"/>
              <w:bottom w:val="single" w:sz="4" w:space="0" w:color="auto"/>
              <w:right w:val="single" w:sz="4" w:space="0" w:color="auto"/>
            </w:tcBorders>
            <w:shd w:val="clear" w:color="auto" w:fill="C6EFCE"/>
            <w:noWrap/>
            <w:hideMark/>
          </w:tcPr>
          <w:p w14:paraId="6EABB61B"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w:t>
            </w:r>
          </w:p>
        </w:tc>
        <w:tc>
          <w:tcPr>
            <w:tcW w:w="991" w:type="dxa"/>
            <w:tcBorders>
              <w:top w:val="nil"/>
              <w:left w:val="nil"/>
              <w:bottom w:val="single" w:sz="4" w:space="0" w:color="auto"/>
              <w:right w:val="single" w:sz="4" w:space="0" w:color="auto"/>
            </w:tcBorders>
            <w:shd w:val="clear" w:color="auto" w:fill="C6EFCE"/>
            <w:noWrap/>
            <w:hideMark/>
          </w:tcPr>
          <w:p w14:paraId="4C760D63"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67EC783D"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hideMark/>
          </w:tcPr>
          <w:p w14:paraId="75CD9DDD"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hideMark/>
          </w:tcPr>
          <w:p w14:paraId="6C2E2217"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hideMark/>
          </w:tcPr>
          <w:p w14:paraId="40DEC17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hideMark/>
          </w:tcPr>
          <w:p w14:paraId="3CB0EED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dezvoltarea turismului pe fiecare rută culturală. Vor fi incluse următoarele activități:</w:t>
            </w:r>
          </w:p>
          <w:p w14:paraId="6AC7643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digitalizarea siturilor incluse în cadrul rutei;</w:t>
            </w:r>
          </w:p>
          <w:p w14:paraId="7E5BFE4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crearea unei aplicații dedicate vizitatorilor;</w:t>
            </w:r>
          </w:p>
          <w:p w14:paraId="2A36A61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marcarea și semnalizarea rutei/siturilor incluse în cadrul rutei;</w:t>
            </w:r>
          </w:p>
          <w:p w14:paraId="0D8F628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crearea unei oferte culturale comune. </w:t>
            </w:r>
          </w:p>
        </w:tc>
      </w:tr>
      <w:tr w:rsidR="000A27B3" w:rsidRPr="000A27B3" w14:paraId="5E012A74"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hideMark/>
          </w:tcPr>
          <w:p w14:paraId="236E97C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333</w:t>
            </w:r>
          </w:p>
        </w:tc>
        <w:tc>
          <w:tcPr>
            <w:tcW w:w="1586" w:type="dxa"/>
            <w:tcBorders>
              <w:top w:val="nil"/>
              <w:left w:val="nil"/>
              <w:bottom w:val="single" w:sz="4" w:space="0" w:color="auto"/>
              <w:right w:val="single" w:sz="4" w:space="0" w:color="auto"/>
            </w:tcBorders>
            <w:shd w:val="clear" w:color="auto" w:fill="C6EFCE"/>
            <w:noWrap/>
            <w:hideMark/>
          </w:tcPr>
          <w:p w14:paraId="64C10CC6" w14:textId="783F4F62"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1. Promovarea celor 12 rute turistice/culturale</w:t>
            </w:r>
          </w:p>
        </w:tc>
        <w:tc>
          <w:tcPr>
            <w:tcW w:w="1302" w:type="dxa"/>
            <w:tcBorders>
              <w:top w:val="nil"/>
              <w:left w:val="nil"/>
              <w:bottom w:val="single" w:sz="4" w:space="0" w:color="auto"/>
              <w:right w:val="single" w:sz="4" w:space="0" w:color="auto"/>
            </w:tcBorders>
            <w:shd w:val="clear" w:color="auto" w:fill="C6EFCE"/>
            <w:noWrap/>
            <w:hideMark/>
          </w:tcPr>
          <w:p w14:paraId="5D13E83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hideMark/>
          </w:tcPr>
          <w:p w14:paraId="5FC0491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Lansarea celor 12 rute culturale</w:t>
            </w:r>
          </w:p>
        </w:tc>
        <w:tc>
          <w:tcPr>
            <w:tcW w:w="1658" w:type="dxa"/>
            <w:tcBorders>
              <w:top w:val="nil"/>
              <w:left w:val="nil"/>
              <w:bottom w:val="single" w:sz="4" w:space="0" w:color="auto"/>
              <w:right w:val="single" w:sz="4" w:space="0" w:color="auto"/>
            </w:tcBorders>
            <w:shd w:val="clear" w:color="auto" w:fill="C6EFCE"/>
            <w:noWrap/>
            <w:hideMark/>
          </w:tcPr>
          <w:p w14:paraId="6EC1D425" w14:textId="2695BD85"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Lansarea celor 12 rute culturale accesibile turiștilor </w:t>
            </w:r>
          </w:p>
        </w:tc>
        <w:tc>
          <w:tcPr>
            <w:tcW w:w="991" w:type="dxa"/>
            <w:tcBorders>
              <w:top w:val="nil"/>
              <w:left w:val="nil"/>
              <w:bottom w:val="single" w:sz="4" w:space="0" w:color="auto"/>
              <w:right w:val="single" w:sz="4" w:space="0" w:color="auto"/>
            </w:tcBorders>
            <w:shd w:val="clear" w:color="auto" w:fill="C6EFCE"/>
            <w:noWrap/>
            <w:hideMark/>
          </w:tcPr>
          <w:p w14:paraId="1CF47DE3"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hideMark/>
          </w:tcPr>
          <w:p w14:paraId="6A8E3D69"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hideMark/>
          </w:tcPr>
          <w:p w14:paraId="6DD6DE14"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hideMark/>
          </w:tcPr>
          <w:p w14:paraId="6712858C"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hideMark/>
          </w:tcPr>
          <w:p w14:paraId="4C9A356F"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2024</w:t>
            </w:r>
          </w:p>
        </w:tc>
        <w:tc>
          <w:tcPr>
            <w:tcW w:w="3641" w:type="dxa"/>
            <w:tcBorders>
              <w:top w:val="nil"/>
              <w:left w:val="nil"/>
              <w:bottom w:val="single" w:sz="4" w:space="0" w:color="auto"/>
              <w:right w:val="single" w:sz="4" w:space="0" w:color="auto"/>
            </w:tcBorders>
            <w:shd w:val="clear" w:color="auto" w:fill="C6EFCE"/>
            <w:noWrap/>
            <w:hideMark/>
          </w:tcPr>
          <w:p w14:paraId="5300BA8A"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Siturile vor fi deschise publicului, iar rutele vor deveni funcționale în conformitate cu contractele din jalonul 331. Siturile în care se vor desfășura lucrări de restaurare vor fi deschise doar parțial, până la finalizarea restaurării. </w:t>
            </w:r>
          </w:p>
        </w:tc>
      </w:tr>
      <w:tr w:rsidR="000A27B3" w:rsidRPr="000A27B3" w14:paraId="4AB517DC"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6DC69AAD"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334</w:t>
            </w:r>
          </w:p>
        </w:tc>
        <w:tc>
          <w:tcPr>
            <w:tcW w:w="1586" w:type="dxa"/>
            <w:tcBorders>
              <w:top w:val="nil"/>
              <w:left w:val="nil"/>
              <w:bottom w:val="single" w:sz="4" w:space="0" w:color="auto"/>
              <w:right w:val="single" w:sz="4" w:space="0" w:color="auto"/>
            </w:tcBorders>
            <w:shd w:val="clear" w:color="auto" w:fill="C6EFCE"/>
            <w:noWrap/>
          </w:tcPr>
          <w:p w14:paraId="7728C652" w14:textId="2D810BD2"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1. Promovarea celor 12 rute turistice/culturale</w:t>
            </w:r>
          </w:p>
        </w:tc>
        <w:tc>
          <w:tcPr>
            <w:tcW w:w="1302" w:type="dxa"/>
            <w:tcBorders>
              <w:top w:val="nil"/>
              <w:left w:val="nil"/>
              <w:bottom w:val="single" w:sz="4" w:space="0" w:color="auto"/>
              <w:right w:val="single" w:sz="4" w:space="0" w:color="auto"/>
            </w:tcBorders>
            <w:shd w:val="clear" w:color="auto" w:fill="C6EFCE"/>
            <w:noWrap/>
          </w:tcPr>
          <w:p w14:paraId="724D322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1689A71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Semnarea contractelor pentru lucrările de restaurare/renovare a siturilor incluse în cele 12 rute culturale </w:t>
            </w:r>
          </w:p>
          <w:p w14:paraId="39DCA5C7"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60D09D81"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658" w:type="dxa"/>
            <w:tcBorders>
              <w:top w:val="nil"/>
              <w:left w:val="nil"/>
              <w:bottom w:val="single" w:sz="4" w:space="0" w:color="auto"/>
              <w:right w:val="single" w:sz="4" w:space="0" w:color="auto"/>
            </w:tcBorders>
            <w:shd w:val="clear" w:color="auto" w:fill="C6EFCE"/>
            <w:noWrap/>
          </w:tcPr>
          <w:p w14:paraId="3E375261"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w:t>
            </w:r>
          </w:p>
        </w:tc>
        <w:tc>
          <w:tcPr>
            <w:tcW w:w="991" w:type="dxa"/>
            <w:tcBorders>
              <w:top w:val="nil"/>
              <w:left w:val="nil"/>
              <w:bottom w:val="single" w:sz="4" w:space="0" w:color="auto"/>
              <w:right w:val="single" w:sz="4" w:space="0" w:color="auto"/>
            </w:tcBorders>
            <w:shd w:val="clear" w:color="auto" w:fill="C6EFCE"/>
            <w:noWrap/>
          </w:tcPr>
          <w:p w14:paraId="6B601805"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60866E47"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131" w:type="dxa"/>
            <w:tcBorders>
              <w:top w:val="nil"/>
              <w:left w:val="nil"/>
              <w:bottom w:val="single" w:sz="4" w:space="0" w:color="auto"/>
              <w:right w:val="single" w:sz="4" w:space="0" w:color="auto"/>
            </w:tcBorders>
            <w:shd w:val="clear" w:color="auto" w:fill="C6EFCE"/>
            <w:noWrap/>
          </w:tcPr>
          <w:p w14:paraId="20417A61"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69" w:type="dxa"/>
            <w:tcBorders>
              <w:top w:val="nil"/>
              <w:left w:val="nil"/>
              <w:bottom w:val="single" w:sz="4" w:space="0" w:color="auto"/>
              <w:right w:val="single" w:sz="4" w:space="0" w:color="auto"/>
            </w:tcBorders>
            <w:shd w:val="clear" w:color="auto" w:fill="C6EFCE"/>
            <w:noWrap/>
          </w:tcPr>
          <w:p w14:paraId="0B0093E3" w14:textId="3EE9A78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30362B3B" w14:textId="24CCC32E"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p w14:paraId="29254004"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15159B2B" w14:textId="77777777" w:rsidR="007873BE" w:rsidRPr="000A27B3" w:rsidRDefault="007873BE">
            <w:pPr>
              <w:spacing w:after="0" w:line="240" w:lineRule="auto"/>
              <w:jc w:val="center"/>
              <w:rPr>
                <w:rFonts w:ascii="Times New Roman" w:eastAsia="Times New Roman" w:hAnsi="Times New Roman" w:cs="Times New Roman"/>
                <w:noProof/>
                <w:sz w:val="24"/>
                <w:szCs w:val="24"/>
                <w:lang w:val="en-GB" w:eastAsia="en-GB"/>
              </w:rPr>
            </w:pPr>
          </w:p>
        </w:tc>
        <w:tc>
          <w:tcPr>
            <w:tcW w:w="3641" w:type="dxa"/>
            <w:tcBorders>
              <w:top w:val="nil"/>
              <w:left w:val="nil"/>
              <w:bottom w:val="single" w:sz="4" w:space="0" w:color="auto"/>
              <w:right w:val="single" w:sz="4" w:space="0" w:color="auto"/>
            </w:tcBorders>
            <w:shd w:val="clear" w:color="auto" w:fill="C6EFCE"/>
            <w:noWrap/>
          </w:tcPr>
          <w:p w14:paraId="78EE7F8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de finanțare pentru lucrările de renovare a clădirilor (castele, biserici, fortărețe) incluse în cele 12 rute culturale.</w:t>
            </w:r>
          </w:p>
          <w:p w14:paraId="70A080F7" w14:textId="747CCD84"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Pentru siturile înscrise în cele 12</w:t>
            </w:r>
            <w:r w:rsidR="00B61E33">
              <w:rPr>
                <w:rFonts w:ascii="Times New Roman" w:hAnsi="Times New Roman"/>
                <w:noProof/>
                <w:sz w:val="24"/>
              </w:rPr>
              <w:t> </w:t>
            </w:r>
            <w:r>
              <w:rPr>
                <w:rFonts w:ascii="Times New Roman" w:hAnsi="Times New Roman"/>
                <w:noProof/>
                <w:sz w:val="24"/>
              </w:rPr>
              <w:t xml:space="preserve">rute culturale, lucrările de restaurare vor include următoarele: </w:t>
            </w:r>
          </w:p>
          <w:p w14:paraId="588072D9" w14:textId="77777777" w:rsidR="007873BE" w:rsidRPr="000A27B3" w:rsidRDefault="007873BE" w:rsidP="007873BE">
            <w:pPr>
              <w:numPr>
                <w:ilvl w:val="0"/>
                <w:numId w:val="86"/>
              </w:numPr>
              <w:spacing w:before="120" w:after="0" w:line="240" w:lineRule="auto"/>
              <w:ind w:left="173" w:hanging="173"/>
              <w:contextualSpacing/>
              <w:jc w:val="both"/>
              <w:rPr>
                <w:rFonts w:ascii="Times New Roman" w:hAnsi="Times New Roman" w:cs="Times New Roman"/>
                <w:noProof/>
                <w:sz w:val="24"/>
                <w:szCs w:val="24"/>
              </w:rPr>
            </w:pPr>
            <w:r>
              <w:rPr>
                <w:rFonts w:ascii="Times New Roman" w:hAnsi="Times New Roman"/>
                <w:noProof/>
                <w:sz w:val="24"/>
              </w:rPr>
              <w:t>restaurarea clădirilor, crearea, acolo unde este necesar, a unui drum de acces, primirea vizitatorilor;</w:t>
            </w:r>
          </w:p>
          <w:p w14:paraId="52C2D70E" w14:textId="77777777" w:rsidR="007873BE" w:rsidRPr="000A27B3" w:rsidRDefault="007873BE" w:rsidP="007873BE">
            <w:pPr>
              <w:numPr>
                <w:ilvl w:val="0"/>
                <w:numId w:val="86"/>
              </w:numPr>
              <w:spacing w:before="120" w:after="0" w:line="240" w:lineRule="auto"/>
              <w:ind w:left="173" w:hanging="173"/>
              <w:contextualSpacing/>
              <w:jc w:val="both"/>
              <w:rPr>
                <w:rFonts w:ascii="Times New Roman" w:hAnsi="Times New Roman" w:cs="Times New Roman"/>
                <w:noProof/>
                <w:sz w:val="24"/>
                <w:szCs w:val="24"/>
              </w:rPr>
            </w:pPr>
            <w:r>
              <w:rPr>
                <w:rFonts w:ascii="Times New Roman" w:hAnsi="Times New Roman"/>
                <w:noProof/>
                <w:sz w:val="24"/>
              </w:rPr>
              <w:t>amenajarea drumurilor de acces reprezintă lucrări minime de intervenție care permit cel puțin accesul pietonilor. Nu se includ lucrări de asfaltare.</w:t>
            </w:r>
          </w:p>
          <w:p w14:paraId="17C12754" w14:textId="5E688D15" w:rsidR="007873BE" w:rsidRPr="000A27B3" w:rsidRDefault="007873BE">
            <w:pPr>
              <w:spacing w:after="0" w:line="240" w:lineRule="auto"/>
              <w:jc w:val="both"/>
              <w:rPr>
                <w:rFonts w:ascii="Times New Roman" w:hAnsi="Times New Roman"/>
                <w:noProof/>
                <w:sz w:val="24"/>
              </w:rPr>
            </w:pPr>
            <w:r>
              <w:rPr>
                <w:rFonts w:ascii="Times New Roman" w:hAnsi="Times New Roman"/>
                <w:noProof/>
                <w:sz w:val="24"/>
              </w:rPr>
              <w:t>Proiectele selectate ar trebui să aibă cel puțin studiile de prefezabilitate finalizate, precum și studiul de fezabilitate și toate documentele relevante finalizate înainte de semnarea contractelor de finanțare.</w:t>
            </w:r>
          </w:p>
          <w:p w14:paraId="680E82ED"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Pentru lanțul de muzee și memoriale dedicate opresiunii și conflictelor, contractele vor include lucrări de restaurare a clădirilor, centre pentru vizitatori și digitalizare.</w:t>
            </w:r>
          </w:p>
          <w:p w14:paraId="33A87E6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Contractele vor include o cerință minimă de reducere a consumului de energie cu cel puțin 50 % în comparație cu consumul anual de energie înainte de renovarea clădirii, ceea ce va conduce la o creștere cu 30 % a economiilor de energie primară în comparație cu starea anterioară renovării și de asigurare a conformității cu Orientările tehnice DNSH (2021/C58/01).</w:t>
            </w:r>
          </w:p>
          <w:p w14:paraId="62073F04"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Contractele se vor baza pe proceduri de licitație deschise și vor conține următoarele elemente:</w:t>
            </w:r>
          </w:p>
          <w:p w14:paraId="4B095C5C" w14:textId="77777777" w:rsidR="007873BE" w:rsidRPr="000A27B3" w:rsidRDefault="007873BE" w:rsidP="007873BE">
            <w:pPr>
              <w:pStyle w:val="ListParagraph"/>
              <w:numPr>
                <w:ilvl w:val="0"/>
                <w:numId w:val="92"/>
              </w:numPr>
              <w:spacing w:after="0" w:line="240" w:lineRule="auto"/>
              <w:ind w:left="202" w:hanging="142"/>
              <w:jc w:val="both"/>
              <w:rPr>
                <w:rFonts w:ascii="Times New Roman" w:eastAsia="Times New Roman" w:hAnsi="Times New Roman" w:cs="Times New Roman"/>
                <w:noProof/>
                <w:sz w:val="24"/>
                <w:szCs w:val="24"/>
              </w:rPr>
            </w:pPr>
            <w:r>
              <w:rPr>
                <w:rFonts w:ascii="Times New Roman" w:hAnsi="Times New Roman"/>
                <w:noProof/>
                <w:sz w:val="24"/>
              </w:rPr>
              <w:t xml:space="preserve">lista activităților care urmează să fie desfășurate în legătură cu dezvoltarea sitului (restaurare, accesul vizitatorilor și toate activitățile descrise în documentul principal); </w:t>
            </w:r>
          </w:p>
          <w:p w14:paraId="41292271" w14:textId="77777777" w:rsidR="007873BE" w:rsidRPr="000A27B3" w:rsidRDefault="007873BE" w:rsidP="007873BE">
            <w:pPr>
              <w:pStyle w:val="ListParagraph"/>
              <w:numPr>
                <w:ilvl w:val="0"/>
                <w:numId w:val="92"/>
              </w:numPr>
              <w:spacing w:after="0" w:line="240" w:lineRule="auto"/>
              <w:ind w:left="202" w:hanging="142"/>
              <w:jc w:val="both"/>
              <w:rPr>
                <w:rFonts w:ascii="Times New Roman" w:eastAsia="Times New Roman" w:hAnsi="Times New Roman" w:cs="Times New Roman"/>
                <w:noProof/>
                <w:sz w:val="24"/>
                <w:szCs w:val="24"/>
              </w:rPr>
            </w:pPr>
            <w:r>
              <w:rPr>
                <w:rFonts w:ascii="Times New Roman" w:hAnsi="Times New Roman"/>
                <w:noProof/>
                <w:sz w:val="24"/>
              </w:rPr>
              <w:t>termene pentru finalizarea lucrărilor;</w:t>
            </w:r>
          </w:p>
          <w:p w14:paraId="621B2DE7" w14:textId="77777777" w:rsidR="007873BE" w:rsidRPr="000A27B3" w:rsidRDefault="007873BE" w:rsidP="007873BE">
            <w:pPr>
              <w:pStyle w:val="ListParagraph"/>
              <w:numPr>
                <w:ilvl w:val="0"/>
                <w:numId w:val="92"/>
              </w:numPr>
              <w:spacing w:after="0" w:line="240" w:lineRule="auto"/>
              <w:ind w:left="202" w:hanging="142"/>
              <w:jc w:val="both"/>
              <w:rPr>
                <w:rFonts w:ascii="Times New Roman" w:eastAsia="Times New Roman" w:hAnsi="Times New Roman" w:cs="Times New Roman"/>
                <w:noProof/>
                <w:sz w:val="24"/>
                <w:szCs w:val="24"/>
              </w:rPr>
            </w:pPr>
            <w:r>
              <w:rPr>
                <w:rFonts w:ascii="Times New Roman" w:hAnsi="Times New Roman"/>
                <w:noProof/>
                <w:sz w:val="24"/>
              </w:rPr>
              <w:t>un mecanism clar de finanțare;</w:t>
            </w:r>
          </w:p>
          <w:p w14:paraId="47BCE37D" w14:textId="77777777" w:rsidR="007873BE" w:rsidRPr="000A27B3" w:rsidRDefault="007873BE" w:rsidP="007873BE">
            <w:pPr>
              <w:pStyle w:val="ListParagraph"/>
              <w:numPr>
                <w:ilvl w:val="0"/>
                <w:numId w:val="92"/>
              </w:numPr>
              <w:spacing w:after="0" w:line="240" w:lineRule="auto"/>
              <w:ind w:left="202" w:hanging="142"/>
              <w:jc w:val="both"/>
              <w:rPr>
                <w:rFonts w:ascii="Times New Roman" w:eastAsia="Times New Roman" w:hAnsi="Times New Roman" w:cs="Times New Roman"/>
                <w:noProof/>
                <w:sz w:val="24"/>
                <w:szCs w:val="24"/>
              </w:rPr>
            </w:pPr>
            <w:r>
              <w:rPr>
                <w:rFonts w:ascii="Times New Roman" w:hAnsi="Times New Roman"/>
                <w:noProof/>
                <w:sz w:val="24"/>
              </w:rPr>
              <w:t>cerințe și standarde tehnice.</w:t>
            </w:r>
          </w:p>
          <w:p w14:paraId="347013D1"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Lista activităților și toate elementele fiecărui contract de lucrări vor fi stabilite pe baza descrierii intervențiilor (prezentate în documentul principal) în documentația de achiziție, în funcție de caracteristicile lucrărilor. Aceste elemente vor fi descrise în documentele privind achizițiile publice.</w:t>
            </w:r>
          </w:p>
        </w:tc>
      </w:tr>
      <w:tr w:rsidR="000A27B3" w:rsidRPr="000A27B3" w14:paraId="5BF3AEAB"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2061321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335</w:t>
            </w:r>
          </w:p>
        </w:tc>
        <w:tc>
          <w:tcPr>
            <w:tcW w:w="1586" w:type="dxa"/>
            <w:tcBorders>
              <w:top w:val="nil"/>
              <w:left w:val="nil"/>
              <w:bottom w:val="single" w:sz="4" w:space="0" w:color="auto"/>
              <w:right w:val="single" w:sz="4" w:space="0" w:color="auto"/>
            </w:tcBorders>
            <w:shd w:val="clear" w:color="auto" w:fill="C6EFCE"/>
            <w:noWrap/>
          </w:tcPr>
          <w:p w14:paraId="4BCB1D5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1. Promovarea celor 12 rute turistice/culturale</w:t>
            </w:r>
          </w:p>
          <w:p w14:paraId="4A310737"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302" w:type="dxa"/>
            <w:tcBorders>
              <w:top w:val="nil"/>
              <w:left w:val="nil"/>
              <w:bottom w:val="single" w:sz="4" w:space="0" w:color="auto"/>
              <w:right w:val="single" w:sz="4" w:space="0" w:color="auto"/>
            </w:tcBorders>
            <w:shd w:val="clear" w:color="auto" w:fill="C6EFCE"/>
            <w:noWrap/>
          </w:tcPr>
          <w:p w14:paraId="55EEB1C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41280A19"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Deschiderea siturilor nou-restaurate</w:t>
            </w:r>
          </w:p>
        </w:tc>
        <w:tc>
          <w:tcPr>
            <w:tcW w:w="1658" w:type="dxa"/>
            <w:tcBorders>
              <w:top w:val="nil"/>
              <w:left w:val="nil"/>
              <w:bottom w:val="single" w:sz="4" w:space="0" w:color="auto"/>
              <w:right w:val="single" w:sz="4" w:space="0" w:color="auto"/>
            </w:tcBorders>
            <w:shd w:val="clear" w:color="auto" w:fill="C6EFCE"/>
            <w:noWrap/>
          </w:tcPr>
          <w:p w14:paraId="381827E4"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991" w:type="dxa"/>
            <w:tcBorders>
              <w:top w:val="nil"/>
              <w:left w:val="nil"/>
              <w:bottom w:val="single" w:sz="4" w:space="0" w:color="auto"/>
              <w:right w:val="single" w:sz="4" w:space="0" w:color="auto"/>
            </w:tcBorders>
            <w:shd w:val="clear" w:color="auto" w:fill="C6EFCE"/>
            <w:noWrap/>
          </w:tcPr>
          <w:p w14:paraId="11BF2242"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Număr</w:t>
            </w:r>
          </w:p>
        </w:tc>
        <w:tc>
          <w:tcPr>
            <w:tcW w:w="1200" w:type="dxa"/>
            <w:tcBorders>
              <w:top w:val="nil"/>
              <w:left w:val="nil"/>
              <w:bottom w:val="single" w:sz="4" w:space="0" w:color="auto"/>
              <w:right w:val="single" w:sz="4" w:space="0" w:color="auto"/>
            </w:tcBorders>
            <w:shd w:val="clear" w:color="auto" w:fill="C6EFCE"/>
            <w:noWrap/>
          </w:tcPr>
          <w:p w14:paraId="6C91FBF1"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377B2EB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225</w:t>
            </w:r>
          </w:p>
        </w:tc>
        <w:tc>
          <w:tcPr>
            <w:tcW w:w="1269" w:type="dxa"/>
            <w:tcBorders>
              <w:top w:val="nil"/>
              <w:left w:val="nil"/>
              <w:bottom w:val="single" w:sz="4" w:space="0" w:color="auto"/>
              <w:right w:val="single" w:sz="4" w:space="0" w:color="auto"/>
            </w:tcBorders>
            <w:shd w:val="clear" w:color="auto" w:fill="C6EFCE"/>
            <w:noWrap/>
          </w:tcPr>
          <w:p w14:paraId="0BBBADCC"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3A072EF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641" w:type="dxa"/>
            <w:tcBorders>
              <w:top w:val="nil"/>
              <w:left w:val="nil"/>
              <w:bottom w:val="single" w:sz="4" w:space="0" w:color="auto"/>
              <w:right w:val="single" w:sz="4" w:space="0" w:color="auto"/>
            </w:tcBorders>
            <w:shd w:val="clear" w:color="auto" w:fill="C6EFCE"/>
            <w:noWrap/>
          </w:tcPr>
          <w:p w14:paraId="40A2B5D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225 de situri restaurate vor fi deschise turiștilor.</w:t>
            </w:r>
          </w:p>
          <w:p w14:paraId="3D26E4B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Din cele 12 rute culturale, vor fi restaurate următoarele situri (care să le permită să fie pe deplin accesibile turiștilor și publicului): </w:t>
            </w:r>
          </w:p>
          <w:p w14:paraId="1820A0F0"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castele;</w:t>
            </w:r>
          </w:p>
          <w:p w14:paraId="36CADEF8"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curii;</w:t>
            </w:r>
          </w:p>
          <w:p w14:paraId="1FD8AA62"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10 biserici din lemn;</w:t>
            </w:r>
          </w:p>
          <w:p w14:paraId="560D46B8"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cule (locuințe ale nobililor români);</w:t>
            </w:r>
          </w:p>
          <w:p w14:paraId="565EE7DE"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mănăstiri din Moldova;</w:t>
            </w:r>
          </w:p>
          <w:p w14:paraId="11F2267D"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biserici/situri pe ruta Sfântului Ladislau;</w:t>
            </w:r>
          </w:p>
          <w:p w14:paraId="11BB4009"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castre romane;</w:t>
            </w:r>
          </w:p>
          <w:p w14:paraId="57945CB4" w14:textId="77777777"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fortărețe;</w:t>
            </w:r>
          </w:p>
          <w:p w14:paraId="71B55182" w14:textId="57B68BA0"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8 case tradiționale din Delta Dunării;</w:t>
            </w:r>
          </w:p>
          <w:p w14:paraId="5404EC8D" w14:textId="11175883" w:rsidR="007873BE" w:rsidRPr="000A27B3" w:rsidRDefault="007873BE" w:rsidP="007873BE">
            <w:pPr>
              <w:numPr>
                <w:ilvl w:val="0"/>
                <w:numId w:val="89"/>
              </w:numPr>
              <w:spacing w:before="120" w:after="0" w:line="240" w:lineRule="auto"/>
              <w:ind w:left="202" w:hanging="180"/>
              <w:contextualSpacing/>
              <w:jc w:val="both"/>
              <w:rPr>
                <w:noProof/>
                <w:sz w:val="24"/>
                <w:szCs w:val="24"/>
              </w:rPr>
            </w:pPr>
            <w:r>
              <w:rPr>
                <w:rFonts w:ascii="Times New Roman" w:hAnsi="Times New Roman"/>
                <w:noProof/>
                <w:sz w:val="24"/>
              </w:rPr>
              <w:t>172 de case rurale tradiționale.</w:t>
            </w:r>
          </w:p>
        </w:tc>
      </w:tr>
      <w:tr w:rsidR="000A27B3" w:rsidRPr="000A27B3" w14:paraId="4F226EC2"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2E80C0F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336</w:t>
            </w:r>
          </w:p>
        </w:tc>
        <w:tc>
          <w:tcPr>
            <w:tcW w:w="1586" w:type="dxa"/>
            <w:tcBorders>
              <w:top w:val="nil"/>
              <w:left w:val="nil"/>
              <w:bottom w:val="single" w:sz="4" w:space="0" w:color="auto"/>
              <w:right w:val="single" w:sz="4" w:space="0" w:color="auto"/>
            </w:tcBorders>
            <w:shd w:val="clear" w:color="auto" w:fill="C6EFCE"/>
            <w:noWrap/>
          </w:tcPr>
          <w:p w14:paraId="1C77C4AF"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2. Modernizarea/crearea de muzee și memoriale</w:t>
            </w:r>
          </w:p>
        </w:tc>
        <w:tc>
          <w:tcPr>
            <w:tcW w:w="1302" w:type="dxa"/>
            <w:tcBorders>
              <w:top w:val="nil"/>
              <w:left w:val="nil"/>
              <w:bottom w:val="single" w:sz="4" w:space="0" w:color="auto"/>
              <w:right w:val="single" w:sz="4" w:space="0" w:color="auto"/>
            </w:tcBorders>
            <w:shd w:val="clear" w:color="auto" w:fill="C6EFCE"/>
            <w:noWrap/>
          </w:tcPr>
          <w:p w14:paraId="39C1383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4495F96F"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 pentru lucrările de construcție ale muzeelor</w:t>
            </w:r>
          </w:p>
        </w:tc>
        <w:tc>
          <w:tcPr>
            <w:tcW w:w="1658" w:type="dxa"/>
            <w:tcBorders>
              <w:top w:val="nil"/>
              <w:left w:val="nil"/>
              <w:bottom w:val="single" w:sz="4" w:space="0" w:color="auto"/>
              <w:right w:val="single" w:sz="4" w:space="0" w:color="auto"/>
            </w:tcBorders>
            <w:shd w:val="clear" w:color="auto" w:fill="C6EFCE"/>
            <w:noWrap/>
          </w:tcPr>
          <w:p w14:paraId="488EE94C"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w:t>
            </w:r>
          </w:p>
        </w:tc>
        <w:tc>
          <w:tcPr>
            <w:tcW w:w="991" w:type="dxa"/>
            <w:tcBorders>
              <w:top w:val="nil"/>
              <w:left w:val="nil"/>
              <w:bottom w:val="single" w:sz="4" w:space="0" w:color="auto"/>
              <w:right w:val="single" w:sz="4" w:space="0" w:color="auto"/>
            </w:tcBorders>
            <w:shd w:val="clear" w:color="auto" w:fill="C6EFCE"/>
            <w:noWrap/>
          </w:tcPr>
          <w:p w14:paraId="2D98D783"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5B907A54"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50B1DC21"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5256C23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65669FB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2023</w:t>
            </w:r>
          </w:p>
        </w:tc>
        <w:tc>
          <w:tcPr>
            <w:tcW w:w="3641" w:type="dxa"/>
            <w:tcBorders>
              <w:top w:val="nil"/>
              <w:left w:val="nil"/>
              <w:bottom w:val="single" w:sz="4" w:space="0" w:color="auto"/>
              <w:right w:val="single" w:sz="4" w:space="0" w:color="auto"/>
            </w:tcBorders>
            <w:shd w:val="clear" w:color="auto" w:fill="C6EFCE"/>
            <w:noWrap/>
          </w:tcPr>
          <w:p w14:paraId="2D09E52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lucrările de construcție a noilor muzee dedicate opresiunii și conflictelor. Siturile vor fi alese pe baza valorii lor simbolice și a asocierii lor cu regimurile totalitare (locuri care reprezintă puncte de referință pentru conflicte interetnice și dezvoltarea unor bune relații interculturale). Atribuirea contractelor se va efectua pe baza unei proceduri de licitație deschise și competitive și va respecta procedurile de construcție a clădirilor al căror consum de energie este aproape egal cu zero. 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6FA7FEE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Noile muzee sunt următoarele: </w:t>
            </w:r>
          </w:p>
          <w:p w14:paraId="1AEB9F12" w14:textId="0BC463E5" w:rsidR="007873BE" w:rsidRPr="000A27B3" w:rsidRDefault="007873BE" w:rsidP="007873BE">
            <w:pPr>
              <w:numPr>
                <w:ilvl w:val="0"/>
                <w:numId w:val="88"/>
              </w:numPr>
              <w:spacing w:before="120" w:after="0" w:line="240" w:lineRule="auto"/>
              <w:ind w:left="343"/>
              <w:contextualSpacing/>
              <w:jc w:val="both"/>
              <w:rPr>
                <w:rFonts w:ascii="Times New Roman" w:hAnsi="Times New Roman" w:cs="Times New Roman"/>
                <w:noProof/>
                <w:sz w:val="24"/>
                <w:szCs w:val="24"/>
              </w:rPr>
            </w:pPr>
            <w:r>
              <w:rPr>
                <w:rFonts w:ascii="Times New Roman" w:hAnsi="Times New Roman"/>
                <w:noProof/>
                <w:sz w:val="24"/>
              </w:rPr>
              <w:t xml:space="preserve">Galeria de Istorie a Transilvaniei (fostul MUTRA – Muzeul identităților și conflictelor transilvănene) va fi construită la periferia municipiului Cluj-Napoca. Digitalizarea tuturor valorilor și achizițiile de echipamente muzeale vor face parte din dezvoltare; </w:t>
            </w:r>
          </w:p>
          <w:p w14:paraId="5C42286A" w14:textId="77777777" w:rsidR="007873BE" w:rsidRPr="000A27B3" w:rsidRDefault="007873BE" w:rsidP="007873BE">
            <w:pPr>
              <w:numPr>
                <w:ilvl w:val="0"/>
                <w:numId w:val="88"/>
              </w:numPr>
              <w:spacing w:before="120" w:after="0" w:line="240" w:lineRule="auto"/>
              <w:ind w:left="343"/>
              <w:contextualSpacing/>
              <w:jc w:val="both"/>
              <w:rPr>
                <w:rFonts w:ascii="Times New Roman" w:hAnsi="Times New Roman" w:cs="Times New Roman"/>
                <w:noProof/>
                <w:sz w:val="24"/>
                <w:szCs w:val="24"/>
              </w:rPr>
            </w:pPr>
            <w:r>
              <w:rPr>
                <w:rFonts w:ascii="Times New Roman" w:hAnsi="Times New Roman"/>
                <w:noProof/>
                <w:sz w:val="24"/>
              </w:rPr>
              <w:t xml:space="preserve">Râpa Robilor, un loc memorial pentru persoanele încarcerate în Aiud, județul Alba. Ca parte a acestui proiect, în cadrul sitului va fi construit și un centru pentru vizitatori. </w:t>
            </w:r>
          </w:p>
          <w:p w14:paraId="71155128" w14:textId="1308A7B8" w:rsidR="007873BE" w:rsidRPr="000A27B3" w:rsidRDefault="007873BE" w:rsidP="007873BE">
            <w:pPr>
              <w:numPr>
                <w:ilvl w:val="0"/>
                <w:numId w:val="88"/>
              </w:numPr>
              <w:spacing w:before="120" w:after="0" w:line="240" w:lineRule="auto"/>
              <w:ind w:left="343"/>
              <w:contextualSpacing/>
              <w:jc w:val="both"/>
              <w:rPr>
                <w:rFonts w:ascii="Times New Roman" w:hAnsi="Times New Roman" w:cs="Times New Roman"/>
                <w:noProof/>
                <w:sz w:val="24"/>
                <w:szCs w:val="24"/>
              </w:rPr>
            </w:pPr>
            <w:r>
              <w:rPr>
                <w:rFonts w:ascii="Times New Roman" w:hAnsi="Times New Roman"/>
                <w:noProof/>
                <w:sz w:val="24"/>
              </w:rPr>
              <w:t>Memorialul strămutării forțate a persoanelor și al industrializării, Satu Mare.</w:t>
            </w:r>
          </w:p>
          <w:p w14:paraId="376CA722" w14:textId="4E17016E" w:rsidR="007873BE" w:rsidRPr="000A27B3" w:rsidRDefault="007873BE">
            <w:pPr>
              <w:spacing w:before="120" w:after="0" w:line="240" w:lineRule="auto"/>
              <w:contextualSpacing/>
              <w:jc w:val="both"/>
              <w:rPr>
                <w:rFonts w:ascii="Times New Roman" w:hAnsi="Times New Roman"/>
                <w:noProof/>
                <w:sz w:val="24"/>
              </w:rPr>
            </w:pPr>
            <w:r>
              <w:rPr>
                <w:rFonts w:ascii="Times New Roman" w:hAnsi="Times New Roman"/>
                <w:noProof/>
                <w:sz w:val="24"/>
              </w:rPr>
              <w:t xml:space="preserve">Pentru muzeele și memorialele dedicate opresiunii și conflictelor, contractele vor include lucrări de restaurare a clădirilor, centre pentru vizitatori și digitalizare. </w:t>
            </w:r>
          </w:p>
          <w:p w14:paraId="5E548BE1" w14:textId="77777777" w:rsidR="007873BE" w:rsidRPr="000A27B3" w:rsidRDefault="007873BE">
            <w:pPr>
              <w:spacing w:before="120" w:after="0" w:line="240" w:lineRule="auto"/>
              <w:contextualSpacing/>
              <w:jc w:val="both"/>
              <w:rPr>
                <w:rFonts w:ascii="Times New Roman" w:hAnsi="Times New Roman" w:cs="Times New Roman"/>
                <w:noProof/>
                <w:sz w:val="24"/>
                <w:szCs w:val="24"/>
              </w:rPr>
            </w:pPr>
            <w:r>
              <w:rPr>
                <w:rFonts w:ascii="Times New Roman" w:hAnsi="Times New Roman"/>
                <w:noProof/>
                <w:sz w:val="24"/>
              </w:rPr>
              <w:t xml:space="preserve">Sunt incluse următoarele muzee și memoriale: </w:t>
            </w:r>
          </w:p>
          <w:p w14:paraId="6C873058" w14:textId="59527EBF" w:rsidR="007873BE" w:rsidRPr="000A27B3" w:rsidRDefault="007873BE" w:rsidP="00ED6412">
            <w:pPr>
              <w:pStyle w:val="ListParagraph"/>
              <w:numPr>
                <w:ilvl w:val="0"/>
                <w:numId w:val="84"/>
              </w:numPr>
              <w:spacing w:before="120" w:after="0" w:line="240" w:lineRule="auto"/>
              <w:jc w:val="both"/>
              <w:rPr>
                <w:rFonts w:ascii="Calibri" w:eastAsia="Calibri" w:hAnsi="Calibri" w:cs="Arial"/>
                <w:noProof/>
                <w:sz w:val="24"/>
                <w:szCs w:val="24"/>
              </w:rPr>
            </w:pPr>
            <w:r>
              <w:rPr>
                <w:rFonts w:ascii="Times New Roman" w:hAnsi="Times New Roman"/>
                <w:noProof/>
                <w:sz w:val="24"/>
              </w:rPr>
              <w:t>Muzeul Național de Istorie a Evreilor și al Holocaustului, București;</w:t>
            </w:r>
          </w:p>
          <w:p w14:paraId="1956989B" w14:textId="307C30FA" w:rsidR="007873BE" w:rsidRPr="000A27B3" w:rsidRDefault="007873BE" w:rsidP="00ED6412">
            <w:pPr>
              <w:pStyle w:val="ListParagraph"/>
              <w:numPr>
                <w:ilvl w:val="0"/>
                <w:numId w:val="84"/>
              </w:numPr>
              <w:spacing w:before="120" w:after="0" w:line="240" w:lineRule="auto"/>
              <w:jc w:val="both"/>
              <w:rPr>
                <w:rFonts w:ascii="Calibri" w:eastAsia="Calibri" w:hAnsi="Calibri" w:cs="Arial"/>
                <w:noProof/>
                <w:sz w:val="24"/>
                <w:szCs w:val="24"/>
              </w:rPr>
            </w:pPr>
            <w:r>
              <w:rPr>
                <w:rFonts w:ascii="Times New Roman" w:hAnsi="Times New Roman"/>
                <w:noProof/>
                <w:sz w:val="24"/>
              </w:rPr>
              <w:t>Memorialul Revoluției din Decembrie 1989, Timișoara;</w:t>
            </w:r>
          </w:p>
          <w:p w14:paraId="2A2936DF" w14:textId="276FC6CE" w:rsidR="007873BE" w:rsidRPr="000A27B3" w:rsidRDefault="007873BE" w:rsidP="00ED6412">
            <w:pPr>
              <w:pStyle w:val="ListParagraph"/>
              <w:numPr>
                <w:ilvl w:val="0"/>
                <w:numId w:val="84"/>
              </w:numPr>
              <w:spacing w:before="120" w:after="0" w:line="240" w:lineRule="auto"/>
              <w:jc w:val="both"/>
              <w:rPr>
                <w:rFonts w:ascii="Calibri" w:eastAsia="Calibri" w:hAnsi="Calibri" w:cs="Arial"/>
                <w:noProof/>
                <w:sz w:val="24"/>
                <w:szCs w:val="24"/>
              </w:rPr>
            </w:pPr>
            <w:r>
              <w:rPr>
                <w:rFonts w:ascii="Times New Roman" w:hAnsi="Times New Roman"/>
                <w:noProof/>
                <w:sz w:val="24"/>
              </w:rPr>
              <w:t>Memorialul Victimelor, Sighet;</w:t>
            </w:r>
          </w:p>
          <w:p w14:paraId="0A2AC435" w14:textId="77777777" w:rsidR="007873BE" w:rsidRPr="000A27B3" w:rsidRDefault="007873BE" w:rsidP="00ED6412">
            <w:pPr>
              <w:pStyle w:val="ListParagraph"/>
              <w:numPr>
                <w:ilvl w:val="0"/>
                <w:numId w:val="84"/>
              </w:numPr>
              <w:spacing w:before="120" w:after="0" w:line="240" w:lineRule="auto"/>
              <w:jc w:val="both"/>
              <w:rPr>
                <w:rFonts w:ascii="Calibri" w:eastAsia="Calibri" w:hAnsi="Calibri" w:cs="Arial"/>
                <w:noProof/>
                <w:sz w:val="24"/>
                <w:szCs w:val="24"/>
              </w:rPr>
            </w:pPr>
            <w:r>
              <w:rPr>
                <w:rFonts w:ascii="Times New Roman" w:hAnsi="Times New Roman"/>
                <w:noProof/>
                <w:sz w:val="24"/>
              </w:rPr>
              <w:t>Închisoarea tăcerii, Râmnicu Sărat;</w:t>
            </w:r>
          </w:p>
          <w:p w14:paraId="25B5EBC3" w14:textId="062A9A77" w:rsidR="007873BE" w:rsidRPr="000A27B3" w:rsidRDefault="007873BE" w:rsidP="00ED6412">
            <w:pPr>
              <w:pStyle w:val="ListParagraph"/>
              <w:numPr>
                <w:ilvl w:val="0"/>
                <w:numId w:val="84"/>
              </w:numPr>
              <w:spacing w:before="120" w:after="0" w:line="240" w:lineRule="auto"/>
              <w:jc w:val="both"/>
              <w:rPr>
                <w:rFonts w:ascii="Calibri" w:eastAsia="Calibri" w:hAnsi="Calibri" w:cs="Arial"/>
                <w:noProof/>
                <w:sz w:val="24"/>
                <w:szCs w:val="24"/>
              </w:rPr>
            </w:pPr>
            <w:r>
              <w:rPr>
                <w:rFonts w:ascii="Times New Roman" w:hAnsi="Times New Roman"/>
                <w:noProof/>
                <w:sz w:val="24"/>
              </w:rPr>
              <w:t>Muzeul Ororilor Comunismului, Sfântu Gheorghe.</w:t>
            </w:r>
          </w:p>
        </w:tc>
      </w:tr>
      <w:tr w:rsidR="000A27B3" w:rsidRPr="000A27B3" w14:paraId="3F84F629"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76FFD6EC"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337</w:t>
            </w:r>
          </w:p>
        </w:tc>
        <w:tc>
          <w:tcPr>
            <w:tcW w:w="1586" w:type="dxa"/>
            <w:tcBorders>
              <w:top w:val="nil"/>
              <w:left w:val="nil"/>
              <w:bottom w:val="single" w:sz="4" w:space="0" w:color="auto"/>
              <w:right w:val="single" w:sz="4" w:space="0" w:color="auto"/>
            </w:tcBorders>
            <w:shd w:val="clear" w:color="auto" w:fill="C6EFCE"/>
            <w:noWrap/>
          </w:tcPr>
          <w:p w14:paraId="4FE522C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2. Modernizarea/crearea de muzee și memoriale</w:t>
            </w:r>
          </w:p>
          <w:p w14:paraId="24732C3E"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302" w:type="dxa"/>
            <w:tcBorders>
              <w:top w:val="nil"/>
              <w:left w:val="nil"/>
              <w:bottom w:val="single" w:sz="4" w:space="0" w:color="auto"/>
              <w:right w:val="single" w:sz="4" w:space="0" w:color="auto"/>
            </w:tcBorders>
            <w:shd w:val="clear" w:color="auto" w:fill="C6EFCE"/>
            <w:noWrap/>
          </w:tcPr>
          <w:p w14:paraId="7175101A"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32F79D86"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Deschiderea muzeelor nou-construite și renovate</w:t>
            </w:r>
          </w:p>
        </w:tc>
        <w:tc>
          <w:tcPr>
            <w:tcW w:w="1658" w:type="dxa"/>
            <w:tcBorders>
              <w:top w:val="nil"/>
              <w:left w:val="nil"/>
              <w:bottom w:val="single" w:sz="4" w:space="0" w:color="auto"/>
              <w:right w:val="single" w:sz="4" w:space="0" w:color="auto"/>
            </w:tcBorders>
            <w:shd w:val="clear" w:color="auto" w:fill="C6EFCE"/>
            <w:noWrap/>
          </w:tcPr>
          <w:p w14:paraId="6062DCB1"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991" w:type="dxa"/>
            <w:tcBorders>
              <w:top w:val="nil"/>
              <w:left w:val="nil"/>
              <w:bottom w:val="single" w:sz="4" w:space="0" w:color="auto"/>
              <w:right w:val="single" w:sz="4" w:space="0" w:color="auto"/>
            </w:tcBorders>
            <w:shd w:val="clear" w:color="auto" w:fill="C6EFCE"/>
            <w:noWrap/>
          </w:tcPr>
          <w:p w14:paraId="4BB96949"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Număr</w:t>
            </w:r>
          </w:p>
        </w:tc>
        <w:tc>
          <w:tcPr>
            <w:tcW w:w="1200" w:type="dxa"/>
            <w:tcBorders>
              <w:top w:val="nil"/>
              <w:left w:val="nil"/>
              <w:bottom w:val="single" w:sz="4" w:space="0" w:color="auto"/>
              <w:right w:val="single" w:sz="4" w:space="0" w:color="auto"/>
            </w:tcBorders>
            <w:shd w:val="clear" w:color="auto" w:fill="C6EFCE"/>
            <w:noWrap/>
          </w:tcPr>
          <w:p w14:paraId="23090072"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2B62D09C" w14:textId="2B74819A"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8</w:t>
            </w:r>
          </w:p>
        </w:tc>
        <w:tc>
          <w:tcPr>
            <w:tcW w:w="1269" w:type="dxa"/>
            <w:tcBorders>
              <w:top w:val="nil"/>
              <w:left w:val="nil"/>
              <w:bottom w:val="single" w:sz="4" w:space="0" w:color="auto"/>
              <w:right w:val="single" w:sz="4" w:space="0" w:color="auto"/>
            </w:tcBorders>
            <w:shd w:val="clear" w:color="auto" w:fill="C6EFCE"/>
            <w:noWrap/>
          </w:tcPr>
          <w:p w14:paraId="08E9B72F"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092536A2"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2026</w:t>
            </w:r>
          </w:p>
        </w:tc>
        <w:tc>
          <w:tcPr>
            <w:tcW w:w="3641" w:type="dxa"/>
            <w:tcBorders>
              <w:top w:val="nil"/>
              <w:left w:val="nil"/>
              <w:bottom w:val="single" w:sz="4" w:space="0" w:color="auto"/>
              <w:right w:val="single" w:sz="4" w:space="0" w:color="auto"/>
            </w:tcBorders>
            <w:shd w:val="clear" w:color="auto" w:fill="C6EFCE"/>
            <w:noWrap/>
          </w:tcPr>
          <w:p w14:paraId="73AD8CEF" w14:textId="2A3993EE"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8 muzee și memoriale nou-construite sau renovate vor fi deschise publicului:</w:t>
            </w:r>
          </w:p>
          <w:p w14:paraId="6404B3D8" w14:textId="7DECDBC9"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3 muzee – construcții noi;</w:t>
            </w:r>
          </w:p>
          <w:p w14:paraId="23744B99" w14:textId="02B8B56B" w:rsidR="007873BE" w:rsidRPr="000A27B3" w:rsidRDefault="007873BE" w:rsidP="007873BE">
            <w:pPr>
              <w:numPr>
                <w:ilvl w:val="0"/>
                <w:numId w:val="89"/>
              </w:numPr>
              <w:spacing w:before="120" w:after="0" w:line="240" w:lineRule="auto"/>
              <w:ind w:left="202" w:hanging="180"/>
              <w:contextualSpacing/>
              <w:jc w:val="both"/>
              <w:rPr>
                <w:rFonts w:ascii="Times New Roman" w:hAnsi="Times New Roman" w:cs="Times New Roman"/>
                <w:noProof/>
                <w:sz w:val="24"/>
                <w:szCs w:val="24"/>
              </w:rPr>
            </w:pPr>
            <w:r>
              <w:rPr>
                <w:rFonts w:ascii="Times New Roman" w:hAnsi="Times New Roman"/>
                <w:noProof/>
                <w:sz w:val="24"/>
              </w:rPr>
              <w:t>5 muzee – restaurate, renovate, modernizate.</w:t>
            </w:r>
          </w:p>
        </w:tc>
      </w:tr>
      <w:tr w:rsidR="000A27B3" w:rsidRPr="000A27B3" w14:paraId="1FFBE11A"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6AE46AF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338</w:t>
            </w:r>
          </w:p>
        </w:tc>
        <w:tc>
          <w:tcPr>
            <w:tcW w:w="1586" w:type="dxa"/>
            <w:tcBorders>
              <w:top w:val="nil"/>
              <w:left w:val="nil"/>
              <w:bottom w:val="single" w:sz="4" w:space="0" w:color="auto"/>
              <w:right w:val="single" w:sz="4" w:space="0" w:color="auto"/>
            </w:tcBorders>
            <w:shd w:val="clear" w:color="auto" w:fill="C6EFCE"/>
            <w:noWrap/>
          </w:tcPr>
          <w:p w14:paraId="57E89165"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2. Cadrul pentru operaționalizarea traseelor cicloturistice la nivel național</w:t>
            </w:r>
          </w:p>
        </w:tc>
        <w:tc>
          <w:tcPr>
            <w:tcW w:w="1302" w:type="dxa"/>
            <w:tcBorders>
              <w:top w:val="nil"/>
              <w:left w:val="nil"/>
              <w:bottom w:val="single" w:sz="4" w:space="0" w:color="auto"/>
              <w:right w:val="single" w:sz="4" w:space="0" w:color="auto"/>
            </w:tcBorders>
            <w:shd w:val="clear" w:color="auto" w:fill="C6EFCE"/>
            <w:noWrap/>
          </w:tcPr>
          <w:p w14:paraId="101EBFB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06AD71C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Intrarea în vigoare a cadrului de reglementare privind cicloturismul </w:t>
            </w:r>
          </w:p>
        </w:tc>
        <w:tc>
          <w:tcPr>
            <w:tcW w:w="1658" w:type="dxa"/>
            <w:tcBorders>
              <w:top w:val="nil"/>
              <w:left w:val="nil"/>
              <w:bottom w:val="single" w:sz="4" w:space="0" w:color="auto"/>
              <w:right w:val="single" w:sz="4" w:space="0" w:color="auto"/>
            </w:tcBorders>
            <w:shd w:val="clear" w:color="auto" w:fill="C6EFCE"/>
            <w:noWrap/>
          </w:tcPr>
          <w:p w14:paraId="46F3804B"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legală care indică intrarea în vigoare a cadrului de reglementare privind cicloturismul</w:t>
            </w:r>
          </w:p>
        </w:tc>
        <w:tc>
          <w:tcPr>
            <w:tcW w:w="991" w:type="dxa"/>
            <w:tcBorders>
              <w:top w:val="nil"/>
              <w:left w:val="nil"/>
              <w:bottom w:val="single" w:sz="4" w:space="0" w:color="auto"/>
              <w:right w:val="single" w:sz="4" w:space="0" w:color="auto"/>
            </w:tcBorders>
            <w:shd w:val="clear" w:color="auto" w:fill="C6EFCE"/>
            <w:noWrap/>
          </w:tcPr>
          <w:p w14:paraId="068D8747"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7E8B73F3"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131" w:type="dxa"/>
            <w:tcBorders>
              <w:top w:val="nil"/>
              <w:left w:val="nil"/>
              <w:bottom w:val="single" w:sz="4" w:space="0" w:color="auto"/>
              <w:right w:val="single" w:sz="4" w:space="0" w:color="auto"/>
            </w:tcBorders>
            <w:shd w:val="clear" w:color="auto" w:fill="C6EFCE"/>
            <w:noWrap/>
          </w:tcPr>
          <w:p w14:paraId="46EC2438"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69" w:type="dxa"/>
            <w:tcBorders>
              <w:top w:val="nil"/>
              <w:left w:val="nil"/>
              <w:bottom w:val="single" w:sz="4" w:space="0" w:color="auto"/>
              <w:right w:val="single" w:sz="4" w:space="0" w:color="auto"/>
            </w:tcBorders>
            <w:shd w:val="clear" w:color="auto" w:fill="C6EFCE"/>
            <w:noWrap/>
          </w:tcPr>
          <w:p w14:paraId="6C36446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78EABE8A"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609CAB0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Cadrul de reglementare (hotărâri de guvern) pentru operaționalizarea traseelor cicloturistice va include următoarele elemente: </w:t>
            </w:r>
          </w:p>
          <w:p w14:paraId="755AA90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înființarea instituțiilor responsabile cu operaționalizarea și monitorizarea infrastructurii de cicloturism (inclusiv a Centrului Național de Coordonare Velo);</w:t>
            </w:r>
          </w:p>
          <w:p w14:paraId="321337D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stabilirea tipologiilor și caracteristicilor traseelor cicloturistice;</w:t>
            </w:r>
          </w:p>
          <w:p w14:paraId="2651822E"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stimulente normative pentru utilizarea cicloturismului.</w:t>
            </w:r>
          </w:p>
        </w:tc>
      </w:tr>
      <w:tr w:rsidR="000A27B3" w:rsidRPr="000A27B3" w14:paraId="36332CFA"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1CF75360"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339</w:t>
            </w:r>
          </w:p>
        </w:tc>
        <w:tc>
          <w:tcPr>
            <w:tcW w:w="1586" w:type="dxa"/>
            <w:tcBorders>
              <w:top w:val="nil"/>
              <w:left w:val="nil"/>
              <w:bottom w:val="single" w:sz="4" w:space="0" w:color="auto"/>
              <w:right w:val="single" w:sz="4" w:space="0" w:color="auto"/>
            </w:tcBorders>
            <w:shd w:val="clear" w:color="auto" w:fill="C6EFCE"/>
            <w:noWrap/>
          </w:tcPr>
          <w:p w14:paraId="574654C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Reforma 2. Cadrul pentru operaționalizarea traseelor cicloturistice la nivel național</w:t>
            </w:r>
          </w:p>
        </w:tc>
        <w:tc>
          <w:tcPr>
            <w:tcW w:w="1302" w:type="dxa"/>
            <w:tcBorders>
              <w:top w:val="nil"/>
              <w:left w:val="nil"/>
              <w:bottom w:val="single" w:sz="4" w:space="0" w:color="auto"/>
              <w:right w:val="single" w:sz="4" w:space="0" w:color="auto"/>
            </w:tcBorders>
            <w:shd w:val="clear" w:color="auto" w:fill="C6EFCE"/>
            <w:noWrap/>
          </w:tcPr>
          <w:p w14:paraId="40302EE3"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1383A252"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Traseele Centrului Național de Coordonare Velo sunt instituite și operaționale </w:t>
            </w:r>
          </w:p>
        </w:tc>
        <w:tc>
          <w:tcPr>
            <w:tcW w:w="1658" w:type="dxa"/>
            <w:tcBorders>
              <w:top w:val="nil"/>
              <w:left w:val="nil"/>
              <w:bottom w:val="single" w:sz="4" w:space="0" w:color="auto"/>
              <w:right w:val="single" w:sz="4" w:space="0" w:color="auto"/>
            </w:tcBorders>
            <w:shd w:val="clear" w:color="auto" w:fill="C6EFCE"/>
            <w:noWrap/>
          </w:tcPr>
          <w:p w14:paraId="3BF6CDD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Adoptarea hotărârii de guvern pentru înființarea Centrului Național de Coordonare Velo </w:t>
            </w:r>
          </w:p>
          <w:p w14:paraId="0642EDAD" w14:textId="77777777" w:rsidR="007873BE" w:rsidRPr="009F1DC7" w:rsidRDefault="007873BE">
            <w:pPr>
              <w:spacing w:after="0" w:line="240" w:lineRule="auto"/>
              <w:jc w:val="both"/>
              <w:rPr>
                <w:rFonts w:ascii="Times New Roman" w:eastAsia="Times New Roman" w:hAnsi="Times New Roman" w:cs="Times New Roman"/>
                <w:noProof/>
                <w:sz w:val="24"/>
                <w:szCs w:val="24"/>
                <w:lang w:val="fr-FR" w:eastAsia="en-GB"/>
              </w:rPr>
            </w:pPr>
          </w:p>
        </w:tc>
        <w:tc>
          <w:tcPr>
            <w:tcW w:w="991" w:type="dxa"/>
            <w:tcBorders>
              <w:top w:val="nil"/>
              <w:left w:val="nil"/>
              <w:bottom w:val="single" w:sz="4" w:space="0" w:color="auto"/>
              <w:right w:val="single" w:sz="4" w:space="0" w:color="auto"/>
            </w:tcBorders>
            <w:shd w:val="clear" w:color="auto" w:fill="C6EFCE"/>
            <w:noWrap/>
          </w:tcPr>
          <w:p w14:paraId="50A4A70A" w14:textId="77777777" w:rsidR="007873BE" w:rsidRPr="009F1DC7" w:rsidRDefault="007873BE">
            <w:pPr>
              <w:spacing w:after="0" w:line="240" w:lineRule="auto"/>
              <w:rPr>
                <w:rFonts w:ascii="Times New Roman" w:eastAsia="Times New Roman" w:hAnsi="Times New Roman" w:cs="Times New Roman"/>
                <w:noProof/>
                <w:sz w:val="24"/>
                <w:szCs w:val="24"/>
                <w:lang w:val="fr-FR" w:eastAsia="en-GB"/>
              </w:rPr>
            </w:pPr>
          </w:p>
        </w:tc>
        <w:tc>
          <w:tcPr>
            <w:tcW w:w="1200" w:type="dxa"/>
            <w:tcBorders>
              <w:top w:val="nil"/>
              <w:left w:val="nil"/>
              <w:bottom w:val="single" w:sz="4" w:space="0" w:color="auto"/>
              <w:right w:val="single" w:sz="4" w:space="0" w:color="auto"/>
            </w:tcBorders>
            <w:shd w:val="clear" w:color="auto" w:fill="C6EFCE"/>
            <w:noWrap/>
          </w:tcPr>
          <w:p w14:paraId="57A91661" w14:textId="77777777" w:rsidR="007873BE" w:rsidRPr="009F1DC7" w:rsidRDefault="007873BE">
            <w:pPr>
              <w:spacing w:after="0" w:line="240" w:lineRule="auto"/>
              <w:rPr>
                <w:rFonts w:ascii="Times New Roman" w:eastAsia="Times New Roman" w:hAnsi="Times New Roman" w:cs="Times New Roman"/>
                <w:noProof/>
                <w:sz w:val="24"/>
                <w:szCs w:val="24"/>
                <w:lang w:val="fr-FR" w:eastAsia="en-GB"/>
              </w:rPr>
            </w:pPr>
          </w:p>
        </w:tc>
        <w:tc>
          <w:tcPr>
            <w:tcW w:w="1131" w:type="dxa"/>
            <w:tcBorders>
              <w:top w:val="nil"/>
              <w:left w:val="nil"/>
              <w:bottom w:val="single" w:sz="4" w:space="0" w:color="auto"/>
              <w:right w:val="single" w:sz="4" w:space="0" w:color="auto"/>
            </w:tcBorders>
            <w:shd w:val="clear" w:color="auto" w:fill="C6EFCE"/>
            <w:noWrap/>
          </w:tcPr>
          <w:p w14:paraId="0CCC68B9" w14:textId="77777777" w:rsidR="007873BE" w:rsidRPr="009F1DC7" w:rsidRDefault="007873BE">
            <w:pPr>
              <w:spacing w:after="0" w:line="240" w:lineRule="auto"/>
              <w:rPr>
                <w:rFonts w:ascii="Times New Roman" w:eastAsia="Times New Roman" w:hAnsi="Times New Roman" w:cs="Times New Roman"/>
                <w:noProof/>
                <w:sz w:val="24"/>
                <w:szCs w:val="24"/>
                <w:lang w:val="fr-FR" w:eastAsia="en-GB"/>
              </w:rPr>
            </w:pPr>
          </w:p>
        </w:tc>
        <w:tc>
          <w:tcPr>
            <w:tcW w:w="1269" w:type="dxa"/>
            <w:tcBorders>
              <w:top w:val="nil"/>
              <w:left w:val="nil"/>
              <w:bottom w:val="single" w:sz="4" w:space="0" w:color="auto"/>
              <w:right w:val="single" w:sz="4" w:space="0" w:color="auto"/>
            </w:tcBorders>
            <w:shd w:val="clear" w:color="auto" w:fill="C6EFCE"/>
            <w:noWrap/>
          </w:tcPr>
          <w:p w14:paraId="18DA40C0"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07F2BA6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05E6B5A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Centrul Național de Coordonare (CNC) pentru trasee velo va fi înființat în cadrul Ministerului Dezvoltării, Lucrărilor Publice și Administrației. CNC va deveni operațional și va începe elaborarea studiului și a aplicației eVelo.</w:t>
            </w:r>
          </w:p>
          <w:p w14:paraId="7ED46BA9" w14:textId="77777777" w:rsidR="007873BE" w:rsidRPr="009F1DC7" w:rsidRDefault="007873BE">
            <w:pPr>
              <w:spacing w:after="0" w:line="240" w:lineRule="auto"/>
              <w:jc w:val="both"/>
              <w:rPr>
                <w:rFonts w:ascii="Times New Roman" w:eastAsia="Times New Roman" w:hAnsi="Times New Roman" w:cs="Times New Roman"/>
                <w:noProof/>
                <w:sz w:val="24"/>
                <w:szCs w:val="24"/>
                <w:lang w:val="fr-FR" w:eastAsia="en-GB"/>
              </w:rPr>
            </w:pPr>
          </w:p>
        </w:tc>
      </w:tr>
      <w:tr w:rsidR="000A27B3" w:rsidRPr="000A27B3" w14:paraId="0A6B5196"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645152F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340</w:t>
            </w:r>
          </w:p>
        </w:tc>
        <w:tc>
          <w:tcPr>
            <w:tcW w:w="1586" w:type="dxa"/>
            <w:tcBorders>
              <w:top w:val="nil"/>
              <w:left w:val="nil"/>
              <w:bottom w:val="single" w:sz="4" w:space="0" w:color="auto"/>
              <w:right w:val="single" w:sz="4" w:space="0" w:color="auto"/>
            </w:tcBorders>
            <w:shd w:val="clear" w:color="auto" w:fill="C6EFCE"/>
            <w:noWrap/>
          </w:tcPr>
          <w:p w14:paraId="1EE83635"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Reforma 2. Cadrul pentru operaționalizarea traseelor cicloturistice la nivel național</w:t>
            </w:r>
          </w:p>
        </w:tc>
        <w:tc>
          <w:tcPr>
            <w:tcW w:w="1302" w:type="dxa"/>
            <w:tcBorders>
              <w:top w:val="nil"/>
              <w:left w:val="nil"/>
              <w:bottom w:val="single" w:sz="4" w:space="0" w:color="auto"/>
              <w:right w:val="single" w:sz="4" w:space="0" w:color="auto"/>
            </w:tcBorders>
            <w:shd w:val="clear" w:color="auto" w:fill="C6EFCE"/>
            <w:noWrap/>
          </w:tcPr>
          <w:p w14:paraId="4D744161"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7FFD13EE"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Studiu cuprinzător privind distribuția teritorială a traseelor cicloturistice naționale</w:t>
            </w:r>
          </w:p>
        </w:tc>
        <w:tc>
          <w:tcPr>
            <w:tcW w:w="1658" w:type="dxa"/>
            <w:tcBorders>
              <w:top w:val="nil"/>
              <w:left w:val="nil"/>
              <w:bottom w:val="single" w:sz="4" w:space="0" w:color="auto"/>
              <w:right w:val="single" w:sz="4" w:space="0" w:color="auto"/>
            </w:tcBorders>
            <w:shd w:val="clear" w:color="auto" w:fill="C6EFCE"/>
            <w:noWrap/>
          </w:tcPr>
          <w:p w14:paraId="2AF28EA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Studiu publicat</w:t>
            </w:r>
          </w:p>
        </w:tc>
        <w:tc>
          <w:tcPr>
            <w:tcW w:w="991" w:type="dxa"/>
            <w:tcBorders>
              <w:top w:val="nil"/>
              <w:left w:val="nil"/>
              <w:bottom w:val="single" w:sz="4" w:space="0" w:color="auto"/>
              <w:right w:val="single" w:sz="4" w:space="0" w:color="auto"/>
            </w:tcBorders>
            <w:shd w:val="clear" w:color="auto" w:fill="C6EFCE"/>
            <w:noWrap/>
          </w:tcPr>
          <w:p w14:paraId="3657FDAE"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68ABC198"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202EC5B4"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3D6349E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tcPr>
          <w:p w14:paraId="25180A80"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26579E94" w14:textId="45670201"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Studiul aprofundat va stabili distribuția teritorială a traseelor cicloturistice (2 404 km de piste pentru biciclete) pe baza unor criterii-cheie (de exemplu, reducerea congestiei traficului, promovarea ecoturismului), identificând actorii relevanți și integrând inițiativele existente de consolidare a patrimoniului natural și cultural, în conformitate cu cerințele prevăzute în cadrul jalonului 338. Pe baza rezultatelor studiului, se va lansa procesul de achiziții publice pentru punerea în practică a traseelor cicloturistice.</w:t>
            </w:r>
          </w:p>
        </w:tc>
      </w:tr>
      <w:tr w:rsidR="000A27B3" w:rsidRPr="000A27B3" w14:paraId="73A7D14E"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52259559"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341</w:t>
            </w:r>
          </w:p>
        </w:tc>
        <w:tc>
          <w:tcPr>
            <w:tcW w:w="1586" w:type="dxa"/>
            <w:tcBorders>
              <w:top w:val="nil"/>
              <w:left w:val="nil"/>
              <w:bottom w:val="single" w:sz="4" w:space="0" w:color="auto"/>
              <w:right w:val="single" w:sz="4" w:space="0" w:color="auto"/>
            </w:tcBorders>
            <w:shd w:val="clear" w:color="auto" w:fill="C6EFCE"/>
            <w:noWrap/>
          </w:tcPr>
          <w:p w14:paraId="06DF5778"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3. Instituirea și operaționalizarea Centrului Național de Coordonare Velo</w:t>
            </w:r>
          </w:p>
        </w:tc>
        <w:tc>
          <w:tcPr>
            <w:tcW w:w="1302" w:type="dxa"/>
            <w:tcBorders>
              <w:top w:val="nil"/>
              <w:left w:val="nil"/>
              <w:bottom w:val="single" w:sz="4" w:space="0" w:color="auto"/>
              <w:right w:val="single" w:sz="4" w:space="0" w:color="auto"/>
            </w:tcBorders>
            <w:shd w:val="clear" w:color="auto" w:fill="C6EFCE"/>
            <w:noWrap/>
          </w:tcPr>
          <w:p w14:paraId="412B4BC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3507833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Platforma națională integrată eVelo și aplicație pentru telefoane inteligente</w:t>
            </w:r>
          </w:p>
        </w:tc>
        <w:tc>
          <w:tcPr>
            <w:tcW w:w="1658" w:type="dxa"/>
            <w:tcBorders>
              <w:top w:val="nil"/>
              <w:left w:val="nil"/>
              <w:bottom w:val="single" w:sz="4" w:space="0" w:color="auto"/>
              <w:right w:val="single" w:sz="4" w:space="0" w:color="auto"/>
            </w:tcBorders>
            <w:shd w:val="clear" w:color="auto" w:fill="C6EFCE"/>
            <w:noWrap/>
          </w:tcPr>
          <w:p w14:paraId="7C42827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Dezvoltarea și publicarea platformei și a aplicației</w:t>
            </w:r>
          </w:p>
        </w:tc>
        <w:tc>
          <w:tcPr>
            <w:tcW w:w="991" w:type="dxa"/>
            <w:tcBorders>
              <w:top w:val="nil"/>
              <w:left w:val="nil"/>
              <w:bottom w:val="single" w:sz="4" w:space="0" w:color="auto"/>
              <w:right w:val="single" w:sz="4" w:space="0" w:color="auto"/>
            </w:tcBorders>
            <w:shd w:val="clear" w:color="auto" w:fill="C6EFCE"/>
            <w:noWrap/>
          </w:tcPr>
          <w:p w14:paraId="1E94F29E"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532C5EF4"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6843A263"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05B99173"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tcPr>
          <w:p w14:paraId="3B0DA851"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15FF067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Dezvoltarea și publicarea unei aplicații digitale integrate pentru furnizarea de informații tematice legate de cicloturism. Aplicația integrată include crearea platformei naționale eVelo (un site internet pentru traseele cicloturistice naționale) și a unei aplicații tematice pentru telefoane inteligente, în conformitate cu cerințele prevăzute în cadrul jalonului 340.</w:t>
            </w:r>
          </w:p>
        </w:tc>
      </w:tr>
      <w:tr w:rsidR="000A27B3" w:rsidRPr="000A27B3" w14:paraId="46E300AB"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0815818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342</w:t>
            </w:r>
          </w:p>
        </w:tc>
        <w:tc>
          <w:tcPr>
            <w:tcW w:w="1586" w:type="dxa"/>
            <w:tcBorders>
              <w:top w:val="nil"/>
              <w:left w:val="nil"/>
              <w:bottom w:val="single" w:sz="4" w:space="0" w:color="auto"/>
              <w:right w:val="single" w:sz="4" w:space="0" w:color="auto"/>
            </w:tcBorders>
            <w:shd w:val="clear" w:color="auto" w:fill="C6EFCE"/>
            <w:noWrap/>
          </w:tcPr>
          <w:p w14:paraId="3C16793F"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4.</w:t>
            </w:r>
          </w:p>
          <w:p w14:paraId="45364CFD" w14:textId="7CBD520D"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a 2 404 km de piste pentru biciclete</w:t>
            </w:r>
          </w:p>
        </w:tc>
        <w:tc>
          <w:tcPr>
            <w:tcW w:w="1302" w:type="dxa"/>
            <w:tcBorders>
              <w:top w:val="nil"/>
              <w:left w:val="nil"/>
              <w:bottom w:val="single" w:sz="4" w:space="0" w:color="auto"/>
              <w:right w:val="single" w:sz="4" w:space="0" w:color="auto"/>
            </w:tcBorders>
            <w:shd w:val="clear" w:color="auto" w:fill="C6EFCE"/>
            <w:noWrap/>
          </w:tcPr>
          <w:p w14:paraId="4F345D5A"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26EE1E9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Semnarea contractelor privind pistele pentru biciclete </w:t>
            </w:r>
          </w:p>
        </w:tc>
        <w:tc>
          <w:tcPr>
            <w:tcW w:w="1658" w:type="dxa"/>
            <w:tcBorders>
              <w:top w:val="nil"/>
              <w:left w:val="nil"/>
              <w:bottom w:val="single" w:sz="4" w:space="0" w:color="auto"/>
              <w:right w:val="single" w:sz="4" w:space="0" w:color="auto"/>
            </w:tcBorders>
            <w:shd w:val="clear" w:color="auto" w:fill="C6EFCE"/>
            <w:noWrap/>
          </w:tcPr>
          <w:p w14:paraId="18173E2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w:t>
            </w:r>
          </w:p>
        </w:tc>
        <w:tc>
          <w:tcPr>
            <w:tcW w:w="991" w:type="dxa"/>
            <w:tcBorders>
              <w:top w:val="nil"/>
              <w:left w:val="nil"/>
              <w:bottom w:val="single" w:sz="4" w:space="0" w:color="auto"/>
              <w:right w:val="single" w:sz="4" w:space="0" w:color="auto"/>
            </w:tcBorders>
            <w:shd w:val="clear" w:color="auto" w:fill="C6EFCE"/>
            <w:noWrap/>
          </w:tcPr>
          <w:p w14:paraId="4EB713DC"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6081CEA3"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6EE13CBF"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51E45D0D"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T4</w:t>
            </w:r>
          </w:p>
        </w:tc>
        <w:tc>
          <w:tcPr>
            <w:tcW w:w="720" w:type="dxa"/>
            <w:tcBorders>
              <w:top w:val="nil"/>
              <w:left w:val="nil"/>
              <w:bottom w:val="single" w:sz="4" w:space="0" w:color="auto"/>
              <w:right w:val="single" w:sz="4" w:space="0" w:color="auto"/>
            </w:tcBorders>
            <w:shd w:val="clear" w:color="auto" w:fill="C6EFCE"/>
            <w:noWrap/>
          </w:tcPr>
          <w:p w14:paraId="40D2AAB1"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6CEB2283" w14:textId="19FE710F"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Semnarea contractelor de finanțare pentru construirea a 2 404 km de noi piste pentru biciclete, în urma unui proces de licitație deschis și competitiv. Procesul de licitație va începe cu publicarea schemei de finanțare care stabilește eligibilitatea, criteriile și condițiile de atribuire a contractelor. Schema financiară va fi elaborată de Centrul Național de Coordonare Velo. </w:t>
            </w:r>
          </w:p>
          <w:p w14:paraId="1397F01B" w14:textId="58AC88CB"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După finalizarea procesului de licitație, vor începe lucrările pe cei 2 404 km de piste pentru biciclete.</w:t>
            </w:r>
          </w:p>
        </w:tc>
      </w:tr>
      <w:tr w:rsidR="000A27B3" w:rsidRPr="000A27B3" w14:paraId="6E5A8DB9"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0D9D7731"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343</w:t>
            </w:r>
          </w:p>
        </w:tc>
        <w:tc>
          <w:tcPr>
            <w:tcW w:w="1586" w:type="dxa"/>
            <w:tcBorders>
              <w:top w:val="nil"/>
              <w:left w:val="nil"/>
              <w:bottom w:val="single" w:sz="4" w:space="0" w:color="auto"/>
              <w:right w:val="single" w:sz="4" w:space="0" w:color="auto"/>
            </w:tcBorders>
            <w:shd w:val="clear" w:color="auto" w:fill="C6EFCE"/>
            <w:noWrap/>
          </w:tcPr>
          <w:p w14:paraId="6CF248D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4.</w:t>
            </w:r>
          </w:p>
          <w:p w14:paraId="25E09F12" w14:textId="2E66288E"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a 2 404</w:t>
            </w:r>
            <w:r w:rsidR="004C4C72">
              <w:rPr>
                <w:rFonts w:ascii="Times New Roman" w:hAnsi="Times New Roman"/>
                <w:noProof/>
                <w:sz w:val="24"/>
              </w:rPr>
              <w:t xml:space="preserve"> </w:t>
            </w:r>
            <w:r>
              <w:rPr>
                <w:rFonts w:ascii="Times New Roman" w:hAnsi="Times New Roman"/>
                <w:noProof/>
                <w:sz w:val="24"/>
              </w:rPr>
              <w:t>km de piste pentru biciclete</w:t>
            </w:r>
          </w:p>
        </w:tc>
        <w:tc>
          <w:tcPr>
            <w:tcW w:w="1302" w:type="dxa"/>
            <w:tcBorders>
              <w:top w:val="nil"/>
              <w:left w:val="nil"/>
              <w:bottom w:val="single" w:sz="4" w:space="0" w:color="auto"/>
              <w:right w:val="single" w:sz="4" w:space="0" w:color="auto"/>
            </w:tcBorders>
            <w:shd w:val="clear" w:color="auto" w:fill="C6EFCE"/>
            <w:noWrap/>
          </w:tcPr>
          <w:p w14:paraId="354335E7"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6E77B9E1"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Kilometri de piste pentru biciclete construite și accesibile pentru ciclism</w:t>
            </w:r>
          </w:p>
        </w:tc>
        <w:tc>
          <w:tcPr>
            <w:tcW w:w="1658" w:type="dxa"/>
            <w:tcBorders>
              <w:top w:val="nil"/>
              <w:left w:val="nil"/>
              <w:bottom w:val="single" w:sz="4" w:space="0" w:color="auto"/>
              <w:right w:val="single" w:sz="4" w:space="0" w:color="auto"/>
            </w:tcBorders>
            <w:shd w:val="clear" w:color="auto" w:fill="C6EFCE"/>
            <w:noWrap/>
          </w:tcPr>
          <w:p w14:paraId="0222DA36" w14:textId="77777777" w:rsidR="007873BE" w:rsidRPr="009F1DC7" w:rsidRDefault="007873BE">
            <w:pPr>
              <w:spacing w:after="0" w:line="240" w:lineRule="auto"/>
              <w:jc w:val="both"/>
              <w:rPr>
                <w:rFonts w:ascii="Times New Roman" w:eastAsia="Times New Roman" w:hAnsi="Times New Roman" w:cs="Times New Roman"/>
                <w:noProof/>
                <w:sz w:val="24"/>
                <w:szCs w:val="24"/>
                <w:lang w:val="fr-FR" w:eastAsia="en-GB"/>
              </w:rPr>
            </w:pPr>
          </w:p>
        </w:tc>
        <w:tc>
          <w:tcPr>
            <w:tcW w:w="991" w:type="dxa"/>
            <w:tcBorders>
              <w:top w:val="nil"/>
              <w:left w:val="nil"/>
              <w:bottom w:val="single" w:sz="4" w:space="0" w:color="auto"/>
              <w:right w:val="single" w:sz="4" w:space="0" w:color="auto"/>
            </w:tcBorders>
            <w:shd w:val="clear" w:color="auto" w:fill="C6EFCE"/>
            <w:noWrap/>
          </w:tcPr>
          <w:p w14:paraId="0E1A0BA2"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Kilometri (km)</w:t>
            </w:r>
          </w:p>
        </w:tc>
        <w:tc>
          <w:tcPr>
            <w:tcW w:w="1200" w:type="dxa"/>
            <w:tcBorders>
              <w:top w:val="nil"/>
              <w:left w:val="nil"/>
              <w:bottom w:val="single" w:sz="4" w:space="0" w:color="auto"/>
              <w:right w:val="single" w:sz="4" w:space="0" w:color="auto"/>
            </w:tcBorders>
            <w:shd w:val="clear" w:color="auto" w:fill="C6EFCE"/>
            <w:noWrap/>
          </w:tcPr>
          <w:p w14:paraId="183CFA4E"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765B5282" w14:textId="0157C8E3"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2 404</w:t>
            </w:r>
          </w:p>
        </w:tc>
        <w:tc>
          <w:tcPr>
            <w:tcW w:w="1269" w:type="dxa"/>
            <w:tcBorders>
              <w:top w:val="nil"/>
              <w:left w:val="nil"/>
              <w:bottom w:val="single" w:sz="4" w:space="0" w:color="auto"/>
              <w:right w:val="single" w:sz="4" w:space="0" w:color="auto"/>
            </w:tcBorders>
            <w:shd w:val="clear" w:color="auto" w:fill="C6EFCE"/>
            <w:noWrap/>
          </w:tcPr>
          <w:p w14:paraId="28792CB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4BB4C963"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2026</w:t>
            </w:r>
          </w:p>
        </w:tc>
        <w:tc>
          <w:tcPr>
            <w:tcW w:w="3641" w:type="dxa"/>
            <w:tcBorders>
              <w:top w:val="nil"/>
              <w:left w:val="nil"/>
              <w:bottom w:val="single" w:sz="4" w:space="0" w:color="auto"/>
              <w:right w:val="single" w:sz="4" w:space="0" w:color="auto"/>
            </w:tcBorders>
            <w:shd w:val="clear" w:color="auto" w:fill="C6EFCE"/>
            <w:noWrap/>
          </w:tcPr>
          <w:p w14:paraId="719EA631" w14:textId="361B8F51"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Cel puțin 2 404</w:t>
            </w:r>
            <w:r w:rsidR="004C4C72">
              <w:rPr>
                <w:rFonts w:ascii="Times New Roman" w:hAnsi="Times New Roman"/>
                <w:noProof/>
                <w:sz w:val="24"/>
              </w:rPr>
              <w:t xml:space="preserve"> </w:t>
            </w:r>
            <w:r>
              <w:rPr>
                <w:rFonts w:ascii="Times New Roman" w:hAnsi="Times New Roman"/>
                <w:noProof/>
                <w:sz w:val="24"/>
              </w:rPr>
              <w:t xml:space="preserve">km de piste pentru biciclete nou-construite și accesibile în locații definite pe baza rezultatelor studiului. </w:t>
            </w:r>
          </w:p>
        </w:tc>
      </w:tr>
      <w:tr w:rsidR="000A27B3" w:rsidRPr="000A27B3" w14:paraId="2CEB70F0"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22FBF004"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344</w:t>
            </w:r>
          </w:p>
        </w:tc>
        <w:tc>
          <w:tcPr>
            <w:tcW w:w="1586" w:type="dxa"/>
            <w:tcBorders>
              <w:top w:val="nil"/>
              <w:left w:val="nil"/>
              <w:bottom w:val="single" w:sz="4" w:space="0" w:color="auto"/>
              <w:right w:val="single" w:sz="4" w:space="0" w:color="auto"/>
            </w:tcBorders>
            <w:shd w:val="clear" w:color="auto" w:fill="C6EFCE"/>
            <w:noWrap/>
          </w:tcPr>
          <w:p w14:paraId="36337C0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Reforma 3. Reformarea sistemului de finanțare a sectorului cultural</w:t>
            </w:r>
          </w:p>
          <w:p w14:paraId="702A09AF"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17C2630E"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175ED9E5"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302" w:type="dxa"/>
            <w:tcBorders>
              <w:top w:val="nil"/>
              <w:left w:val="nil"/>
              <w:bottom w:val="single" w:sz="4" w:space="0" w:color="auto"/>
              <w:right w:val="single" w:sz="4" w:space="0" w:color="auto"/>
            </w:tcBorders>
            <w:shd w:val="clear" w:color="auto" w:fill="C6EFCE"/>
            <w:noWrap/>
          </w:tcPr>
          <w:p w14:paraId="2CD9D672"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3C04AC5B"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legii privind sistemul de finanțare a sectorului cultural</w:t>
            </w:r>
          </w:p>
          <w:p w14:paraId="1A54E9D7"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469B9B39" w14:textId="77777777" w:rsidR="007873BE" w:rsidRPr="000A27B3" w:rsidRDefault="007873BE">
            <w:pPr>
              <w:spacing w:after="0" w:line="240" w:lineRule="auto"/>
              <w:jc w:val="both"/>
              <w:rPr>
                <w:rFonts w:ascii="Times New Roman" w:hAnsi="Times New Roman" w:cs="Times New Roman"/>
                <w:noProof/>
                <w:sz w:val="24"/>
                <w:szCs w:val="24"/>
                <w:lang w:val="en-GB"/>
              </w:rPr>
            </w:pPr>
          </w:p>
          <w:p w14:paraId="5A9EA36F"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658" w:type="dxa"/>
            <w:tcBorders>
              <w:top w:val="nil"/>
              <w:left w:val="nil"/>
              <w:bottom w:val="single" w:sz="4" w:space="0" w:color="auto"/>
              <w:right w:val="single" w:sz="4" w:space="0" w:color="auto"/>
            </w:tcBorders>
            <w:shd w:val="clear" w:color="auto" w:fill="C6EFCE"/>
            <w:noWrap/>
          </w:tcPr>
          <w:p w14:paraId="12F0CF5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Dispoziție legală care indică intrarea în vigoare a cadrului legislativ pentru finanțarea sectorului cultural </w:t>
            </w:r>
          </w:p>
        </w:tc>
        <w:tc>
          <w:tcPr>
            <w:tcW w:w="991" w:type="dxa"/>
            <w:tcBorders>
              <w:top w:val="nil"/>
              <w:left w:val="nil"/>
              <w:bottom w:val="single" w:sz="4" w:space="0" w:color="auto"/>
              <w:right w:val="single" w:sz="4" w:space="0" w:color="auto"/>
            </w:tcBorders>
            <w:shd w:val="clear" w:color="auto" w:fill="C6EFCE"/>
            <w:noWrap/>
          </w:tcPr>
          <w:p w14:paraId="3B4EF34E"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00" w:type="dxa"/>
            <w:tcBorders>
              <w:top w:val="nil"/>
              <w:left w:val="nil"/>
              <w:bottom w:val="single" w:sz="4" w:space="0" w:color="auto"/>
              <w:right w:val="single" w:sz="4" w:space="0" w:color="auto"/>
            </w:tcBorders>
            <w:shd w:val="clear" w:color="auto" w:fill="C6EFCE"/>
            <w:noWrap/>
          </w:tcPr>
          <w:p w14:paraId="5ED8C1BD"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131" w:type="dxa"/>
            <w:tcBorders>
              <w:top w:val="nil"/>
              <w:left w:val="nil"/>
              <w:bottom w:val="single" w:sz="4" w:space="0" w:color="auto"/>
              <w:right w:val="single" w:sz="4" w:space="0" w:color="auto"/>
            </w:tcBorders>
            <w:shd w:val="clear" w:color="auto" w:fill="C6EFCE"/>
            <w:noWrap/>
          </w:tcPr>
          <w:p w14:paraId="3C8D57A9"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269" w:type="dxa"/>
            <w:tcBorders>
              <w:top w:val="nil"/>
              <w:left w:val="nil"/>
              <w:bottom w:val="single" w:sz="4" w:space="0" w:color="auto"/>
              <w:right w:val="single" w:sz="4" w:space="0" w:color="auto"/>
            </w:tcBorders>
            <w:shd w:val="clear" w:color="auto" w:fill="C6EFCE"/>
            <w:noWrap/>
          </w:tcPr>
          <w:p w14:paraId="1568CCB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tcPr>
          <w:p w14:paraId="7082EFB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2022</w:t>
            </w:r>
          </w:p>
        </w:tc>
        <w:tc>
          <w:tcPr>
            <w:tcW w:w="3641" w:type="dxa"/>
            <w:tcBorders>
              <w:top w:val="nil"/>
              <w:left w:val="nil"/>
              <w:bottom w:val="single" w:sz="4" w:space="0" w:color="auto"/>
              <w:right w:val="single" w:sz="4" w:space="0" w:color="auto"/>
            </w:tcBorders>
            <w:shd w:val="clear" w:color="auto" w:fill="C6EFCE"/>
            <w:noWrap/>
          </w:tcPr>
          <w:p w14:paraId="6A32E16C"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Jalonul se axează pe asigurarea unui sistem stabil de finanțare a proiectelor culturale. </w:t>
            </w:r>
          </w:p>
          <w:p w14:paraId="3CFED103" w14:textId="3DC34A78"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Legea actualizată va stabili un mecanism stabil de finanțare din bugetul de stat pentru sectorul cultural, axat pe: reducerea decalajului în ceea ce privește accesul la cultură între zonele rurale/orașele mici și marile zone urbane, sprijinirea diversității culturale și a incluziunii sociale și a egalității de gen, sprijinirea industriilor creative, creșterea potențialului economic al sectorului cultural. </w:t>
            </w:r>
          </w:p>
          <w:p w14:paraId="16A545B2"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Legile care vor fi aprobate și vor intra în vigoare sunt: </w:t>
            </w:r>
          </w:p>
          <w:p w14:paraId="5D6F7CD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cadrul legislativ privind finanțarea nerambursabilă a culturii (Ordonanța Guvernului 51/1998);</w:t>
            </w:r>
          </w:p>
          <w:p w14:paraId="1914AF94"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finanțarea în domeniul audiovizual în concordanță cu orientările comunitare.</w:t>
            </w:r>
          </w:p>
          <w:p w14:paraId="49A07D15" w14:textId="6AEE8E9B"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Modificările legislative se vor baza, printre altele, pe rezultatele obținute prin cartografierea ofertelor publice și private de servicii culturale la nivel național și local, pe identificarea și furnizarea unor surse suplimentare previzibile și transparente de finanțare, pe un mecanism de guvernanță cu responsabilități clare atribuite autorităților publice la nivel național și local; un mecanism de plată a fondurilor condiționat de realizarea indicatorilor-cheie de performanță asociați obiectivelor de politică.</w:t>
            </w:r>
          </w:p>
        </w:tc>
      </w:tr>
      <w:tr w:rsidR="000A27B3" w:rsidRPr="000A27B3" w14:paraId="1220EFD3"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5F5866A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345</w:t>
            </w:r>
          </w:p>
        </w:tc>
        <w:tc>
          <w:tcPr>
            <w:tcW w:w="1586" w:type="dxa"/>
            <w:tcBorders>
              <w:top w:val="nil"/>
              <w:left w:val="nil"/>
              <w:bottom w:val="single" w:sz="4" w:space="0" w:color="auto"/>
              <w:right w:val="single" w:sz="4" w:space="0" w:color="auto"/>
            </w:tcBorders>
            <w:shd w:val="clear" w:color="auto" w:fill="C6EFCE"/>
            <w:noWrap/>
          </w:tcPr>
          <w:p w14:paraId="5D66E8BC"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Reforma 3. Reformarea sistemului de finanțare a sectorului cultural</w:t>
            </w:r>
          </w:p>
          <w:p w14:paraId="4FFB6CDB"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302" w:type="dxa"/>
            <w:tcBorders>
              <w:top w:val="nil"/>
              <w:left w:val="nil"/>
              <w:bottom w:val="single" w:sz="4" w:space="0" w:color="auto"/>
              <w:right w:val="single" w:sz="4" w:space="0" w:color="auto"/>
            </w:tcBorders>
            <w:shd w:val="clear" w:color="auto" w:fill="C6EFCE"/>
            <w:noWrap/>
          </w:tcPr>
          <w:p w14:paraId="7B8BF15C"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42B7548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vigoare a legii privind statutul lucrătorilor din sectorul cultural</w:t>
            </w:r>
          </w:p>
        </w:tc>
        <w:tc>
          <w:tcPr>
            <w:tcW w:w="1658" w:type="dxa"/>
            <w:tcBorders>
              <w:top w:val="nil"/>
              <w:left w:val="nil"/>
              <w:bottom w:val="single" w:sz="4" w:space="0" w:color="auto"/>
              <w:right w:val="single" w:sz="4" w:space="0" w:color="auto"/>
            </w:tcBorders>
            <w:shd w:val="clear" w:color="auto" w:fill="C6EFCE"/>
            <w:noWrap/>
          </w:tcPr>
          <w:p w14:paraId="0E328D7F"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Dispoziție legală care indică intrarea în vigoare a cadrului legislativ pentru statutul lucrătorilor din sectorul cultural</w:t>
            </w:r>
          </w:p>
        </w:tc>
        <w:tc>
          <w:tcPr>
            <w:tcW w:w="991" w:type="dxa"/>
            <w:tcBorders>
              <w:top w:val="nil"/>
              <w:left w:val="nil"/>
              <w:bottom w:val="single" w:sz="4" w:space="0" w:color="auto"/>
              <w:right w:val="single" w:sz="4" w:space="0" w:color="auto"/>
            </w:tcBorders>
            <w:shd w:val="clear" w:color="auto" w:fill="C6EFCE"/>
            <w:noWrap/>
          </w:tcPr>
          <w:p w14:paraId="446AFB6E"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573C90F0"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49912932"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60E62D1E"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795DBC73"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2023</w:t>
            </w:r>
          </w:p>
        </w:tc>
        <w:tc>
          <w:tcPr>
            <w:tcW w:w="3641" w:type="dxa"/>
            <w:tcBorders>
              <w:top w:val="nil"/>
              <w:left w:val="nil"/>
              <w:bottom w:val="single" w:sz="4" w:space="0" w:color="auto"/>
              <w:right w:val="single" w:sz="4" w:space="0" w:color="auto"/>
            </w:tcBorders>
            <w:shd w:val="clear" w:color="auto" w:fill="C6EFCE"/>
            <w:noWrap/>
          </w:tcPr>
          <w:p w14:paraId="1C137ED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Un nou cadru legislativ privind statutul lucrătorilor din sectorul cultural va intra în vigoare, va include o gamă largă de politici și va propune măsuri concrete care să abordeze provocările specifice cu care se confruntă artiștii și care sunt menite să îi protejeze pe aceștia, cum ar fi:</w:t>
            </w:r>
          </w:p>
          <w:p w14:paraId="32F5C9B6" w14:textId="77777777" w:rsidR="007873BE" w:rsidRPr="000A27B3" w:rsidRDefault="007873BE" w:rsidP="007873BE">
            <w:pPr>
              <w:numPr>
                <w:ilvl w:val="0"/>
                <w:numId w:val="90"/>
              </w:numPr>
              <w:spacing w:before="120" w:after="0" w:line="240" w:lineRule="auto"/>
              <w:ind w:left="202" w:hanging="219"/>
              <w:contextualSpacing/>
              <w:jc w:val="both"/>
              <w:rPr>
                <w:rFonts w:ascii="Times New Roman" w:hAnsi="Times New Roman" w:cs="Times New Roman"/>
                <w:noProof/>
                <w:sz w:val="24"/>
                <w:szCs w:val="24"/>
              </w:rPr>
            </w:pPr>
            <w:r>
              <w:rPr>
                <w:rFonts w:ascii="Times New Roman" w:hAnsi="Times New Roman"/>
                <w:noProof/>
                <w:sz w:val="24"/>
              </w:rPr>
              <w:t>o definiție clară a încadrării în „muncă artistică” și „muncă culturală”, astfel cum sunt definite în documentele statelor membre și în documentele UE;</w:t>
            </w:r>
          </w:p>
          <w:p w14:paraId="1A480929" w14:textId="77777777" w:rsidR="007873BE" w:rsidRPr="000A27B3" w:rsidRDefault="007873BE" w:rsidP="007873BE">
            <w:pPr>
              <w:numPr>
                <w:ilvl w:val="0"/>
                <w:numId w:val="90"/>
              </w:numPr>
              <w:spacing w:before="120" w:after="0" w:line="240" w:lineRule="auto"/>
              <w:ind w:left="202" w:hanging="219"/>
              <w:contextualSpacing/>
              <w:jc w:val="both"/>
              <w:rPr>
                <w:rFonts w:ascii="Times New Roman" w:hAnsi="Times New Roman" w:cs="Times New Roman"/>
                <w:noProof/>
                <w:sz w:val="24"/>
                <w:szCs w:val="24"/>
              </w:rPr>
            </w:pPr>
            <w:r>
              <w:rPr>
                <w:rFonts w:ascii="Times New Roman" w:hAnsi="Times New Roman"/>
                <w:noProof/>
                <w:sz w:val="24"/>
              </w:rPr>
              <w:t>standarde și cerințe minime în domeniul de aplicare al cadrelor legislative și de protecție socială (de exemplu, condițiile de muncă, impozitarea și accesul la securitate socială și la alte prestații, remunerație echitabilă);</w:t>
            </w:r>
          </w:p>
          <w:p w14:paraId="58942CA8" w14:textId="77777777" w:rsidR="007873BE" w:rsidRPr="000A27B3" w:rsidRDefault="007873BE" w:rsidP="007873BE">
            <w:pPr>
              <w:numPr>
                <w:ilvl w:val="0"/>
                <w:numId w:val="90"/>
              </w:numPr>
              <w:spacing w:before="120" w:after="0" w:line="240" w:lineRule="auto"/>
              <w:ind w:left="202" w:hanging="219"/>
              <w:contextualSpacing/>
              <w:jc w:val="both"/>
              <w:rPr>
                <w:rFonts w:ascii="Times New Roman" w:hAnsi="Times New Roman" w:cs="Times New Roman"/>
                <w:noProof/>
                <w:sz w:val="24"/>
                <w:szCs w:val="24"/>
              </w:rPr>
            </w:pPr>
            <w:r>
              <w:rPr>
                <w:rFonts w:ascii="Times New Roman" w:hAnsi="Times New Roman"/>
                <w:noProof/>
                <w:sz w:val="24"/>
              </w:rPr>
              <w:t>dispoziții din sistemele de protecție socială care să le permită lucrătorilor din sectorul cultural să aibă acces la prestații, cum ar fi șomajul, protecția sănătății, împrumuturile bancare, finanțarea, pensiile;</w:t>
            </w:r>
          </w:p>
          <w:p w14:paraId="4781FCCD" w14:textId="77777777" w:rsidR="007873BE" w:rsidRPr="000A27B3" w:rsidRDefault="007873BE" w:rsidP="007873BE">
            <w:pPr>
              <w:numPr>
                <w:ilvl w:val="0"/>
                <w:numId w:val="90"/>
              </w:numPr>
              <w:spacing w:before="120" w:after="0" w:line="240" w:lineRule="auto"/>
              <w:ind w:left="202" w:hanging="219"/>
              <w:contextualSpacing/>
              <w:jc w:val="both"/>
              <w:rPr>
                <w:rFonts w:ascii="Times New Roman" w:hAnsi="Times New Roman" w:cs="Times New Roman"/>
                <w:noProof/>
                <w:sz w:val="24"/>
                <w:szCs w:val="24"/>
              </w:rPr>
            </w:pPr>
            <w:r>
              <w:rPr>
                <w:rFonts w:ascii="Times New Roman" w:hAnsi="Times New Roman"/>
                <w:noProof/>
                <w:sz w:val="24"/>
              </w:rPr>
              <w:t>instrumente pentru identificarea (juridică) a artistului cultural liber-profesionist (artiști și profesii conexe) și pentru crearea mecanismelor de includere în sistemul de protecție socială;</w:t>
            </w:r>
          </w:p>
          <w:p w14:paraId="60CC2128" w14:textId="5C1D7960" w:rsidR="007873BE" w:rsidRPr="000A27B3" w:rsidRDefault="007873BE" w:rsidP="007873BE">
            <w:pPr>
              <w:numPr>
                <w:ilvl w:val="0"/>
                <w:numId w:val="90"/>
              </w:numPr>
              <w:spacing w:before="120" w:after="0" w:line="240" w:lineRule="auto"/>
              <w:ind w:left="202" w:hanging="219"/>
              <w:contextualSpacing/>
              <w:jc w:val="both"/>
              <w:rPr>
                <w:rFonts w:ascii="Times New Roman" w:hAnsi="Times New Roman" w:cs="Times New Roman"/>
                <w:noProof/>
                <w:sz w:val="24"/>
                <w:szCs w:val="24"/>
              </w:rPr>
            </w:pPr>
            <w:r>
              <w:rPr>
                <w:rFonts w:ascii="Times New Roman" w:hAnsi="Times New Roman"/>
                <w:noProof/>
                <w:sz w:val="24"/>
              </w:rPr>
              <w:t xml:space="preserve">alte metode de îmbunătățire a statutului socioprofesional și a condițiilor lucrătorului din sectorul cultural. </w:t>
            </w:r>
          </w:p>
        </w:tc>
      </w:tr>
      <w:tr w:rsidR="000A27B3" w:rsidRPr="000A27B3" w14:paraId="4FD3A6E7"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149D2189"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346</w:t>
            </w:r>
          </w:p>
        </w:tc>
        <w:tc>
          <w:tcPr>
            <w:tcW w:w="1586" w:type="dxa"/>
            <w:tcBorders>
              <w:top w:val="nil"/>
              <w:left w:val="nil"/>
              <w:bottom w:val="single" w:sz="4" w:space="0" w:color="auto"/>
              <w:right w:val="single" w:sz="4" w:space="0" w:color="auto"/>
            </w:tcBorders>
            <w:shd w:val="clear" w:color="auto" w:fill="C6EFCE"/>
            <w:noWrap/>
          </w:tcPr>
          <w:p w14:paraId="6B1C3ADE"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5. Sporirea accesului la cultură în zonele defavorizate din punct de vedere cultural</w:t>
            </w:r>
          </w:p>
        </w:tc>
        <w:tc>
          <w:tcPr>
            <w:tcW w:w="1302" w:type="dxa"/>
            <w:tcBorders>
              <w:top w:val="nil"/>
              <w:left w:val="nil"/>
              <w:bottom w:val="single" w:sz="4" w:space="0" w:color="auto"/>
              <w:right w:val="single" w:sz="4" w:space="0" w:color="auto"/>
            </w:tcBorders>
            <w:shd w:val="clear" w:color="auto" w:fill="C6EFCE"/>
            <w:noWrap/>
          </w:tcPr>
          <w:p w14:paraId="350B360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0A24B39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 de finanțare</w:t>
            </w:r>
          </w:p>
        </w:tc>
        <w:tc>
          <w:tcPr>
            <w:tcW w:w="1658" w:type="dxa"/>
            <w:tcBorders>
              <w:top w:val="nil"/>
              <w:left w:val="nil"/>
              <w:bottom w:val="single" w:sz="4" w:space="0" w:color="auto"/>
              <w:right w:val="single" w:sz="4" w:space="0" w:color="auto"/>
            </w:tcBorders>
            <w:shd w:val="clear" w:color="auto" w:fill="C6EFCE"/>
            <w:noWrap/>
          </w:tcPr>
          <w:p w14:paraId="3D0A63CC"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Semnarea contractelor</w:t>
            </w:r>
          </w:p>
        </w:tc>
        <w:tc>
          <w:tcPr>
            <w:tcW w:w="991" w:type="dxa"/>
            <w:tcBorders>
              <w:top w:val="nil"/>
              <w:left w:val="nil"/>
              <w:bottom w:val="single" w:sz="4" w:space="0" w:color="auto"/>
              <w:right w:val="single" w:sz="4" w:space="0" w:color="auto"/>
            </w:tcBorders>
            <w:shd w:val="clear" w:color="auto" w:fill="C6EFCE"/>
            <w:noWrap/>
          </w:tcPr>
          <w:p w14:paraId="52A36EF0"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00" w:type="dxa"/>
            <w:tcBorders>
              <w:top w:val="nil"/>
              <w:left w:val="nil"/>
              <w:bottom w:val="single" w:sz="4" w:space="0" w:color="auto"/>
              <w:right w:val="single" w:sz="4" w:space="0" w:color="auto"/>
            </w:tcBorders>
            <w:shd w:val="clear" w:color="auto" w:fill="C6EFCE"/>
            <w:noWrap/>
          </w:tcPr>
          <w:p w14:paraId="62E3C141"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131" w:type="dxa"/>
            <w:tcBorders>
              <w:top w:val="nil"/>
              <w:left w:val="nil"/>
              <w:bottom w:val="single" w:sz="4" w:space="0" w:color="auto"/>
              <w:right w:val="single" w:sz="4" w:space="0" w:color="auto"/>
            </w:tcBorders>
            <w:shd w:val="clear" w:color="auto" w:fill="C6EFCE"/>
            <w:noWrap/>
          </w:tcPr>
          <w:p w14:paraId="5679D32C" w14:textId="77777777" w:rsidR="007873BE" w:rsidRPr="000A27B3" w:rsidRDefault="007873BE">
            <w:pPr>
              <w:spacing w:after="0" w:line="240" w:lineRule="auto"/>
              <w:rPr>
                <w:rFonts w:ascii="Times New Roman" w:eastAsia="Times New Roman" w:hAnsi="Times New Roman" w:cs="Times New Roman"/>
                <w:noProof/>
                <w:sz w:val="24"/>
                <w:szCs w:val="24"/>
                <w:lang w:val="en-GB" w:eastAsia="en-GB"/>
              </w:rPr>
            </w:pPr>
          </w:p>
        </w:tc>
        <w:tc>
          <w:tcPr>
            <w:tcW w:w="1269" w:type="dxa"/>
            <w:tcBorders>
              <w:top w:val="nil"/>
              <w:left w:val="nil"/>
              <w:bottom w:val="single" w:sz="4" w:space="0" w:color="auto"/>
              <w:right w:val="single" w:sz="4" w:space="0" w:color="auto"/>
            </w:tcBorders>
            <w:shd w:val="clear" w:color="auto" w:fill="C6EFCE"/>
            <w:noWrap/>
          </w:tcPr>
          <w:p w14:paraId="1AA722C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18EE7720"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2023</w:t>
            </w:r>
          </w:p>
        </w:tc>
        <w:tc>
          <w:tcPr>
            <w:tcW w:w="3641" w:type="dxa"/>
            <w:tcBorders>
              <w:top w:val="nil"/>
              <w:left w:val="nil"/>
              <w:bottom w:val="single" w:sz="4" w:space="0" w:color="auto"/>
              <w:right w:val="single" w:sz="4" w:space="0" w:color="auto"/>
            </w:tcBorders>
            <w:shd w:val="clear" w:color="auto" w:fill="C6EFCE"/>
            <w:noWrap/>
          </w:tcPr>
          <w:p w14:paraId="0F5CD501"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Contractele urmează să fie semnate între operatorii culturali și organismul de finanțare publică, pentru a stabili cadrul juridic de cheltuire a sprijinului pentru accesul la cultură în zonele rurale și în orașele mici cu servicii culturale publice reduse sau inexistente, prin proiecte culturale. </w:t>
            </w:r>
          </w:p>
          <w:p w14:paraId="77643AB0"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Contractele vor fi atribuie de către Administrația Fondului Național Cultural, în urma unei proceduri de licitație deschise și competitive. </w:t>
            </w:r>
          </w:p>
          <w:p w14:paraId="5B2C5C09"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Criterii de selecție pentru atribuirea contractelor: numărul/tipurile de beneficiari/participanți, beneficii educaționale pe termen scurt, mediu și lung, obiective educaționale (istorie, geografie, logică etc.), criterii artistice/creative, criterii ecologice/de biodiversitate/de natură/de mediu, criterii de incluziune.</w:t>
            </w:r>
          </w:p>
        </w:tc>
      </w:tr>
      <w:tr w:rsidR="000A27B3" w:rsidRPr="000A27B3" w14:paraId="694C050A"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05B6B96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347</w:t>
            </w:r>
          </w:p>
        </w:tc>
        <w:tc>
          <w:tcPr>
            <w:tcW w:w="1586" w:type="dxa"/>
            <w:tcBorders>
              <w:top w:val="nil"/>
              <w:left w:val="nil"/>
              <w:bottom w:val="single" w:sz="4" w:space="0" w:color="auto"/>
              <w:right w:val="single" w:sz="4" w:space="0" w:color="auto"/>
            </w:tcBorders>
            <w:shd w:val="clear" w:color="auto" w:fill="C6EFCE"/>
            <w:noWrap/>
          </w:tcPr>
          <w:p w14:paraId="4DF32A7D"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5. Sporirea accesului la cultură în zonele defavorizate din punct de vedere cultural</w:t>
            </w:r>
          </w:p>
        </w:tc>
        <w:tc>
          <w:tcPr>
            <w:tcW w:w="1302" w:type="dxa"/>
            <w:tcBorders>
              <w:top w:val="nil"/>
              <w:left w:val="nil"/>
              <w:bottom w:val="single" w:sz="4" w:space="0" w:color="auto"/>
              <w:right w:val="single" w:sz="4" w:space="0" w:color="auto"/>
            </w:tcBorders>
            <w:shd w:val="clear" w:color="auto" w:fill="C6EFCE"/>
            <w:noWrap/>
          </w:tcPr>
          <w:p w14:paraId="04B1CC3D"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33F4F6EF"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Localități mici cu acces sporit la cultură</w:t>
            </w:r>
          </w:p>
        </w:tc>
        <w:tc>
          <w:tcPr>
            <w:tcW w:w="1658" w:type="dxa"/>
            <w:tcBorders>
              <w:top w:val="nil"/>
              <w:left w:val="nil"/>
              <w:bottom w:val="single" w:sz="4" w:space="0" w:color="auto"/>
              <w:right w:val="single" w:sz="4" w:space="0" w:color="auto"/>
            </w:tcBorders>
            <w:shd w:val="clear" w:color="auto" w:fill="C6EFCE"/>
            <w:noWrap/>
          </w:tcPr>
          <w:p w14:paraId="57B20032" w14:textId="77777777" w:rsidR="007873BE" w:rsidRPr="009F1DC7" w:rsidRDefault="007873BE">
            <w:pPr>
              <w:spacing w:after="0" w:line="240" w:lineRule="auto"/>
              <w:jc w:val="both"/>
              <w:rPr>
                <w:rFonts w:ascii="Times New Roman" w:eastAsia="Times New Roman" w:hAnsi="Times New Roman" w:cs="Times New Roman"/>
                <w:noProof/>
                <w:sz w:val="24"/>
                <w:szCs w:val="24"/>
                <w:lang w:val="fr-FR" w:eastAsia="en-GB"/>
              </w:rPr>
            </w:pPr>
          </w:p>
        </w:tc>
        <w:tc>
          <w:tcPr>
            <w:tcW w:w="991" w:type="dxa"/>
            <w:tcBorders>
              <w:top w:val="nil"/>
              <w:left w:val="nil"/>
              <w:bottom w:val="single" w:sz="4" w:space="0" w:color="auto"/>
              <w:right w:val="single" w:sz="4" w:space="0" w:color="auto"/>
            </w:tcBorders>
            <w:shd w:val="clear" w:color="auto" w:fill="C6EFCE"/>
            <w:noWrap/>
          </w:tcPr>
          <w:p w14:paraId="62BE620B"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Număr</w:t>
            </w:r>
          </w:p>
        </w:tc>
        <w:tc>
          <w:tcPr>
            <w:tcW w:w="1200" w:type="dxa"/>
            <w:tcBorders>
              <w:top w:val="nil"/>
              <w:left w:val="nil"/>
              <w:bottom w:val="single" w:sz="4" w:space="0" w:color="auto"/>
              <w:right w:val="single" w:sz="4" w:space="0" w:color="auto"/>
            </w:tcBorders>
            <w:shd w:val="clear" w:color="auto" w:fill="C6EFCE"/>
            <w:noWrap/>
          </w:tcPr>
          <w:p w14:paraId="3CC41EB5"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4ADAD002"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50</w:t>
            </w:r>
          </w:p>
        </w:tc>
        <w:tc>
          <w:tcPr>
            <w:tcW w:w="1269" w:type="dxa"/>
            <w:tcBorders>
              <w:top w:val="nil"/>
              <w:left w:val="nil"/>
              <w:bottom w:val="single" w:sz="4" w:space="0" w:color="auto"/>
              <w:right w:val="single" w:sz="4" w:space="0" w:color="auto"/>
            </w:tcBorders>
            <w:shd w:val="clear" w:color="auto" w:fill="C6EFCE"/>
            <w:noWrap/>
          </w:tcPr>
          <w:p w14:paraId="476AB6CA"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T2</w:t>
            </w:r>
          </w:p>
        </w:tc>
        <w:tc>
          <w:tcPr>
            <w:tcW w:w="720" w:type="dxa"/>
            <w:tcBorders>
              <w:top w:val="nil"/>
              <w:left w:val="nil"/>
              <w:bottom w:val="single" w:sz="4" w:space="0" w:color="auto"/>
              <w:right w:val="single" w:sz="4" w:space="0" w:color="auto"/>
            </w:tcBorders>
            <w:shd w:val="clear" w:color="auto" w:fill="C6EFCE"/>
            <w:noWrap/>
          </w:tcPr>
          <w:p w14:paraId="63F349F5"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2024</w:t>
            </w:r>
          </w:p>
        </w:tc>
        <w:tc>
          <w:tcPr>
            <w:tcW w:w="3641" w:type="dxa"/>
            <w:tcBorders>
              <w:top w:val="nil"/>
              <w:left w:val="nil"/>
              <w:bottom w:val="single" w:sz="4" w:space="0" w:color="auto"/>
              <w:right w:val="single" w:sz="4" w:space="0" w:color="auto"/>
            </w:tcBorders>
            <w:shd w:val="clear" w:color="auto" w:fill="C6EFCE"/>
            <w:noWrap/>
          </w:tcPr>
          <w:p w14:paraId="07692F66" w14:textId="0838EEC9"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50 de localități cu o populație mai mică de 50 000 de locuitori vor beneficia de punerea în aplicare a două programe-pilot de finanțare care vor viza dezvoltarea unor proiecte culturale și/sau de educație culturală.</w:t>
            </w:r>
          </w:p>
        </w:tc>
      </w:tr>
      <w:tr w:rsidR="000A27B3" w:rsidRPr="000A27B3" w14:paraId="5A3F6B38"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hideMark/>
          </w:tcPr>
          <w:p w14:paraId="246A3830"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348</w:t>
            </w:r>
          </w:p>
        </w:tc>
        <w:tc>
          <w:tcPr>
            <w:tcW w:w="1586" w:type="dxa"/>
            <w:tcBorders>
              <w:top w:val="nil"/>
              <w:left w:val="nil"/>
              <w:bottom w:val="single" w:sz="4" w:space="0" w:color="auto"/>
              <w:right w:val="single" w:sz="4" w:space="0" w:color="auto"/>
            </w:tcBorders>
            <w:shd w:val="clear" w:color="auto" w:fill="C6EFCE"/>
            <w:noWrap/>
            <w:hideMark/>
          </w:tcPr>
          <w:p w14:paraId="19FA3DF7"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6. Dezvoltarea unui sistem digital pentru procesele de finanțare a culturii</w:t>
            </w:r>
          </w:p>
        </w:tc>
        <w:tc>
          <w:tcPr>
            <w:tcW w:w="1302" w:type="dxa"/>
            <w:tcBorders>
              <w:top w:val="nil"/>
              <w:left w:val="nil"/>
              <w:bottom w:val="single" w:sz="4" w:space="0" w:color="auto"/>
              <w:right w:val="single" w:sz="4" w:space="0" w:color="auto"/>
            </w:tcBorders>
            <w:shd w:val="clear" w:color="auto" w:fill="C6EFCE"/>
            <w:noWrap/>
            <w:hideMark/>
          </w:tcPr>
          <w:p w14:paraId="3027ECDF"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hideMark/>
          </w:tcPr>
          <w:p w14:paraId="06B6ED13"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sistemului digital</w:t>
            </w:r>
          </w:p>
          <w:p w14:paraId="32B19F03" w14:textId="77777777" w:rsidR="007873BE" w:rsidRPr="000A27B3" w:rsidRDefault="007873BE">
            <w:pPr>
              <w:spacing w:after="0" w:line="240" w:lineRule="auto"/>
              <w:jc w:val="both"/>
              <w:rPr>
                <w:rFonts w:ascii="Times New Roman" w:eastAsia="Times New Roman" w:hAnsi="Times New Roman" w:cs="Times New Roman"/>
                <w:noProof/>
                <w:sz w:val="24"/>
                <w:szCs w:val="24"/>
                <w:lang w:val="en-GB" w:eastAsia="en-GB"/>
              </w:rPr>
            </w:pPr>
          </w:p>
        </w:tc>
        <w:tc>
          <w:tcPr>
            <w:tcW w:w="1658" w:type="dxa"/>
            <w:tcBorders>
              <w:top w:val="nil"/>
              <w:left w:val="nil"/>
              <w:bottom w:val="single" w:sz="4" w:space="0" w:color="auto"/>
              <w:right w:val="single" w:sz="4" w:space="0" w:color="auto"/>
            </w:tcBorders>
            <w:shd w:val="clear" w:color="auto" w:fill="C6EFCE"/>
            <w:noWrap/>
            <w:hideMark/>
          </w:tcPr>
          <w:p w14:paraId="632DF6E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Sunt operaționale platforme și sisteme digitale</w:t>
            </w:r>
          </w:p>
          <w:p w14:paraId="7565DA53" w14:textId="77777777" w:rsidR="007873BE" w:rsidRPr="009F1DC7" w:rsidRDefault="007873BE">
            <w:pPr>
              <w:spacing w:after="0" w:line="240" w:lineRule="auto"/>
              <w:jc w:val="both"/>
              <w:rPr>
                <w:rFonts w:ascii="Times New Roman" w:eastAsia="Times New Roman" w:hAnsi="Times New Roman" w:cs="Times New Roman"/>
                <w:noProof/>
                <w:sz w:val="24"/>
                <w:szCs w:val="24"/>
                <w:lang w:val="de-DE" w:eastAsia="en-GB"/>
              </w:rPr>
            </w:pPr>
          </w:p>
        </w:tc>
        <w:tc>
          <w:tcPr>
            <w:tcW w:w="991" w:type="dxa"/>
            <w:tcBorders>
              <w:top w:val="nil"/>
              <w:left w:val="nil"/>
              <w:bottom w:val="single" w:sz="4" w:space="0" w:color="auto"/>
              <w:right w:val="single" w:sz="4" w:space="0" w:color="auto"/>
            </w:tcBorders>
            <w:shd w:val="clear" w:color="auto" w:fill="C6EFCE"/>
            <w:noWrap/>
            <w:hideMark/>
          </w:tcPr>
          <w:p w14:paraId="5F759D42" w14:textId="77777777" w:rsidR="007873BE" w:rsidRPr="009F1DC7" w:rsidRDefault="007873BE">
            <w:pPr>
              <w:spacing w:after="0" w:line="240" w:lineRule="auto"/>
              <w:rPr>
                <w:rFonts w:ascii="Times New Roman" w:eastAsia="Times New Roman" w:hAnsi="Times New Roman" w:cs="Times New Roman"/>
                <w:noProof/>
                <w:sz w:val="24"/>
                <w:szCs w:val="24"/>
                <w:lang w:val="de-DE" w:eastAsia="en-GB"/>
              </w:rPr>
            </w:pPr>
          </w:p>
        </w:tc>
        <w:tc>
          <w:tcPr>
            <w:tcW w:w="1200" w:type="dxa"/>
            <w:tcBorders>
              <w:top w:val="nil"/>
              <w:left w:val="nil"/>
              <w:bottom w:val="single" w:sz="4" w:space="0" w:color="auto"/>
              <w:right w:val="single" w:sz="4" w:space="0" w:color="auto"/>
            </w:tcBorders>
            <w:shd w:val="clear" w:color="auto" w:fill="C6EFCE"/>
            <w:noWrap/>
            <w:hideMark/>
          </w:tcPr>
          <w:p w14:paraId="3E1ED79A" w14:textId="77777777" w:rsidR="007873BE" w:rsidRPr="009F1DC7" w:rsidRDefault="007873BE">
            <w:pPr>
              <w:spacing w:after="0" w:line="240" w:lineRule="auto"/>
              <w:rPr>
                <w:rFonts w:ascii="Times New Roman" w:eastAsia="Times New Roman" w:hAnsi="Times New Roman" w:cs="Times New Roman"/>
                <w:noProof/>
                <w:sz w:val="24"/>
                <w:szCs w:val="24"/>
                <w:lang w:val="de-DE" w:eastAsia="en-GB"/>
              </w:rPr>
            </w:pPr>
          </w:p>
        </w:tc>
        <w:tc>
          <w:tcPr>
            <w:tcW w:w="1131" w:type="dxa"/>
            <w:tcBorders>
              <w:top w:val="nil"/>
              <w:left w:val="nil"/>
              <w:bottom w:val="single" w:sz="4" w:space="0" w:color="auto"/>
              <w:right w:val="single" w:sz="4" w:space="0" w:color="auto"/>
            </w:tcBorders>
            <w:shd w:val="clear" w:color="auto" w:fill="C6EFCE"/>
            <w:noWrap/>
            <w:hideMark/>
          </w:tcPr>
          <w:p w14:paraId="4041F4A1" w14:textId="77777777" w:rsidR="007873BE" w:rsidRPr="009F1DC7" w:rsidRDefault="007873BE">
            <w:pPr>
              <w:spacing w:after="0" w:line="240" w:lineRule="auto"/>
              <w:rPr>
                <w:rFonts w:ascii="Times New Roman" w:eastAsia="Times New Roman" w:hAnsi="Times New Roman" w:cs="Times New Roman"/>
                <w:noProof/>
                <w:sz w:val="24"/>
                <w:szCs w:val="24"/>
                <w:lang w:val="de-DE" w:eastAsia="en-GB"/>
              </w:rPr>
            </w:pPr>
          </w:p>
        </w:tc>
        <w:tc>
          <w:tcPr>
            <w:tcW w:w="1269" w:type="dxa"/>
            <w:tcBorders>
              <w:top w:val="nil"/>
              <w:left w:val="nil"/>
              <w:bottom w:val="single" w:sz="4" w:space="0" w:color="auto"/>
              <w:right w:val="single" w:sz="4" w:space="0" w:color="auto"/>
            </w:tcBorders>
            <w:shd w:val="clear" w:color="auto" w:fill="C6EFCE"/>
            <w:noWrap/>
            <w:hideMark/>
          </w:tcPr>
          <w:p w14:paraId="3D529B7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hideMark/>
          </w:tcPr>
          <w:p w14:paraId="2523931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2023</w:t>
            </w:r>
          </w:p>
        </w:tc>
        <w:tc>
          <w:tcPr>
            <w:tcW w:w="3641" w:type="dxa"/>
            <w:tcBorders>
              <w:top w:val="nil"/>
              <w:left w:val="nil"/>
              <w:bottom w:val="single" w:sz="4" w:space="0" w:color="auto"/>
              <w:right w:val="single" w:sz="4" w:space="0" w:color="auto"/>
            </w:tcBorders>
            <w:shd w:val="clear" w:color="auto" w:fill="C6EFCE"/>
            <w:noWrap/>
            <w:hideMark/>
          </w:tcPr>
          <w:p w14:paraId="60CF28FB"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Acest jalon se referă la dezvoltarea unor sisteme digitale care:</w:t>
            </w:r>
          </w:p>
          <w:p w14:paraId="06640B8A"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vor facilita accesul la finanțare pentru operatorii culturali naționali prin cereri de finanțare simplificate și digitalizate, evaluarea proiectelor, contractare, monitorizare și evaluare, plată a finanțării, evaluare </w:t>
            </w:r>
            <w:r>
              <w:rPr>
                <w:rFonts w:ascii="Times New Roman" w:hAnsi="Times New Roman"/>
                <w:i/>
                <w:noProof/>
                <w:sz w:val="24"/>
              </w:rPr>
              <w:t>ex post</w:t>
            </w:r>
            <w:r>
              <w:rPr>
                <w:rFonts w:ascii="Times New Roman" w:hAnsi="Times New Roman"/>
                <w:noProof/>
                <w:sz w:val="24"/>
              </w:rPr>
              <w:t>;</w:t>
            </w:r>
          </w:p>
          <w:p w14:paraId="471B6541"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 vor înregistra toate granturile culturale publice deja acordate pentru a preveni dubla finanțare; </w:t>
            </w:r>
          </w:p>
          <w:p w14:paraId="01084A54"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vor fi utilizate ca instrument de colectare a datelor legate de cheltuielile culturale la nivelul tuturor localităților și regiunilor și al fiecărei localități și regiuni în parte, cu privire la costurile culturale per tip de proiecte și vor permite luarea unei decizii bazate pe dovezi în domeniul politicii culturale;</w:t>
            </w:r>
          </w:p>
          <w:p w14:paraId="36183895"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vor permite accesul transparent la proiecte neconfidențiale, la informații pentru promotorii de proiecte și pentru publicul larg.</w:t>
            </w:r>
          </w:p>
        </w:tc>
      </w:tr>
      <w:tr w:rsidR="000A27B3" w:rsidRPr="000A27B3" w14:paraId="0AEF023B"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4E01266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349</w:t>
            </w:r>
          </w:p>
        </w:tc>
        <w:tc>
          <w:tcPr>
            <w:tcW w:w="1586" w:type="dxa"/>
            <w:tcBorders>
              <w:top w:val="nil"/>
              <w:left w:val="nil"/>
              <w:bottom w:val="single" w:sz="4" w:space="0" w:color="auto"/>
              <w:right w:val="single" w:sz="4" w:space="0" w:color="auto"/>
            </w:tcBorders>
            <w:shd w:val="clear" w:color="auto" w:fill="C6EFCE"/>
            <w:noWrap/>
          </w:tcPr>
          <w:p w14:paraId="1D2AF5D7"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7. Accelerarea digitalizării producției și distribuției de filme</w:t>
            </w:r>
          </w:p>
        </w:tc>
        <w:tc>
          <w:tcPr>
            <w:tcW w:w="1302" w:type="dxa"/>
            <w:tcBorders>
              <w:top w:val="nil"/>
              <w:left w:val="nil"/>
              <w:bottom w:val="single" w:sz="4" w:space="0" w:color="auto"/>
              <w:right w:val="single" w:sz="4" w:space="0" w:color="auto"/>
            </w:tcBorders>
            <w:shd w:val="clear" w:color="auto" w:fill="C6EFCE"/>
            <w:noWrap/>
          </w:tcPr>
          <w:p w14:paraId="14260A55"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Jalon</w:t>
            </w:r>
          </w:p>
        </w:tc>
        <w:tc>
          <w:tcPr>
            <w:tcW w:w="1518" w:type="dxa"/>
            <w:tcBorders>
              <w:top w:val="nil"/>
              <w:left w:val="nil"/>
              <w:bottom w:val="single" w:sz="4" w:space="0" w:color="auto"/>
              <w:right w:val="single" w:sz="4" w:space="0" w:color="auto"/>
            </w:tcBorders>
            <w:shd w:val="clear" w:color="auto" w:fill="C6EFCE"/>
            <w:noWrap/>
          </w:tcPr>
          <w:p w14:paraId="12670E7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de finanțare</w:t>
            </w:r>
          </w:p>
          <w:p w14:paraId="16A28575" w14:textId="77777777" w:rsidR="007873BE" w:rsidRPr="000A27B3" w:rsidRDefault="007873BE">
            <w:pPr>
              <w:spacing w:after="0" w:line="240" w:lineRule="auto"/>
              <w:jc w:val="both"/>
              <w:rPr>
                <w:rFonts w:ascii="Times New Roman" w:hAnsi="Times New Roman" w:cs="Times New Roman"/>
                <w:noProof/>
                <w:sz w:val="24"/>
                <w:szCs w:val="24"/>
                <w:lang w:val="en-GB"/>
              </w:rPr>
            </w:pPr>
          </w:p>
        </w:tc>
        <w:tc>
          <w:tcPr>
            <w:tcW w:w="1658" w:type="dxa"/>
            <w:tcBorders>
              <w:top w:val="nil"/>
              <w:left w:val="nil"/>
              <w:bottom w:val="single" w:sz="4" w:space="0" w:color="auto"/>
              <w:right w:val="single" w:sz="4" w:space="0" w:color="auto"/>
            </w:tcBorders>
            <w:shd w:val="clear" w:color="auto" w:fill="C6EFCE"/>
            <w:noWrap/>
          </w:tcPr>
          <w:p w14:paraId="73E6A30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991" w:type="dxa"/>
            <w:tcBorders>
              <w:top w:val="nil"/>
              <w:left w:val="nil"/>
              <w:bottom w:val="single" w:sz="4" w:space="0" w:color="auto"/>
              <w:right w:val="single" w:sz="4" w:space="0" w:color="auto"/>
            </w:tcBorders>
            <w:shd w:val="clear" w:color="auto" w:fill="C6EFCE"/>
            <w:noWrap/>
          </w:tcPr>
          <w:p w14:paraId="720864D5" w14:textId="77777777" w:rsidR="007873BE" w:rsidRPr="000A27B3" w:rsidRDefault="007873BE">
            <w:pPr>
              <w:spacing w:after="0" w:line="240" w:lineRule="auto"/>
              <w:rPr>
                <w:rFonts w:ascii="Times New Roman" w:eastAsia="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471128CE" w14:textId="77777777" w:rsidR="007873BE" w:rsidRPr="000A27B3" w:rsidRDefault="007873BE">
            <w:pPr>
              <w:spacing w:after="0" w:line="240" w:lineRule="auto"/>
              <w:rPr>
                <w:rFonts w:ascii="Times New Roman" w:eastAsia="Times New Roman" w:hAnsi="Times New Roman" w:cs="Times New Roman"/>
                <w:noProof/>
                <w:sz w:val="24"/>
                <w:szCs w:val="24"/>
                <w:lang w:val="en-GB"/>
              </w:rPr>
            </w:pPr>
          </w:p>
        </w:tc>
        <w:tc>
          <w:tcPr>
            <w:tcW w:w="1131" w:type="dxa"/>
            <w:tcBorders>
              <w:top w:val="nil"/>
              <w:left w:val="nil"/>
              <w:bottom w:val="single" w:sz="4" w:space="0" w:color="auto"/>
              <w:right w:val="single" w:sz="4" w:space="0" w:color="auto"/>
            </w:tcBorders>
            <w:shd w:val="clear" w:color="auto" w:fill="C6EFCE"/>
            <w:noWrap/>
          </w:tcPr>
          <w:p w14:paraId="78573030" w14:textId="77777777" w:rsidR="007873BE" w:rsidRPr="000A27B3" w:rsidRDefault="007873BE">
            <w:pPr>
              <w:spacing w:after="0" w:line="240" w:lineRule="auto"/>
              <w:rPr>
                <w:rFonts w:ascii="Times New Roman" w:eastAsia="Times New Roman" w:hAnsi="Times New Roman" w:cs="Times New Roman"/>
                <w:noProof/>
                <w:sz w:val="24"/>
                <w:szCs w:val="24"/>
                <w:lang w:val="en-GB"/>
              </w:rPr>
            </w:pPr>
          </w:p>
        </w:tc>
        <w:tc>
          <w:tcPr>
            <w:tcW w:w="1269" w:type="dxa"/>
            <w:tcBorders>
              <w:top w:val="nil"/>
              <w:left w:val="nil"/>
              <w:bottom w:val="single" w:sz="4" w:space="0" w:color="auto"/>
              <w:right w:val="single" w:sz="4" w:space="0" w:color="auto"/>
            </w:tcBorders>
            <w:shd w:val="clear" w:color="auto" w:fill="C6EFCE"/>
            <w:noWrap/>
          </w:tcPr>
          <w:p w14:paraId="43E09AF9"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0" w:type="dxa"/>
            <w:tcBorders>
              <w:top w:val="nil"/>
              <w:left w:val="nil"/>
              <w:bottom w:val="single" w:sz="4" w:space="0" w:color="auto"/>
              <w:right w:val="single" w:sz="4" w:space="0" w:color="auto"/>
            </w:tcBorders>
            <w:shd w:val="clear" w:color="auto" w:fill="C6EFCE"/>
            <w:noWrap/>
          </w:tcPr>
          <w:p w14:paraId="1AA60DEA"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641" w:type="dxa"/>
            <w:tcBorders>
              <w:top w:val="nil"/>
              <w:left w:val="nil"/>
              <w:bottom w:val="single" w:sz="4" w:space="0" w:color="auto"/>
              <w:right w:val="single" w:sz="4" w:space="0" w:color="auto"/>
            </w:tcBorders>
            <w:shd w:val="clear" w:color="auto" w:fill="C6EFCE"/>
            <w:noWrap/>
          </w:tcPr>
          <w:p w14:paraId="6F707A1C" w14:textId="10C12B0B"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Vor fi semnate contracte cu producătorii și distribuitorii de filme, în urma unei cereri de proiecte care include controale administrative, inclusiv condițiile de acordare a ajutorului </w:t>
            </w:r>
            <w:r>
              <w:rPr>
                <w:rFonts w:ascii="Times New Roman" w:hAnsi="Times New Roman"/>
                <w:i/>
                <w:iCs/>
                <w:noProof/>
                <w:sz w:val="24"/>
              </w:rPr>
              <w:t>de minimis</w:t>
            </w:r>
            <w:r>
              <w:rPr>
                <w:rFonts w:ascii="Times New Roman" w:hAnsi="Times New Roman"/>
                <w:noProof/>
                <w:sz w:val="24"/>
              </w:rPr>
              <w:t xml:space="preserve">. </w:t>
            </w:r>
          </w:p>
          <w:p w14:paraId="4909758A" w14:textId="77777777"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Finanțarea va fi condiționată de atragerea/păstrarea unui număr minim de angajați specializați în domeniile digitale. Printre activitățile eligibile se numără dezvoltarea capacităților de editare/postproducție pentru produsele digitale, crearea de microplatforme VoD, marketing și digitalizare (achiziționarea de echipamente IT – editare video, subtitrare digitală, arhivare digitală), dezvoltarea și distribuirea de conținut cultural audiovizual, formarea personalului pentru dobândirea competențelor digitale. Investițiile care urmează să fie sprijinite implică, de asemenea, sprijin pentru producția și distribuția de conținut digital.</w:t>
            </w:r>
          </w:p>
        </w:tc>
      </w:tr>
      <w:tr w:rsidR="000A27B3" w:rsidRPr="000A27B3" w14:paraId="0F078C9E" w14:textId="77777777" w:rsidTr="00B61E33">
        <w:trPr>
          <w:trHeight w:val="309"/>
          <w:jc w:val="center"/>
        </w:trPr>
        <w:tc>
          <w:tcPr>
            <w:tcW w:w="860" w:type="dxa"/>
            <w:tcBorders>
              <w:top w:val="nil"/>
              <w:left w:val="single" w:sz="4" w:space="0" w:color="auto"/>
              <w:bottom w:val="single" w:sz="4" w:space="0" w:color="auto"/>
              <w:right w:val="single" w:sz="4" w:space="0" w:color="auto"/>
            </w:tcBorders>
            <w:shd w:val="clear" w:color="auto" w:fill="C6EFCE"/>
            <w:noWrap/>
          </w:tcPr>
          <w:p w14:paraId="0E3555C6"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350</w:t>
            </w:r>
          </w:p>
        </w:tc>
        <w:tc>
          <w:tcPr>
            <w:tcW w:w="1586" w:type="dxa"/>
            <w:tcBorders>
              <w:top w:val="nil"/>
              <w:left w:val="nil"/>
              <w:bottom w:val="single" w:sz="4" w:space="0" w:color="auto"/>
              <w:right w:val="single" w:sz="4" w:space="0" w:color="auto"/>
            </w:tcBorders>
            <w:shd w:val="clear" w:color="auto" w:fill="C6EFCE"/>
            <w:noWrap/>
          </w:tcPr>
          <w:p w14:paraId="2F283338"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Investiția 7. Accelerarea digitalizării producției și distribuției de filme</w:t>
            </w:r>
          </w:p>
        </w:tc>
        <w:tc>
          <w:tcPr>
            <w:tcW w:w="1302" w:type="dxa"/>
            <w:tcBorders>
              <w:top w:val="nil"/>
              <w:left w:val="nil"/>
              <w:bottom w:val="single" w:sz="4" w:space="0" w:color="auto"/>
              <w:right w:val="single" w:sz="4" w:space="0" w:color="auto"/>
            </w:tcBorders>
            <w:shd w:val="clear" w:color="auto" w:fill="C6EFCE"/>
            <w:noWrap/>
          </w:tcPr>
          <w:p w14:paraId="3441BE37" w14:textId="77777777" w:rsidR="007873BE" w:rsidRPr="000A27B3" w:rsidRDefault="007873BE">
            <w:pPr>
              <w:spacing w:after="0" w:line="240" w:lineRule="auto"/>
              <w:jc w:val="center"/>
              <w:rPr>
                <w:rFonts w:ascii="Times New Roman" w:hAnsi="Times New Roman" w:cs="Times New Roman"/>
                <w:noProof/>
                <w:sz w:val="24"/>
                <w:szCs w:val="24"/>
              </w:rPr>
            </w:pPr>
            <w:r>
              <w:rPr>
                <w:rFonts w:ascii="Times New Roman" w:hAnsi="Times New Roman"/>
                <w:noProof/>
                <w:sz w:val="24"/>
              </w:rPr>
              <w:t>Țintă</w:t>
            </w:r>
          </w:p>
        </w:tc>
        <w:tc>
          <w:tcPr>
            <w:tcW w:w="1518" w:type="dxa"/>
            <w:tcBorders>
              <w:top w:val="nil"/>
              <w:left w:val="nil"/>
              <w:bottom w:val="single" w:sz="4" w:space="0" w:color="auto"/>
              <w:right w:val="single" w:sz="4" w:space="0" w:color="auto"/>
            </w:tcBorders>
            <w:shd w:val="clear" w:color="auto" w:fill="C6EFCE"/>
            <w:noWrap/>
          </w:tcPr>
          <w:p w14:paraId="592B19C6"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Creșterea gradului de digitalizare a producătorilor și distribuitorilor de film</w:t>
            </w:r>
          </w:p>
        </w:tc>
        <w:tc>
          <w:tcPr>
            <w:tcW w:w="1658" w:type="dxa"/>
            <w:tcBorders>
              <w:top w:val="nil"/>
              <w:left w:val="nil"/>
              <w:bottom w:val="single" w:sz="4" w:space="0" w:color="auto"/>
              <w:right w:val="single" w:sz="4" w:space="0" w:color="auto"/>
            </w:tcBorders>
            <w:shd w:val="clear" w:color="auto" w:fill="C6EFCE"/>
            <w:noWrap/>
          </w:tcPr>
          <w:p w14:paraId="658899F1" w14:textId="77777777" w:rsidR="007873BE" w:rsidRPr="000A27B3" w:rsidRDefault="007873BE">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91" w:type="dxa"/>
            <w:tcBorders>
              <w:top w:val="nil"/>
              <w:left w:val="nil"/>
              <w:bottom w:val="single" w:sz="4" w:space="0" w:color="auto"/>
              <w:right w:val="single" w:sz="4" w:space="0" w:color="auto"/>
            </w:tcBorders>
            <w:shd w:val="clear" w:color="auto" w:fill="C6EFCE"/>
            <w:noWrap/>
          </w:tcPr>
          <w:p w14:paraId="4486AAA9"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Număr</w:t>
            </w:r>
          </w:p>
        </w:tc>
        <w:tc>
          <w:tcPr>
            <w:tcW w:w="1200" w:type="dxa"/>
            <w:tcBorders>
              <w:top w:val="nil"/>
              <w:left w:val="nil"/>
              <w:bottom w:val="single" w:sz="4" w:space="0" w:color="auto"/>
              <w:right w:val="single" w:sz="4" w:space="0" w:color="auto"/>
            </w:tcBorders>
            <w:shd w:val="clear" w:color="auto" w:fill="C6EFCE"/>
            <w:noWrap/>
          </w:tcPr>
          <w:p w14:paraId="7D4DF5C0"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0</w:t>
            </w:r>
          </w:p>
        </w:tc>
        <w:tc>
          <w:tcPr>
            <w:tcW w:w="1131" w:type="dxa"/>
            <w:tcBorders>
              <w:top w:val="nil"/>
              <w:left w:val="nil"/>
              <w:bottom w:val="single" w:sz="4" w:space="0" w:color="auto"/>
              <w:right w:val="single" w:sz="4" w:space="0" w:color="auto"/>
            </w:tcBorders>
            <w:shd w:val="clear" w:color="auto" w:fill="C6EFCE"/>
            <w:noWrap/>
          </w:tcPr>
          <w:p w14:paraId="32D9B738" w14:textId="77777777" w:rsidR="007873BE" w:rsidRPr="000A27B3" w:rsidRDefault="007873BE">
            <w:pPr>
              <w:spacing w:after="0" w:line="240" w:lineRule="auto"/>
              <w:rPr>
                <w:rFonts w:ascii="Times New Roman" w:eastAsia="Times New Roman" w:hAnsi="Times New Roman" w:cs="Times New Roman"/>
                <w:noProof/>
                <w:sz w:val="24"/>
                <w:szCs w:val="24"/>
              </w:rPr>
            </w:pPr>
            <w:r>
              <w:rPr>
                <w:rFonts w:ascii="Times New Roman" w:hAnsi="Times New Roman"/>
                <w:noProof/>
                <w:sz w:val="24"/>
              </w:rPr>
              <w:t>40</w:t>
            </w:r>
          </w:p>
        </w:tc>
        <w:tc>
          <w:tcPr>
            <w:tcW w:w="1269" w:type="dxa"/>
            <w:tcBorders>
              <w:top w:val="nil"/>
              <w:left w:val="nil"/>
              <w:bottom w:val="single" w:sz="4" w:space="0" w:color="auto"/>
              <w:right w:val="single" w:sz="4" w:space="0" w:color="auto"/>
            </w:tcBorders>
            <w:shd w:val="clear" w:color="auto" w:fill="C6EFCE"/>
            <w:noWrap/>
          </w:tcPr>
          <w:p w14:paraId="6556AB8B"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T1</w:t>
            </w:r>
          </w:p>
        </w:tc>
        <w:tc>
          <w:tcPr>
            <w:tcW w:w="720" w:type="dxa"/>
            <w:tcBorders>
              <w:top w:val="nil"/>
              <w:left w:val="nil"/>
              <w:bottom w:val="single" w:sz="4" w:space="0" w:color="auto"/>
              <w:right w:val="single" w:sz="4" w:space="0" w:color="auto"/>
            </w:tcBorders>
            <w:shd w:val="clear" w:color="auto" w:fill="C6EFCE"/>
            <w:noWrap/>
          </w:tcPr>
          <w:p w14:paraId="48FFE948" w14:textId="77777777" w:rsidR="007873BE" w:rsidRPr="000A27B3" w:rsidRDefault="007873BE">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2025</w:t>
            </w:r>
          </w:p>
        </w:tc>
        <w:tc>
          <w:tcPr>
            <w:tcW w:w="3641" w:type="dxa"/>
            <w:tcBorders>
              <w:top w:val="nil"/>
              <w:left w:val="nil"/>
              <w:bottom w:val="single" w:sz="4" w:space="0" w:color="auto"/>
              <w:right w:val="single" w:sz="4" w:space="0" w:color="auto"/>
            </w:tcBorders>
            <w:shd w:val="clear" w:color="auto" w:fill="C6EFCE"/>
            <w:noWrap/>
          </w:tcPr>
          <w:p w14:paraId="1CA55DAE" w14:textId="0C0BD236" w:rsidR="007873BE" w:rsidRPr="000A27B3" w:rsidRDefault="007873BE">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40 de microîntreprinderi, întreprinderi mici și mijlocii și alte persoane juridice (inclusiv organizații neguvernamentale și întreprinderi mari) care își desfășoară activitatea în domeniul producției și distribuției de filme care au dezvoltat conținut digital, au dobândit competențe digitale pentru editare și postproducție pentru produse digitale.</w:t>
            </w:r>
          </w:p>
        </w:tc>
      </w:tr>
    </w:tbl>
    <w:p w14:paraId="2FAA49EA" w14:textId="77777777" w:rsidR="007873BE" w:rsidRPr="009F1DC7" w:rsidRDefault="007873BE">
      <w:pPr>
        <w:spacing w:before="120" w:after="120" w:line="240" w:lineRule="auto"/>
        <w:jc w:val="both"/>
        <w:rPr>
          <w:rFonts w:ascii="Times New Roman" w:hAnsi="Times New Roman" w:cs="Times New Roman"/>
          <w:noProof/>
          <w:sz w:val="24"/>
        </w:rPr>
        <w:sectPr w:rsidR="007873BE" w:rsidRPr="009F1DC7">
          <w:headerReference w:type="even" r:id="rId247"/>
          <w:headerReference w:type="default" r:id="rId248"/>
          <w:footerReference w:type="even" r:id="rId249"/>
          <w:footerReference w:type="default" r:id="rId250"/>
          <w:headerReference w:type="first" r:id="rId251"/>
          <w:footerReference w:type="first" r:id="rId252"/>
          <w:pgSz w:w="16839" w:h="11907" w:orient="landscape"/>
          <w:pgMar w:top="720" w:right="720" w:bottom="720" w:left="720" w:header="709" w:footer="709" w:gutter="0"/>
          <w:cols w:space="720"/>
          <w:docGrid w:linePitch="360"/>
        </w:sectPr>
      </w:pPr>
    </w:p>
    <w:p w14:paraId="3B387938" w14:textId="77777777" w:rsidR="00981B4A" w:rsidRPr="000A27B3" w:rsidRDefault="00981B4A">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12: Sănătate</w:t>
      </w:r>
    </w:p>
    <w:p w14:paraId="008F28B2"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Componenta „Sănătate” a planului de redresare și reziliență va consta în trei reforme și două investiții care abordează principalele provocări din sistemul de sănătate. Cele mai importante sunt reducerea ratei mortalității evitabile, reducerea disparităților regionale, sociale și între mediul rural și cel urban în ceea ce privește accesul la servicii medicale de bază, creșterea accesului la servicii medicale de calitate, îmbunătățirea infrastructurii spitalicești și prespitalicești, precum și optimizarea cheltuielilor pentru îngrijirea medicală și gestionarea resurselor.</w:t>
      </w:r>
    </w:p>
    <w:p w14:paraId="0F18F5DB"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Această componentă va contribui la punerea în aplicare a recomandării specifice de țară adresată României privind îmbunătățirea accesului la asistență medicală și a eficienței sectorului sănătății din punctul de vedere al costurilor, inclusiv prin favorizarea tratamentului ambulatoriu (recomandarea specifică de țară 3, 2019). Componenta abordează, de asemenea, recomandarea privind consolidarea rezilienței sistemului de sănătate, inclusiv în ceea ce privește personalul medical și produsele medicale, și îmbunătățirea accesului la serviciile de sănătate (recomandarea specifică de țară 1, 2020).</w:t>
      </w:r>
    </w:p>
    <w:p w14:paraId="4B9C8716"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4EF722A2" w14:textId="77777777" w:rsidR="00981B4A" w:rsidRPr="000A27B3" w:rsidRDefault="00981B4A">
      <w:pPr>
        <w:keepNext/>
        <w:spacing w:before="120" w:after="120" w:line="240" w:lineRule="auto"/>
        <w:ind w:left="851"/>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L.1. </w:t>
      </w:r>
      <w:r>
        <w:rPr>
          <w:noProof/>
        </w:rPr>
        <w:tab/>
      </w:r>
      <w:r>
        <w:rPr>
          <w:rFonts w:ascii="Times New Roman" w:hAnsi="Times New Roman"/>
          <w:b/>
          <w:noProof/>
          <w:sz w:val="24"/>
        </w:rPr>
        <w:t>Descrierea reformelor și a investițiilor pentru care se prevede acordarea sprijinului financiar nerambursabil</w:t>
      </w:r>
    </w:p>
    <w:p w14:paraId="79F87584" w14:textId="77777777" w:rsidR="00981B4A" w:rsidRPr="000A27B3" w:rsidRDefault="00981B4A">
      <w:pPr>
        <w:pStyle w:val="Standard"/>
        <w:spacing w:before="240"/>
        <w:ind w:left="130" w:firstLine="720"/>
        <w:jc w:val="both"/>
        <w:rPr>
          <w:rFonts w:ascii="Times New Roman" w:eastAsiaTheme="majorEastAsia" w:hAnsi="Times New Roman" w:cs="Times New Roman"/>
          <w:bCs/>
          <w:noProof/>
          <w:u w:val="single"/>
        </w:rPr>
      </w:pPr>
      <w:r>
        <w:rPr>
          <w:noProof/>
          <w:u w:val="single"/>
        </w:rPr>
        <w:t>Reforma 1. Dezvoltarea capacității pentru gestionarea fondurilor publice din sănătate</w:t>
      </w:r>
    </w:p>
    <w:p w14:paraId="4BC152E5"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Obiectivul acestei reforme este de a spori eficiența cheltuielilor cu sănătatea publică prin punerea în aplicare a unei serii de modificări legislative și prin lansarea ca pilot a unei scheme de granturi pentru recompensarea celor mai performanți furnizori de asistență medicală, pe baza unor criterii obiective și măsurabile.</w:t>
      </w:r>
    </w:p>
    <w:p w14:paraId="52960477" w14:textId="2E81CBC8"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Această reformă cuprinde două părți. Prima va fi pusă în aplicare prin derularea unui program-pilot orientat către stimularea îmbunătățirii calității și rentabilității serviciilor de sănătate prin crearea, lansarea ca pilot și punerea în aplicare a acelor mecanisme financiare care recompensează performanța furnizorilor de asistență medicală (prin intermediul „Fondului pentru calitatea serviciilor medicale”). În acest scop, Ministerul Sănătății, în parteneriat cu agențiile și organismele naționale și beneficiind de expertiză externă, va elabora indicatori de calitate ai serviciilor medicale, modele de plată bazate pe performanță și instrumente digitale pentru colectarea și monitorizarea indicatorilor, va institui cadrul legislativ necesar, va evalua rapoartele de calitate și va efectua plățile în conformitate cu modelele elaborate și cu rezultatele evaluărilor. Ca atare, pentru a îmbunătăți calitatea serviciilor de asistență medicală, plățile (recompensele) efectuate din „Fondul pentru calitatea serviciilor medicale” vor fi acordate furnizorilor cu cei mai buni indicatori de calitate. Schema va acoperi, în prima fază, spitalele, iar apoi va fi extinsă la alte niveluri ale sistemului de sănătate: furnizorii de asistență ambulatorie și cei de asistență medicală primară, cu scopul de a o extinde la toate tipurile de furnizori de asistență medicală, după încheierea programului-pilot.</w:t>
      </w:r>
      <w:r w:rsidR="004C4C72">
        <w:rPr>
          <w:rFonts w:ascii="Times New Roman" w:hAnsi="Times New Roman"/>
          <w:noProof/>
          <w:sz w:val="24"/>
        </w:rPr>
        <w:t xml:space="preserve"> </w:t>
      </w:r>
      <w:r>
        <w:rPr>
          <w:rFonts w:ascii="Times New Roman" w:hAnsi="Times New Roman"/>
          <w:noProof/>
          <w:sz w:val="24"/>
        </w:rPr>
        <w:t>A doua subreformă va consta în elaborarea unui nou model de contract-cadru care să reglementeze condițiile acordării asistenței medicale și normele de aplicare a acestuia. Efectul preconizat al acestor reforme este reducerea proporției generale a populației care raportează nevoi medicale nesatisfăcute.</w:t>
      </w:r>
    </w:p>
    <w:p w14:paraId="60362AEF"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Această reformă va viza, de asemenea, serviciile de informare și publicitate, inclusiv pentru campaniile de sensibilizare, care sunt legate de comunicatele de presă publicate în presa scrisă și online, de materialele de informare și publicitate privind activitățile și rezultatele obținute, de promovarea online (pe site-ul web și pe canalele de comunicare socială). Materialele comunicate vor fi elaborate și promovate pe parcursul implementării reformei, raportând cu privire la proces, incluzând, printre altele, adoptarea cadrului legislativ, principalele rezultate ale proiectului-pilot, lansarea schemei către spitalele publice și extinderea programului la furnizorii de asistență ambulatorie și la cei de asistență medicală primară. Raportarea publică este o metodă bine stabilită de promovare a modelului bazat pe calitate al furnizării de asistență medicală.</w:t>
      </w:r>
    </w:p>
    <w:p w14:paraId="191A0DA2"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reformei va fi finalizată până la 30 iunie 2026.</w:t>
      </w:r>
    </w:p>
    <w:p w14:paraId="1789CE87" w14:textId="77777777" w:rsidR="00981B4A" w:rsidRPr="000A27B3" w:rsidRDefault="00981B4A">
      <w:pPr>
        <w:pStyle w:val="Standard"/>
        <w:spacing w:before="240"/>
        <w:ind w:left="130" w:firstLine="720"/>
        <w:jc w:val="both"/>
        <w:rPr>
          <w:rFonts w:ascii="Times New Roman" w:eastAsiaTheme="majorEastAsia" w:hAnsi="Times New Roman" w:cs="Times New Roman"/>
          <w:bCs/>
          <w:noProof/>
          <w:u w:val="single"/>
        </w:rPr>
      </w:pPr>
      <w:r>
        <w:rPr>
          <w:noProof/>
          <w:u w:val="single"/>
        </w:rPr>
        <w:t>Reforma 2. Dezvoltarea capacității de investiții în infrastructura sanitară</w:t>
      </w:r>
    </w:p>
    <w:p w14:paraId="1CC4E03F"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Reforma vizează creșterea capacității administrative a autorităților centrale și locale de a gestiona în mod eficient proiectele de infrastructură din sănătate prin înființarea și punerea în funcțiune a Agenției Naționale pentru Dezvoltarea Infrastructurii în Sănătate (ANDIS), ca instituție publică cu personalitate juridică și subordonată Ministerului Sănătății. În momentul în care va avea capacitate instituțională deplină, ANDIS va fi în măsură să gestioneze proiecte majore de infrastructură de sănătate publică, precum și să furnizeze expertiză tehnică la cererea autorităților locale. </w:t>
      </w:r>
    </w:p>
    <w:p w14:paraId="47DB8423"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Implementarea reformei va consta în înființarea ANDIS, dotarea acesteia cu un sediu central și personal (inclusiv numirea unui președinte și a unui consiliu director), activități de formare a personalului și consultanță și asistență tehnică pentru proiectele care intră în portofoliul ANDIS. </w:t>
      </w:r>
    </w:p>
    <w:p w14:paraId="4B6915D8"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reformei va fi finalizată până la 30 iunie 2022.</w:t>
      </w:r>
    </w:p>
    <w:p w14:paraId="1977E539" w14:textId="77777777" w:rsidR="00981B4A" w:rsidRPr="000A27B3" w:rsidRDefault="00981B4A">
      <w:pPr>
        <w:pStyle w:val="Standard"/>
        <w:spacing w:before="240"/>
        <w:ind w:left="130" w:firstLine="720"/>
        <w:jc w:val="both"/>
        <w:rPr>
          <w:rFonts w:ascii="Times New Roman" w:eastAsiaTheme="majorEastAsia" w:hAnsi="Times New Roman" w:cs="Times New Roman"/>
          <w:bCs/>
          <w:noProof/>
          <w:u w:val="single"/>
        </w:rPr>
      </w:pPr>
      <w:r>
        <w:rPr>
          <w:rFonts w:ascii="Times New Roman" w:hAnsi="Times New Roman"/>
          <w:noProof/>
          <w:u w:val="single"/>
        </w:rPr>
        <w:t>Reforma 3. Dezvoltarea capacității pentru managementul serviciilor de sănătate și managementul resurselor umane din sănătate</w:t>
      </w:r>
    </w:p>
    <w:p w14:paraId="27A188CF"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Reforma cuprinde trei subreforme.</w:t>
      </w:r>
    </w:p>
    <w:p w14:paraId="7B0A4383" w14:textId="77777777" w:rsidR="00981B4A" w:rsidRPr="000A27B3" w:rsidRDefault="00981B4A">
      <w:pPr>
        <w:spacing w:before="120" w:after="120" w:line="240" w:lineRule="auto"/>
        <w:ind w:left="130" w:firstLine="720"/>
        <w:jc w:val="both"/>
        <w:rPr>
          <w:rFonts w:ascii="Times New Roman" w:hAnsi="Times New Roman" w:cs="Times New Roman"/>
          <w:i/>
          <w:iCs/>
          <w:noProof/>
          <w:sz w:val="24"/>
        </w:rPr>
      </w:pPr>
      <w:r>
        <w:rPr>
          <w:rFonts w:ascii="Times New Roman" w:hAnsi="Times New Roman"/>
          <w:i/>
          <w:noProof/>
          <w:sz w:val="24"/>
        </w:rPr>
        <w:t>R.3.1 Reforma managementului serviciilor de sănătate</w:t>
      </w:r>
    </w:p>
    <w:p w14:paraId="53CD0262"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Obiectivul acestei subreforme este îmbunătățirea cunoștințelor, abilităților și competențelor resurselor umane din managementul serviciilor de sănătate de la toate nivelurile sistemului de sănătate din România.</w:t>
      </w:r>
    </w:p>
    <w:p w14:paraId="7AE144F0"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Subreforma va fi implementată printr-o modificare legislativă a legii principale care reglementează sectorul sănătății (Legea nr. 95 din 2006). În sprijinul modificărilor aduse acestei legi vor fi adoptate mai multe hotărâri de guvern. Ulterior, va deveni operațional un centru de excelență în domeniul managementului serviciilor de sănătate și vor fi puse în aplicare programe de formare acreditate pentru resursele umane în cauză în domeniul managementului (care includ membri ai comitetelor directoare ale spitalelor, șefi de secții, șefi de laboratoare din unitățile sanitare, directori executivi, medici șefi, directori), în colaborare cu instituțiile academice care au un portofoliu principal în domeniul formării și dezvoltării de resurse umane responsabile cu managementul serviciilor de sănătate. Pe parcursul perioadei de implementare a reformei, se preconizează că Ministerul Sănătății va beneficia de asistență tehnică și consultanță din partea experților.</w:t>
      </w:r>
    </w:p>
    <w:p w14:paraId="49FFEC7D" w14:textId="77777777" w:rsidR="00B00FBD" w:rsidRDefault="00981B4A" w:rsidP="00556FB8">
      <w:pPr>
        <w:spacing w:before="120" w:after="120" w:line="240" w:lineRule="auto"/>
        <w:ind w:left="850"/>
        <w:rPr>
          <w:rFonts w:ascii="Times New Roman" w:hAnsi="Times New Roman"/>
          <w:noProof/>
          <w:sz w:val="24"/>
        </w:rPr>
      </w:pPr>
      <w:r>
        <w:rPr>
          <w:rFonts w:ascii="Times New Roman" w:hAnsi="Times New Roman"/>
          <w:noProof/>
          <w:sz w:val="24"/>
        </w:rPr>
        <w:t>Implementarea subreformei va fi finalizată până la 30 iunie 2025.</w:t>
      </w:r>
    </w:p>
    <w:p w14:paraId="434C338F" w14:textId="0B7CB387" w:rsidR="00981B4A" w:rsidRPr="000A27B3" w:rsidRDefault="00981B4A" w:rsidP="00556FB8">
      <w:pPr>
        <w:spacing w:before="120" w:after="120" w:line="240" w:lineRule="auto"/>
        <w:ind w:left="850"/>
        <w:rPr>
          <w:rFonts w:ascii="Times New Roman" w:hAnsi="Times New Roman" w:cs="Times New Roman"/>
          <w:i/>
          <w:iCs/>
          <w:noProof/>
          <w:sz w:val="24"/>
        </w:rPr>
      </w:pPr>
      <w:r>
        <w:rPr>
          <w:rFonts w:ascii="Times New Roman" w:hAnsi="Times New Roman"/>
          <w:i/>
          <w:noProof/>
          <w:sz w:val="24"/>
        </w:rPr>
        <w:t>R.3.2 Dezvoltarea resurselor umane din sănătate</w:t>
      </w:r>
    </w:p>
    <w:p w14:paraId="5D62D89A"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Obiectivul acestei subreforme este consolidarea capacității sistemului de sănătate din România de a educa, recruta, menține și motiva o forță de muncă pregătită să răspundă nevoilor de sănătate curente și viitoare ale populației.</w:t>
      </w:r>
    </w:p>
    <w:p w14:paraId="341C7C1D" w14:textId="19F4A830"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Subreforma va consta în elaborarea unui nou cadru strategic, precum și în adaptarea legislației care reglementează dezvoltarea resurselor umane din domeniul sănătății, precum și în recunoașterea diferențiată a meritelor profesionale și a recompenselor specialiștilor din sănătate. În cadrul aceleiași reforme sunt incluse construcția și dotarea a două centre pentru dezvoltarea capacităților și a activităților legate de formarea a 1 000 de persoane care lucrează în unități medicale publice care oferă asistență medicală primară, comunitară și ambulatorie, în spitale și în alte unități medicale publice. După 2026, formarea cadrelor medicale va continua să fie finanțată de la bugetul de stat.</w:t>
      </w:r>
      <w:r w:rsidR="004C4C72">
        <w:rPr>
          <w:rFonts w:ascii="Times New Roman" w:hAnsi="Times New Roman"/>
          <w:noProof/>
          <w:sz w:val="24"/>
        </w:rPr>
        <w:t xml:space="preserve">  </w:t>
      </w:r>
    </w:p>
    <w:p w14:paraId="43D23B27"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subreformei va fi finalizată până la 30 iunie 2025.</w:t>
      </w:r>
    </w:p>
    <w:p w14:paraId="7334201B" w14:textId="77777777" w:rsidR="00981B4A" w:rsidRPr="000A27B3" w:rsidRDefault="00981B4A">
      <w:pPr>
        <w:spacing w:before="120" w:after="120" w:line="240" w:lineRule="auto"/>
        <w:ind w:left="850"/>
        <w:jc w:val="both"/>
        <w:rPr>
          <w:rFonts w:ascii="Times New Roman" w:hAnsi="Times New Roman" w:cs="Times New Roman"/>
          <w:i/>
          <w:iCs/>
          <w:noProof/>
          <w:sz w:val="24"/>
        </w:rPr>
      </w:pPr>
      <w:r>
        <w:rPr>
          <w:rFonts w:ascii="Times New Roman" w:hAnsi="Times New Roman"/>
          <w:i/>
          <w:noProof/>
          <w:sz w:val="24"/>
        </w:rPr>
        <w:t>R.3.3 Creșterea integrității, reducerea vulnerabilităților și a riscurilor de corupție în sistemul de sănătate</w:t>
      </w:r>
    </w:p>
    <w:p w14:paraId="31C09CF4"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Obiectivul acestei subreforme este îmbunătățirea definirii și reglementării conflictului de interese la nivelul sistemului de sănătate din România și capacitarea personalului pentru prevenirea împrejurărilor care pot duce la situații de corupție și/sau conflict de interese.</w:t>
      </w:r>
    </w:p>
    <w:p w14:paraId="4551FAE8"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Subreforma va consta în punerea în aplicare a unui nou mecanism de prioritizare a alocărilor bugetare efectuate de Ministerul Sănătății și de Casa Națională de Asigurări de Sănătate (CNAS) și în asigurarea de programe de formare privind integritatea pentru 3 000 de persoane care lucrează în domenii legate de sănătate în administrația centrală, în instituțiile deconcentrate, în conducerea unităților sanitare, precum și pentru personalul care oferă îngrijiri directe pacienților.</w:t>
      </w:r>
    </w:p>
    <w:p w14:paraId="75136DF2"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Această reformă va viza, de asemenea, serviciile de informare și publicitate, inclusiv pentru campaniile de sensibilizare, care sunt legate de comunicatele de presă publicate în presa scrisă și online, de materialele de informare și publicitate privind activitățile și rezultatele obținute, de promovarea online (pe site-ul web și pe canalele de comunicare socială). Materialele comunicate vor fi elaborate și promovate pe tot parcursul implementării reformei, raportând cu privire la proces și la principalele progrese înregistrate, cum ar fi adoptarea cadrului legislativ, finalizarea și operaționalizarea centrului de excelență, implementarea programelor de formare, construirea și dotarea a două centre pentru dezvoltarea capacităților.</w:t>
      </w:r>
    </w:p>
    <w:p w14:paraId="056DCAB0"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subreformei va fi finalizată până la 30 iunie 2025.</w:t>
      </w:r>
    </w:p>
    <w:p w14:paraId="60057975" w14:textId="77777777" w:rsidR="00981B4A" w:rsidRPr="000A27B3" w:rsidRDefault="00981B4A">
      <w:pPr>
        <w:pStyle w:val="Standard"/>
        <w:spacing w:before="240"/>
        <w:ind w:left="130" w:firstLine="720"/>
        <w:jc w:val="both"/>
        <w:rPr>
          <w:rFonts w:ascii="Times New Roman" w:eastAsiaTheme="majorEastAsia" w:hAnsi="Times New Roman" w:cs="Times New Roman"/>
          <w:bCs/>
          <w:noProof/>
          <w:u w:val="single"/>
        </w:rPr>
      </w:pPr>
      <w:r>
        <w:rPr>
          <w:rFonts w:ascii="Times New Roman" w:hAnsi="Times New Roman"/>
          <w:noProof/>
          <w:u w:val="single"/>
        </w:rPr>
        <w:t>Investiția 1. Dezvoltarea infrastructurii medicale prespitalicești</w:t>
      </w:r>
    </w:p>
    <w:p w14:paraId="4D116E32"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Obiectivul acestei investiții este de a îmbunătăți accesul persoanelor din zonele rurale defavorizate și marginalizate la asistență medicală de bază, inclusiv la servicii de prevenție și de diagnostic și tratament precoce, precum și de a spori complexitatea serviciilor medicale în cadrul asistenței medicale primare, ambulatorii și comunitare. Investiția va include următoarele cinci subinvestiții. Regiunile/localitățile marginalizate sunt cele fără acces sau cu acces limitat la asistența medicală primară. Clasificarea regiunilor sau localităților marginalizate a fost efectuată de o echipă a Băncii Mondiale pe baza analizei gradului de precaritate din punctul de vedere al capitalului uman, al ocupării formale a forței de muncă și al condițiilor de trai inadecvate, al riscului de sărăcie și de excluziune socială și al accesului redus la servicii, la asistență medicală și al furnizării altor drepturi fundamentale pentru care accesul este limitat sau inexistent.</w:t>
      </w:r>
    </w:p>
    <w:p w14:paraId="30BD5533"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Criteriile de marginalizare și gradul de marginalizare sunt stabilite la nivel regional conform metodologiilor de calcul al indicelui dezvoltării umane locale și al indicelui de dezvoltare prezentate în Atlasul zonelor rurale marginalizate și al dezvoltării umane locale din România, în Atlasul zonelor urbane marginalizate din România și în Studiul de fundamentare pentru Strategia națională privind incluziunea socială și reducerea sărăciei – potrivit Băncii Mondiale. </w:t>
      </w:r>
    </w:p>
    <w:p w14:paraId="6A7A419E" w14:textId="77777777" w:rsidR="00981B4A" w:rsidRPr="000A27B3" w:rsidRDefault="00981B4A">
      <w:pPr>
        <w:spacing w:before="120" w:after="120" w:line="240" w:lineRule="auto"/>
        <w:ind w:left="130" w:firstLine="720"/>
        <w:jc w:val="both"/>
        <w:rPr>
          <w:rFonts w:ascii="Times New Roman" w:hAnsi="Times New Roman" w:cs="Times New Roman"/>
          <w:noProof/>
          <w:sz w:val="24"/>
          <w:szCs w:val="24"/>
        </w:rPr>
      </w:pPr>
      <w:r>
        <w:rPr>
          <w:rFonts w:ascii="Times New Roman" w:hAnsi="Times New Roman"/>
          <w:i/>
          <w:noProof/>
          <w:sz w:val="24"/>
        </w:rPr>
        <w:t>I.1.1 Cabinete ale medicilor de familie sau asocieri de cabinete de asistență medicală primară</w:t>
      </w:r>
    </w:p>
    <w:p w14:paraId="6F343E29" w14:textId="4725AB70" w:rsidR="00981B4A" w:rsidRPr="000A27B3" w:rsidRDefault="00981B4A">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 xml:space="preserve">Subinvestiția va consta în renovarea sau dotarea a cel puțin 2 000 de asocieri de cabinete sau de cabinete ale medicilor de familie. Aceasta se va realiza pe baza unei cereri de propuneri deschise și prin intermediul unui sistem centralizat de achiziții. </w:t>
      </w:r>
    </w:p>
    <w:p w14:paraId="42419D16"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30 iunie 2023.</w:t>
      </w:r>
    </w:p>
    <w:p w14:paraId="6A3427F0" w14:textId="77777777" w:rsidR="00981B4A" w:rsidRPr="000A27B3" w:rsidRDefault="00981B4A">
      <w:pPr>
        <w:spacing w:before="120" w:after="120" w:line="240" w:lineRule="auto"/>
        <w:ind w:left="130" w:firstLine="720"/>
        <w:jc w:val="both"/>
        <w:rPr>
          <w:rFonts w:ascii="Times New Roman" w:hAnsi="Times New Roman" w:cs="Times New Roman"/>
          <w:i/>
          <w:iCs/>
          <w:noProof/>
          <w:sz w:val="24"/>
        </w:rPr>
      </w:pPr>
      <w:r>
        <w:rPr>
          <w:rFonts w:ascii="Times New Roman" w:hAnsi="Times New Roman"/>
          <w:i/>
          <w:noProof/>
          <w:sz w:val="24"/>
        </w:rPr>
        <w:t>I.1.2 Unități medicale mobile</w:t>
      </w:r>
    </w:p>
    <w:p w14:paraId="6DECFEF2" w14:textId="77777777" w:rsidR="00981B4A" w:rsidRPr="000A27B3" w:rsidRDefault="00981B4A">
      <w:pPr>
        <w:spacing w:before="120" w:after="120" w:line="240" w:lineRule="auto"/>
        <w:ind w:left="850"/>
        <w:jc w:val="both"/>
        <w:rPr>
          <w:rFonts w:ascii="Times New Roman" w:hAnsi="Times New Roman" w:cs="Times New Roman"/>
          <w:b/>
          <w:bCs/>
          <w:noProof/>
          <w:sz w:val="24"/>
        </w:rPr>
      </w:pPr>
      <w:r>
        <w:rPr>
          <w:rFonts w:ascii="Times New Roman" w:hAnsi="Times New Roman"/>
          <w:noProof/>
          <w:sz w:val="24"/>
        </w:rPr>
        <w:t>Subinvestiția va consta în achiziționarea a 10 caravane medicale dotate cu aparatura medicală care permite efectuarea de activități de screening pentru cancerul mamar și cancerul de col uterin în zone cu acces limitat la servicii medicale specializate. Se preconizează că această măsură nu prejudiciază în mod semnificativ obiectivele de mediu în sensul articolului 17 din Regulamentul (UE) 2020/852, ținând seama de descrierea măsurii și de etapele de atenuare prevăzute în planul de redresare și reziliență în conformitate cu Orientările tehnice DNSH (2021/C58/01). În special, caravanele care urmează să fie achiziționate trebuie să dispună de cea mai bună tehnologie disponibilă din punctul de vedere al respectării mediului.</w:t>
      </w:r>
    </w:p>
    <w:p w14:paraId="37FD852C"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30 iunie 2023.</w:t>
      </w:r>
    </w:p>
    <w:p w14:paraId="13EABB2F" w14:textId="77777777" w:rsidR="00981B4A" w:rsidRPr="000A27B3" w:rsidRDefault="00981B4A">
      <w:pPr>
        <w:spacing w:before="120" w:after="120" w:line="240" w:lineRule="auto"/>
        <w:ind w:left="130" w:firstLine="720"/>
        <w:jc w:val="both"/>
        <w:rPr>
          <w:rFonts w:ascii="Times New Roman" w:hAnsi="Times New Roman" w:cs="Times New Roman"/>
          <w:i/>
          <w:iCs/>
          <w:noProof/>
          <w:sz w:val="24"/>
        </w:rPr>
      </w:pPr>
      <w:r>
        <w:rPr>
          <w:rFonts w:ascii="Times New Roman" w:hAnsi="Times New Roman"/>
          <w:i/>
          <w:noProof/>
          <w:sz w:val="24"/>
        </w:rPr>
        <w:t xml:space="preserve">I.1.3 Unități de asistență medicală ambulatorie </w:t>
      </w:r>
    </w:p>
    <w:p w14:paraId="2F1BB784"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Investiția va consta în reabilitarea, modernizarea, extinderea (inclusiv prin construcții de clădiri noi) a cel puțin 30 de unități de asistență medicală ambulatorie. Selecția va ține seama și de lista proiectelor care sunt înscrise pe lista de rezervă a cererii de proiecte din cadrul Programului Operațional Regional (2014-2020) și alte proiecte, în funcție de nivelul lor de maturitate. Cel puțin 20 de unități de asistență medicală ambulatorie vor fi situate în regiuni sau localități mai puțin dezvoltate (definite ca acele regiuni/localități în care PIB-ul pe cap de locuitor &lt; 75 % din media UE-27).</w:t>
      </w:r>
    </w:p>
    <w:p w14:paraId="555C1AB1"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31 decembrie 2024.</w:t>
      </w:r>
    </w:p>
    <w:p w14:paraId="4978ED0A" w14:textId="77777777" w:rsidR="00981B4A" w:rsidRPr="000A27B3" w:rsidRDefault="00981B4A">
      <w:pPr>
        <w:spacing w:before="120" w:after="120" w:line="240" w:lineRule="auto"/>
        <w:ind w:left="130" w:firstLine="720"/>
        <w:jc w:val="both"/>
        <w:rPr>
          <w:rFonts w:ascii="Times New Roman" w:hAnsi="Times New Roman" w:cs="Times New Roman"/>
          <w:noProof/>
          <w:sz w:val="24"/>
        </w:rPr>
      </w:pPr>
      <w:r>
        <w:rPr>
          <w:rFonts w:ascii="Times New Roman" w:hAnsi="Times New Roman"/>
          <w:i/>
          <w:noProof/>
          <w:sz w:val="24"/>
        </w:rPr>
        <w:t>I.1.4 Centre comunitare integrate</w:t>
      </w:r>
      <w:r>
        <w:rPr>
          <w:rFonts w:ascii="Times New Roman" w:hAnsi="Times New Roman"/>
          <w:noProof/>
          <w:sz w:val="24"/>
        </w:rPr>
        <w:t xml:space="preserve"> </w:t>
      </w:r>
    </w:p>
    <w:p w14:paraId="3F2A7253"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Subinvestiția va consta în construirea/renovarea a 200 de centre comunitare integrate (centrele comunitare integrate fac parte din ansamblul programelor comunitare de sănătate gestionate de Ministerul Sănătății, cu scopul principal de a spori accesul populației și, în special, al grupurilor vulnerabile la servicii medicale de calitate), precum și în dotarea integrală a acestor centre, în conformitate cu cerințele minime prevăzute în Hotărârea Guvernului nr. 324/2019. Infrastructura și/sau clădirile vor respecta criteriile de eficiență energetică. Clădirile noi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5A709DE3" w14:textId="77777777" w:rsidR="00981B4A" w:rsidRPr="000A27B3" w:rsidRDefault="00981B4A">
      <w:pPr>
        <w:spacing w:before="120" w:after="120" w:line="240" w:lineRule="auto"/>
        <w:ind w:left="850"/>
        <w:rPr>
          <w:rFonts w:ascii="Times New Roman" w:hAnsi="Times New Roman" w:cs="Times New Roman"/>
          <w:noProof/>
          <w:sz w:val="24"/>
        </w:rPr>
      </w:pPr>
      <w:r>
        <w:rPr>
          <w:rFonts w:ascii="Times New Roman" w:hAnsi="Times New Roman"/>
          <w:noProof/>
          <w:sz w:val="24"/>
        </w:rPr>
        <w:t>Implementarea subinvestiției se va finaliza până la 30 iunie 2025.</w:t>
      </w:r>
    </w:p>
    <w:p w14:paraId="2D65EF19" w14:textId="77777777" w:rsidR="00981B4A" w:rsidRPr="000A27B3" w:rsidRDefault="00981B4A">
      <w:pPr>
        <w:spacing w:before="120" w:after="120" w:line="240" w:lineRule="auto"/>
        <w:ind w:left="850"/>
        <w:rPr>
          <w:rFonts w:ascii="Times New Roman" w:hAnsi="Times New Roman" w:cs="Times New Roman"/>
          <w:i/>
          <w:iCs/>
          <w:noProof/>
          <w:sz w:val="24"/>
          <w:szCs w:val="24"/>
        </w:rPr>
      </w:pPr>
      <w:r>
        <w:rPr>
          <w:rFonts w:ascii="Times New Roman" w:hAnsi="Times New Roman"/>
          <w:i/>
          <w:noProof/>
          <w:sz w:val="24"/>
        </w:rPr>
        <w:t xml:space="preserve">I.1.5 Cabinete de planificare familială </w:t>
      </w:r>
    </w:p>
    <w:p w14:paraId="3A925F8F" w14:textId="5AC6B147" w:rsidR="00981B4A" w:rsidRPr="000A27B3" w:rsidRDefault="00981B4A">
      <w:pPr>
        <w:spacing w:before="120" w:after="120" w:line="240" w:lineRule="auto"/>
        <w:ind w:left="850"/>
        <w:jc w:val="both"/>
        <w:rPr>
          <w:rFonts w:ascii="Times New Roman" w:hAnsi="Times New Roman" w:cs="Times New Roman"/>
          <w:b/>
          <w:bCs/>
          <w:noProof/>
          <w:sz w:val="24"/>
          <w:szCs w:val="24"/>
        </w:rPr>
      </w:pPr>
      <w:r>
        <w:rPr>
          <w:rFonts w:ascii="Times New Roman" w:hAnsi="Times New Roman"/>
          <w:noProof/>
          <w:sz w:val="24"/>
        </w:rPr>
        <w:t>Investiția va consta în reabilitarea sau dotarea a 79 cabinete de planificare familială cu puncte de diagnosticare a bolilor cu transmitere sexuală, scaner cu ultrasunete cu sonde ginecologice ultraportabile, microscop, echipament IT, frigider, vehicule de transport (electrice sau biciclete). Investiția va acoperi, de asemenea, costurile de formare a personalului medical care lucrează în cabinetele de planificare familială.</w:t>
      </w:r>
    </w:p>
    <w:p w14:paraId="1C68C3BF"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31 decembrie 2025.</w:t>
      </w:r>
    </w:p>
    <w:p w14:paraId="7A2A4535" w14:textId="77777777" w:rsidR="00981B4A" w:rsidRPr="000A27B3" w:rsidRDefault="00981B4A">
      <w:pPr>
        <w:pStyle w:val="Standard"/>
        <w:spacing w:before="240"/>
        <w:ind w:left="130" w:firstLine="720"/>
        <w:jc w:val="both"/>
        <w:rPr>
          <w:rFonts w:ascii="Times New Roman" w:eastAsiaTheme="majorEastAsia" w:hAnsi="Times New Roman" w:cs="Times New Roman"/>
          <w:noProof/>
          <w:u w:val="single"/>
        </w:rPr>
      </w:pPr>
      <w:r>
        <w:rPr>
          <w:rFonts w:ascii="Times New Roman" w:hAnsi="Times New Roman"/>
          <w:noProof/>
          <w:u w:val="single"/>
        </w:rPr>
        <w:t>Investiția 2. Dezvoltarea infrastructurii spitalicești publice</w:t>
      </w:r>
    </w:p>
    <w:p w14:paraId="42AE05C1" w14:textId="138BD4D3" w:rsidR="00981B4A" w:rsidRPr="000A27B3" w:rsidRDefault="00981B4A">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 xml:space="preserve">Obiectivul acestei investiții este de a spori siguranța pacienților în unitățile medicale, prin intervenții care să asigure siguranța la incendiu, siguranța structurală a clădirilor și siguranța la seism, precum și îmbunătățirea performanței energetice și prevenirea infecțiilor nosocomiale. Investiția va include următoarele patru subinvestiții și cel puțin 42,51 milioane EUR din această investiție vor fi alocate echipamentelor informatice. </w:t>
      </w:r>
    </w:p>
    <w:p w14:paraId="291F8E90" w14:textId="77777777" w:rsidR="00981B4A" w:rsidRPr="000A27B3" w:rsidRDefault="00981B4A">
      <w:pPr>
        <w:spacing w:before="120" w:after="120" w:line="240" w:lineRule="auto"/>
        <w:ind w:left="130" w:firstLine="720"/>
        <w:jc w:val="both"/>
        <w:rPr>
          <w:rFonts w:ascii="Times New Roman" w:hAnsi="Times New Roman" w:cs="Times New Roman"/>
          <w:b/>
          <w:bCs/>
          <w:noProof/>
          <w:sz w:val="24"/>
        </w:rPr>
      </w:pPr>
      <w:r>
        <w:rPr>
          <w:rFonts w:ascii="Times New Roman" w:hAnsi="Times New Roman"/>
          <w:i/>
          <w:noProof/>
          <w:sz w:val="24"/>
        </w:rPr>
        <w:t>I.2.1 Infrastructură spitalicească publică nouă</w:t>
      </w:r>
    </w:p>
    <w:p w14:paraId="3AACEECC" w14:textId="5F4B7A25" w:rsidR="00981B4A" w:rsidRPr="000A27B3" w:rsidRDefault="00981B4A">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Subinvestiția constă în finanțarea parțială a construirii a 19 spitale sau unități sanitare noi. Dintre cele 19 spitale sau unități sanitare noi, 15 clădiri vor respecta cerința privind clădirile al căror consum de energie este aproape egal cu zero, în conformitate cu orientările naționale, iar 4 vor respecta obiectivul de a atinge o cerere de energie primară cu cel puțin 20 % mai mică decât cerința privind clădirile al căror consum de energie este aproape egal cu zero, conform orientărilor naționale, care va fi asigurată prin certificate de performanță energetică.</w:t>
      </w:r>
    </w:p>
    <w:p w14:paraId="1751E2B3"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30 iunie 2026.</w:t>
      </w:r>
    </w:p>
    <w:p w14:paraId="3B72B7A8" w14:textId="77777777" w:rsidR="00981B4A" w:rsidRPr="000A27B3" w:rsidRDefault="00981B4A">
      <w:pPr>
        <w:spacing w:before="120" w:after="120" w:line="240" w:lineRule="auto"/>
        <w:ind w:left="130" w:firstLine="720"/>
        <w:jc w:val="both"/>
        <w:rPr>
          <w:rFonts w:ascii="Times New Roman" w:hAnsi="Times New Roman" w:cs="Times New Roman"/>
          <w:noProof/>
          <w:sz w:val="24"/>
        </w:rPr>
      </w:pPr>
      <w:r>
        <w:rPr>
          <w:rFonts w:ascii="Times New Roman" w:hAnsi="Times New Roman"/>
          <w:i/>
          <w:noProof/>
          <w:sz w:val="24"/>
        </w:rPr>
        <w:t>I.2.2 Echipamente și aparatură medicală</w:t>
      </w:r>
      <w:r>
        <w:rPr>
          <w:rFonts w:ascii="Times New Roman" w:hAnsi="Times New Roman"/>
          <w:noProof/>
          <w:sz w:val="24"/>
        </w:rPr>
        <w:t xml:space="preserve"> </w:t>
      </w:r>
    </w:p>
    <w:p w14:paraId="3AFC7E93"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Subinvestiția constă în dotarea spitalelor sau a unităților sanitare nou construite cu echipamente medicale (cum ar fi echipamente pentru departamente specifice și generale pentru salonul de chirurgie, cameră de tratament, camere de izolare, inclusiv pentru boli infecțioase și unități de arși, camere pentru pacienți, centre de îngrijire, unități pentru personalul medical, camere de medicație, camere de pregătire curate, camere de terapie intensivă, camere de izolare pentru terapie intensivă, spații de reabilitare, spații de gestionare a deșeurilor și de depozitare, echipamente de urgență și de resuscitare) și aparatură medicală (cum ar fi: paturi, unități de decontaminare, echipamente IT, cărucioare de urgență, defibrilatoare, pompe de perfuzie, sisteme de monitorizare fiziologică, inclusiv consolă centrală, sisteme de monitorizare fiziologică pentru îngrijiri acute, ventilatoare pentru unități de terapie intensivă, sisteme de scanare de uz general).</w:t>
      </w:r>
    </w:p>
    <w:p w14:paraId="03909F61"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30 iunie 2026.</w:t>
      </w:r>
    </w:p>
    <w:p w14:paraId="5E3EF4C6" w14:textId="77777777" w:rsidR="00981B4A" w:rsidRPr="000A27B3" w:rsidRDefault="00981B4A">
      <w:pPr>
        <w:spacing w:before="120" w:after="120" w:line="240" w:lineRule="auto"/>
        <w:ind w:left="130" w:firstLine="720"/>
        <w:jc w:val="both"/>
        <w:rPr>
          <w:rFonts w:ascii="Times New Roman" w:hAnsi="Times New Roman" w:cs="Times New Roman"/>
          <w:i/>
          <w:iCs/>
          <w:noProof/>
          <w:sz w:val="24"/>
        </w:rPr>
      </w:pPr>
      <w:r>
        <w:rPr>
          <w:rFonts w:ascii="Times New Roman" w:hAnsi="Times New Roman"/>
          <w:i/>
          <w:noProof/>
          <w:sz w:val="24"/>
        </w:rPr>
        <w:t>I.2.3 Secții de terapie intensivă pentru nou-născuți</w:t>
      </w:r>
    </w:p>
    <w:p w14:paraId="30413409"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Subinvestiția va consta în modernizarea, extinderea și furnizarea de echipamente noi pentru 25 de unități de terapie intensivă neonatală pentru pacientul critic în vederea diagnosticării timpurii, a tratamentului prenatal, neonatal și postnatal. În mod specific, subinvestiția va acoperi extinderea capacității infrastructurii spitalicești dedicate pacienților critici neonatali cu 124 de paturi suplimentare (inclusiv infrastructura și echipamentele aferente), dotarea a 90 de paturi existente cu aparatura medicală adecvată, precum și îmbunătățirea programului de screening prin dotarea infrastructurii existente cu aparatura medicală relevantă, achiziționarea a 12 unități mobile de terapie intensivă neonatală și construirea și dotarea a 8 centre regionale de formare pentru pacienții critici neonatali.</w:t>
      </w:r>
    </w:p>
    <w:p w14:paraId="50760A85"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Implementarea subinvestiției se va finaliza până la 31 decembrie 2024.</w:t>
      </w:r>
    </w:p>
    <w:p w14:paraId="5B7E7492" w14:textId="77777777" w:rsidR="00981B4A" w:rsidRPr="000A27B3" w:rsidRDefault="00981B4A">
      <w:pPr>
        <w:spacing w:before="120" w:after="120" w:line="240" w:lineRule="auto"/>
        <w:ind w:left="130" w:firstLine="720"/>
        <w:jc w:val="both"/>
        <w:rPr>
          <w:rFonts w:ascii="Times New Roman" w:hAnsi="Times New Roman" w:cs="Times New Roman"/>
          <w:i/>
          <w:iCs/>
          <w:noProof/>
          <w:sz w:val="24"/>
        </w:rPr>
      </w:pPr>
      <w:r>
        <w:rPr>
          <w:rFonts w:ascii="Times New Roman" w:hAnsi="Times New Roman"/>
          <w:i/>
          <w:noProof/>
          <w:sz w:val="24"/>
        </w:rPr>
        <w:t xml:space="preserve">I.2.4 Echipamente și materiale destinate reducerii riscului de infecții nosocomiale </w:t>
      </w:r>
    </w:p>
    <w:p w14:paraId="1D4AE03B" w14:textId="77777777" w:rsidR="00981B4A" w:rsidRPr="000A27B3" w:rsidRDefault="00981B4A">
      <w:pPr>
        <w:spacing w:before="120" w:after="120" w:line="240" w:lineRule="auto"/>
        <w:ind w:left="850"/>
        <w:jc w:val="both"/>
        <w:rPr>
          <w:rFonts w:ascii="Times New Roman" w:hAnsi="Times New Roman" w:cs="Times New Roman"/>
          <w:noProof/>
          <w:sz w:val="24"/>
        </w:rPr>
      </w:pPr>
      <w:r>
        <w:rPr>
          <w:rFonts w:ascii="Times New Roman" w:hAnsi="Times New Roman"/>
          <w:noProof/>
          <w:sz w:val="24"/>
        </w:rPr>
        <w:t>Subinvestiția va consta în dotarea a cel puțin 25 de spitale publice cu echipamente pentru controlul microbiologic al aerului în blocurile operatorii și unitățile de terapie intensivă prin instalații specifice de climatizare, precum și instalații pentru dezinfectarea personalului medical.</w:t>
      </w:r>
    </w:p>
    <w:p w14:paraId="5C88ED15" w14:textId="77777777" w:rsidR="00981B4A" w:rsidRPr="000A27B3" w:rsidRDefault="00981B4A">
      <w:pPr>
        <w:spacing w:before="120" w:after="120" w:line="240" w:lineRule="auto"/>
        <w:ind w:left="850"/>
        <w:rPr>
          <w:rFonts w:ascii="Times New Roman" w:hAnsi="Times New Roman" w:cs="Times New Roman"/>
          <w:noProof/>
          <w:sz w:val="24"/>
        </w:rPr>
        <w:sectPr w:rsidR="00981B4A" w:rsidRPr="000A27B3">
          <w:headerReference w:type="even" r:id="rId253"/>
          <w:headerReference w:type="default" r:id="rId254"/>
          <w:footerReference w:type="even" r:id="rId255"/>
          <w:footerReference w:type="default" r:id="rId256"/>
          <w:headerReference w:type="first" r:id="rId257"/>
          <w:footerReference w:type="first" r:id="rId258"/>
          <w:pgSz w:w="11907" w:h="16839"/>
          <w:pgMar w:top="1134" w:right="1418" w:bottom="1134" w:left="1418" w:header="709" w:footer="709" w:gutter="0"/>
          <w:cols w:space="720"/>
          <w:docGrid w:linePitch="326"/>
        </w:sectPr>
      </w:pPr>
      <w:r>
        <w:rPr>
          <w:rFonts w:ascii="Times New Roman" w:hAnsi="Times New Roman"/>
          <w:noProof/>
          <w:sz w:val="24"/>
        </w:rPr>
        <w:t xml:space="preserve">Implementarea subinvestiției se va finaliza până la 30 iunie 2024. </w:t>
      </w:r>
    </w:p>
    <w:p w14:paraId="0BFC1A92" w14:textId="77777777" w:rsidR="00981B4A" w:rsidRPr="000A27B3" w:rsidRDefault="00981B4A">
      <w:pPr>
        <w:keepNext/>
        <w:spacing w:before="120" w:after="120" w:line="240" w:lineRule="auto"/>
        <w:ind w:left="851"/>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L.2. </w:t>
      </w:r>
      <w:r>
        <w:rPr>
          <w:noProof/>
        </w:rPr>
        <w:tab/>
      </w:r>
      <w:r>
        <w:rPr>
          <w:rFonts w:ascii="Times New Roman" w:hAnsi="Times New Roman"/>
          <w:b/>
          <w:noProof/>
          <w:sz w:val="24"/>
        </w:rPr>
        <w:t>Jaloane, ținte, indicatori și calendarul de monitorizare și implementare aplicabile sprijinului financiar nerambursabil</w:t>
      </w:r>
    </w:p>
    <w:tbl>
      <w:tblPr>
        <w:tblW w:w="15876" w:type="dxa"/>
        <w:jc w:val="center"/>
        <w:tblLayout w:type="fixed"/>
        <w:tblCellMar>
          <w:left w:w="28" w:type="dxa"/>
          <w:right w:w="28" w:type="dxa"/>
        </w:tblCellMar>
        <w:tblLook w:val="04A0" w:firstRow="1" w:lastRow="0" w:firstColumn="1" w:lastColumn="0" w:noHBand="0" w:noVBand="1"/>
      </w:tblPr>
      <w:tblGrid>
        <w:gridCol w:w="729"/>
        <w:gridCol w:w="1656"/>
        <w:gridCol w:w="1123"/>
        <w:gridCol w:w="1992"/>
        <w:gridCol w:w="2104"/>
        <w:gridCol w:w="1031"/>
        <w:gridCol w:w="1080"/>
        <w:gridCol w:w="960"/>
        <w:gridCol w:w="880"/>
        <w:gridCol w:w="773"/>
        <w:gridCol w:w="3548"/>
      </w:tblGrid>
      <w:tr w:rsidR="000A27B3" w:rsidRPr="000A27B3" w14:paraId="61796ACE" w14:textId="77777777" w:rsidTr="00A73055">
        <w:trPr>
          <w:trHeight w:val="927"/>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9401A5"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Număr secvențial</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0FF009"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Măsură conexă (reformă sau investiție)</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783B9F" w14:textId="65B5FFAC"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Jalon/</w:t>
            </w:r>
            <w:r w:rsidR="00A73055">
              <w:rPr>
                <w:rFonts w:ascii="Times New Roman" w:hAnsi="Times New Roman"/>
                <w:b/>
                <w:noProof/>
                <w:sz w:val="24"/>
              </w:rPr>
              <w:br/>
            </w:r>
            <w:r>
              <w:rPr>
                <w:rFonts w:ascii="Times New Roman" w:hAnsi="Times New Roman"/>
                <w:b/>
                <w:noProof/>
                <w:sz w:val="24"/>
              </w:rPr>
              <w:t>țintă</w:t>
            </w:r>
          </w:p>
        </w:tc>
        <w:tc>
          <w:tcPr>
            <w:tcW w:w="19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941F00"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Denumire</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760D7B"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Indicatori</w:t>
            </w:r>
          </w:p>
          <w:p w14:paraId="77EFF049"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07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AE22119"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Indicatori</w:t>
            </w:r>
          </w:p>
          <w:p w14:paraId="601C8A3B" w14:textId="42415210"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653" w:type="dxa"/>
            <w:gridSpan w:val="2"/>
            <w:tcBorders>
              <w:top w:val="single" w:sz="4" w:space="0" w:color="auto"/>
              <w:left w:val="nil"/>
              <w:bottom w:val="single" w:sz="4" w:space="0" w:color="auto"/>
              <w:right w:val="single" w:sz="4" w:space="0" w:color="auto"/>
            </w:tcBorders>
            <w:shd w:val="clear" w:color="auto" w:fill="BDD7EE"/>
            <w:vAlign w:val="center"/>
            <w:hideMark/>
          </w:tcPr>
          <w:p w14:paraId="41EFE495"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Calendar orientativ</w:t>
            </w:r>
          </w:p>
          <w:p w14:paraId="2B20F83B" w14:textId="3F2E7816"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pentru atingerea jaloanelor/</w:t>
            </w:r>
            <w:r w:rsidR="00A73055">
              <w:rPr>
                <w:rFonts w:ascii="Times New Roman" w:hAnsi="Times New Roman"/>
                <w:b/>
                <w:noProof/>
                <w:sz w:val="24"/>
              </w:rPr>
              <w:br/>
            </w:r>
            <w:r>
              <w:rPr>
                <w:rFonts w:ascii="Times New Roman" w:hAnsi="Times New Roman"/>
                <w:b/>
                <w:noProof/>
                <w:sz w:val="24"/>
              </w:rPr>
              <w:t>țintelor</w:t>
            </w:r>
          </w:p>
        </w:tc>
        <w:tc>
          <w:tcPr>
            <w:tcW w:w="354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DFA994"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Descrierea fiecărui jalon și a fiecărei ținte</w:t>
            </w:r>
          </w:p>
        </w:tc>
      </w:tr>
      <w:tr w:rsidR="000A27B3" w:rsidRPr="000A27B3" w14:paraId="025D04AA" w14:textId="77777777" w:rsidTr="00A73055">
        <w:trPr>
          <w:trHeight w:val="624"/>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14:paraId="0A034B16" w14:textId="77777777" w:rsidR="00981B4A" w:rsidRPr="009F1DC7" w:rsidRDefault="00981B4A">
            <w:pPr>
              <w:spacing w:after="0" w:line="240" w:lineRule="auto"/>
              <w:jc w:val="both"/>
              <w:rPr>
                <w:rFonts w:ascii="Times New Roman" w:hAnsi="Times New Roman" w:cs="Times New Roman"/>
                <w:b/>
                <w:noProof/>
                <w:sz w:val="24"/>
                <w:szCs w:val="24"/>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14:paraId="3B645433" w14:textId="77777777" w:rsidR="00981B4A" w:rsidRPr="009F1DC7" w:rsidRDefault="00981B4A">
            <w:pPr>
              <w:spacing w:after="0" w:line="240" w:lineRule="auto"/>
              <w:jc w:val="both"/>
              <w:rPr>
                <w:rFonts w:ascii="Times New Roman" w:hAnsi="Times New Roman" w:cs="Times New Roman"/>
                <w:b/>
                <w:noProof/>
                <w:sz w:val="24"/>
                <w:szCs w:val="24"/>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12FEEDC4" w14:textId="77777777" w:rsidR="00981B4A" w:rsidRPr="009F1DC7" w:rsidRDefault="00981B4A">
            <w:pPr>
              <w:spacing w:after="0" w:line="240" w:lineRule="auto"/>
              <w:jc w:val="both"/>
              <w:rPr>
                <w:rFonts w:ascii="Times New Roman" w:hAnsi="Times New Roman" w:cs="Times New Roman"/>
                <w:b/>
                <w:noProof/>
                <w:sz w:val="24"/>
                <w:szCs w:val="24"/>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58F42562" w14:textId="77777777" w:rsidR="00981B4A" w:rsidRPr="009F1DC7" w:rsidRDefault="00981B4A">
            <w:pPr>
              <w:spacing w:after="0" w:line="240" w:lineRule="auto"/>
              <w:jc w:val="both"/>
              <w:rPr>
                <w:rFonts w:ascii="Times New Roman" w:hAnsi="Times New Roman" w:cs="Times New Roman"/>
                <w:b/>
                <w:noProof/>
                <w:sz w:val="24"/>
                <w:szCs w:val="24"/>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14:paraId="294B0EBF" w14:textId="77777777" w:rsidR="00981B4A" w:rsidRPr="009F1DC7" w:rsidRDefault="00981B4A">
            <w:pPr>
              <w:spacing w:after="0" w:line="240" w:lineRule="auto"/>
              <w:jc w:val="both"/>
              <w:rPr>
                <w:rFonts w:ascii="Times New Roman" w:hAnsi="Times New Roman" w:cs="Times New Roman"/>
                <w:b/>
                <w:noProof/>
                <w:sz w:val="24"/>
                <w:szCs w:val="24"/>
              </w:rPr>
            </w:pPr>
          </w:p>
        </w:tc>
        <w:tc>
          <w:tcPr>
            <w:tcW w:w="1031" w:type="dxa"/>
            <w:tcBorders>
              <w:top w:val="nil"/>
              <w:left w:val="single" w:sz="4" w:space="0" w:color="auto"/>
              <w:bottom w:val="single" w:sz="4" w:space="0" w:color="auto"/>
              <w:right w:val="single" w:sz="4" w:space="0" w:color="auto"/>
            </w:tcBorders>
            <w:shd w:val="clear" w:color="auto" w:fill="BDD7EE"/>
            <w:vAlign w:val="center"/>
            <w:hideMark/>
          </w:tcPr>
          <w:p w14:paraId="3F818FAD"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Unitate</w:t>
            </w:r>
          </w:p>
          <w:p w14:paraId="6871B4F7"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de</w:t>
            </w:r>
          </w:p>
          <w:p w14:paraId="6D384EC1"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măsură</w:t>
            </w:r>
          </w:p>
        </w:tc>
        <w:tc>
          <w:tcPr>
            <w:tcW w:w="1080" w:type="dxa"/>
            <w:tcBorders>
              <w:top w:val="nil"/>
              <w:left w:val="nil"/>
              <w:bottom w:val="single" w:sz="4" w:space="0" w:color="auto"/>
              <w:right w:val="single" w:sz="4" w:space="0" w:color="auto"/>
            </w:tcBorders>
            <w:shd w:val="clear" w:color="auto" w:fill="BDD7EE"/>
            <w:vAlign w:val="center"/>
            <w:hideMark/>
          </w:tcPr>
          <w:p w14:paraId="35BF9F6A" w14:textId="2BC73A3E" w:rsidR="00981B4A" w:rsidRPr="000A27B3" w:rsidRDefault="00981B4A" w:rsidP="005B1269">
            <w:pPr>
              <w:spacing w:after="0" w:line="240" w:lineRule="auto"/>
              <w:jc w:val="center"/>
              <w:rPr>
                <w:rFonts w:ascii="Times New Roman" w:hAnsi="Times New Roman" w:cs="Times New Roman"/>
                <w:b/>
                <w:bCs/>
                <w:noProof/>
                <w:sz w:val="24"/>
                <w:szCs w:val="24"/>
              </w:rPr>
            </w:pPr>
            <w:r>
              <w:rPr>
                <w:rFonts w:ascii="Times New Roman" w:hAnsi="Times New Roman"/>
                <w:b/>
                <w:noProof/>
                <w:sz w:val="24"/>
              </w:rPr>
              <w:t>Valoare de referință</w:t>
            </w:r>
          </w:p>
        </w:tc>
        <w:tc>
          <w:tcPr>
            <w:tcW w:w="960" w:type="dxa"/>
            <w:tcBorders>
              <w:top w:val="nil"/>
              <w:left w:val="nil"/>
              <w:bottom w:val="single" w:sz="4" w:space="0" w:color="auto"/>
              <w:right w:val="single" w:sz="4" w:space="0" w:color="auto"/>
            </w:tcBorders>
            <w:shd w:val="clear" w:color="auto" w:fill="BDD7EE"/>
            <w:vAlign w:val="center"/>
            <w:hideMark/>
          </w:tcPr>
          <w:p w14:paraId="135376E2"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Obiectiv</w:t>
            </w:r>
          </w:p>
        </w:tc>
        <w:tc>
          <w:tcPr>
            <w:tcW w:w="880" w:type="dxa"/>
            <w:tcBorders>
              <w:top w:val="nil"/>
              <w:left w:val="nil"/>
              <w:bottom w:val="single" w:sz="4" w:space="0" w:color="auto"/>
              <w:right w:val="single" w:sz="4" w:space="0" w:color="auto"/>
            </w:tcBorders>
            <w:shd w:val="clear" w:color="auto" w:fill="BDD7EE"/>
            <w:vAlign w:val="center"/>
            <w:hideMark/>
          </w:tcPr>
          <w:p w14:paraId="0404799F" w14:textId="5E3C023B"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Trimes</w:t>
            </w:r>
            <w:r w:rsidR="00A73055">
              <w:rPr>
                <w:rFonts w:ascii="Times New Roman" w:hAnsi="Times New Roman"/>
                <w:b/>
                <w:noProof/>
                <w:sz w:val="24"/>
              </w:rPr>
              <w:br/>
            </w:r>
            <w:r>
              <w:rPr>
                <w:rFonts w:ascii="Times New Roman" w:hAnsi="Times New Roman"/>
                <w:b/>
                <w:noProof/>
                <w:sz w:val="24"/>
              </w:rPr>
              <w:t>tru</w:t>
            </w:r>
          </w:p>
        </w:tc>
        <w:tc>
          <w:tcPr>
            <w:tcW w:w="773" w:type="dxa"/>
            <w:tcBorders>
              <w:top w:val="nil"/>
              <w:left w:val="nil"/>
              <w:bottom w:val="single" w:sz="4" w:space="0" w:color="auto"/>
              <w:right w:val="single" w:sz="4" w:space="0" w:color="auto"/>
            </w:tcBorders>
            <w:shd w:val="clear" w:color="auto" w:fill="BDD7EE"/>
            <w:vAlign w:val="center"/>
            <w:hideMark/>
          </w:tcPr>
          <w:p w14:paraId="3ABA811C" w14:textId="77777777" w:rsidR="00981B4A" w:rsidRPr="000A27B3" w:rsidRDefault="00981B4A">
            <w:pPr>
              <w:spacing w:after="0" w:line="240" w:lineRule="auto"/>
              <w:jc w:val="center"/>
              <w:rPr>
                <w:rFonts w:ascii="Times New Roman" w:hAnsi="Times New Roman" w:cs="Times New Roman"/>
                <w:b/>
                <w:bCs/>
                <w:noProof/>
                <w:sz w:val="24"/>
                <w:szCs w:val="24"/>
              </w:rPr>
            </w:pPr>
            <w:r>
              <w:rPr>
                <w:rFonts w:ascii="Times New Roman" w:hAnsi="Times New Roman"/>
                <w:b/>
                <w:noProof/>
                <w:sz w:val="24"/>
              </w:rPr>
              <w:t>An</w:t>
            </w:r>
          </w:p>
        </w:tc>
        <w:tc>
          <w:tcPr>
            <w:tcW w:w="3548" w:type="dxa"/>
            <w:vMerge/>
            <w:tcBorders>
              <w:top w:val="single" w:sz="4" w:space="0" w:color="auto"/>
              <w:bottom w:val="single" w:sz="4" w:space="0" w:color="auto"/>
              <w:right w:val="single" w:sz="4" w:space="0" w:color="auto"/>
            </w:tcBorders>
            <w:vAlign w:val="center"/>
            <w:hideMark/>
          </w:tcPr>
          <w:p w14:paraId="1FF7D96E" w14:textId="77777777" w:rsidR="00981B4A" w:rsidRPr="000A27B3" w:rsidRDefault="00981B4A">
            <w:pPr>
              <w:spacing w:after="0" w:line="240" w:lineRule="auto"/>
              <w:jc w:val="both"/>
              <w:rPr>
                <w:rFonts w:ascii="Times New Roman" w:hAnsi="Times New Roman" w:cs="Times New Roman"/>
                <w:b/>
                <w:noProof/>
                <w:sz w:val="24"/>
                <w:szCs w:val="24"/>
                <w:lang w:val="en-GB"/>
              </w:rPr>
            </w:pPr>
          </w:p>
        </w:tc>
      </w:tr>
      <w:tr w:rsidR="000A27B3" w:rsidRPr="000A27B3" w14:paraId="273F0F35" w14:textId="77777777" w:rsidTr="00A73055">
        <w:trPr>
          <w:trHeight w:val="309"/>
          <w:jc w:val="center"/>
        </w:trPr>
        <w:tc>
          <w:tcPr>
            <w:tcW w:w="7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noWrap/>
          </w:tcPr>
          <w:p w14:paraId="4588ADF9"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351</w:t>
            </w:r>
          </w:p>
        </w:tc>
        <w:tc>
          <w:tcPr>
            <w:tcW w:w="1656" w:type="dxa"/>
            <w:tcBorders>
              <w:top w:val="single" w:sz="4" w:space="0" w:color="auto"/>
              <w:left w:val="nil"/>
              <w:bottom w:val="single" w:sz="4" w:space="0" w:color="000000" w:themeColor="text1"/>
              <w:right w:val="single" w:sz="4" w:space="0" w:color="000000" w:themeColor="text1"/>
            </w:tcBorders>
            <w:shd w:val="clear" w:color="auto" w:fill="C6EFCE"/>
            <w:noWrap/>
          </w:tcPr>
          <w:p w14:paraId="2786F67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Dezvoltarea capacității pentru gestionarea fondurilor publice din sănătate </w:t>
            </w:r>
          </w:p>
        </w:tc>
        <w:tc>
          <w:tcPr>
            <w:tcW w:w="1123" w:type="dxa"/>
            <w:tcBorders>
              <w:top w:val="single" w:sz="4" w:space="0" w:color="auto"/>
              <w:left w:val="nil"/>
              <w:bottom w:val="single" w:sz="4" w:space="0" w:color="000000" w:themeColor="text1"/>
              <w:right w:val="single" w:sz="4" w:space="0" w:color="000000" w:themeColor="text1"/>
            </w:tcBorders>
            <w:shd w:val="clear" w:color="auto" w:fill="C6EFCE"/>
            <w:noWrap/>
          </w:tcPr>
          <w:p w14:paraId="7FAAD96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auto"/>
              <w:left w:val="nil"/>
              <w:bottom w:val="single" w:sz="4" w:space="0" w:color="000000" w:themeColor="text1"/>
              <w:right w:val="single" w:sz="4" w:space="0" w:color="000000" w:themeColor="text1"/>
            </w:tcBorders>
            <w:shd w:val="clear" w:color="auto" w:fill="C6EFCE"/>
            <w:noWrap/>
          </w:tcPr>
          <w:p w14:paraId="5862FC8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ordinului ministerial privind indicatorii de performanță și de calitate care urmează să fie utilizați pentru selectarea unităților medicale care vor fi finanțate din Fondul pentru calitatea serviciilor medicale</w:t>
            </w:r>
          </w:p>
        </w:tc>
        <w:tc>
          <w:tcPr>
            <w:tcW w:w="2104" w:type="dxa"/>
            <w:tcBorders>
              <w:top w:val="single" w:sz="4" w:space="0" w:color="auto"/>
              <w:left w:val="nil"/>
              <w:bottom w:val="single" w:sz="4" w:space="0" w:color="000000" w:themeColor="text1"/>
              <w:right w:val="single" w:sz="4" w:space="0" w:color="000000" w:themeColor="text1"/>
            </w:tcBorders>
            <w:shd w:val="clear" w:color="auto" w:fill="C6EFCE"/>
            <w:noWrap/>
          </w:tcPr>
          <w:p w14:paraId="687F15E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Dispoziție din ordinul ministerial care indică intrarea în vigoare a ordinului ministerial de adoptare a setului de indicatori de calitate a îngrijirii și a metodologiei necesare pentru selectarea unităților medicale beneficiare</w:t>
            </w:r>
          </w:p>
        </w:tc>
        <w:tc>
          <w:tcPr>
            <w:tcW w:w="1031" w:type="dxa"/>
            <w:tcBorders>
              <w:top w:val="nil"/>
              <w:left w:val="nil"/>
              <w:bottom w:val="single" w:sz="4" w:space="0" w:color="000000" w:themeColor="text1"/>
              <w:right w:val="single" w:sz="4" w:space="0" w:color="000000" w:themeColor="text1"/>
            </w:tcBorders>
            <w:shd w:val="clear" w:color="auto" w:fill="C6EFCE"/>
            <w:noWrap/>
          </w:tcPr>
          <w:p w14:paraId="6E78C5C4" w14:textId="77777777" w:rsidR="00981B4A" w:rsidRPr="009F1DC7" w:rsidRDefault="00981B4A">
            <w:pPr>
              <w:spacing w:after="0" w:line="240" w:lineRule="auto"/>
              <w:jc w:val="both"/>
              <w:rPr>
                <w:rFonts w:ascii="Times New Roman" w:hAnsi="Times New Roman" w:cs="Times New Roman"/>
                <w:noProof/>
                <w:sz w:val="24"/>
                <w:szCs w:val="24"/>
              </w:rPr>
            </w:pPr>
          </w:p>
        </w:tc>
        <w:tc>
          <w:tcPr>
            <w:tcW w:w="1080" w:type="dxa"/>
            <w:tcBorders>
              <w:top w:val="nil"/>
              <w:left w:val="nil"/>
              <w:bottom w:val="single" w:sz="4" w:space="0" w:color="000000" w:themeColor="text1"/>
              <w:right w:val="single" w:sz="4" w:space="0" w:color="000000" w:themeColor="text1"/>
            </w:tcBorders>
            <w:shd w:val="clear" w:color="auto" w:fill="C6EFCE"/>
            <w:noWrap/>
          </w:tcPr>
          <w:p w14:paraId="2A47D189" w14:textId="77777777" w:rsidR="00981B4A" w:rsidRPr="009F1DC7" w:rsidRDefault="00981B4A">
            <w:pPr>
              <w:spacing w:after="0" w:line="240" w:lineRule="auto"/>
              <w:jc w:val="both"/>
              <w:rPr>
                <w:rFonts w:ascii="Times New Roman" w:hAnsi="Times New Roman" w:cs="Times New Roman"/>
                <w:noProof/>
                <w:sz w:val="24"/>
                <w:szCs w:val="24"/>
              </w:rPr>
            </w:pPr>
          </w:p>
        </w:tc>
        <w:tc>
          <w:tcPr>
            <w:tcW w:w="960" w:type="dxa"/>
            <w:tcBorders>
              <w:top w:val="nil"/>
              <w:left w:val="nil"/>
              <w:bottom w:val="single" w:sz="4" w:space="0" w:color="000000" w:themeColor="text1"/>
              <w:right w:val="single" w:sz="4" w:space="0" w:color="000000" w:themeColor="text1"/>
            </w:tcBorders>
            <w:shd w:val="clear" w:color="auto" w:fill="C6EFCE"/>
            <w:noWrap/>
          </w:tcPr>
          <w:p w14:paraId="203E4CD0" w14:textId="77777777" w:rsidR="00981B4A" w:rsidRPr="009F1DC7" w:rsidRDefault="00981B4A">
            <w:pPr>
              <w:spacing w:after="0" w:line="240" w:lineRule="auto"/>
              <w:jc w:val="both"/>
              <w:rPr>
                <w:rFonts w:ascii="Times New Roman" w:hAnsi="Times New Roman" w:cs="Times New Roman"/>
                <w:noProof/>
                <w:sz w:val="24"/>
                <w:szCs w:val="24"/>
              </w:rPr>
            </w:pPr>
          </w:p>
        </w:tc>
        <w:tc>
          <w:tcPr>
            <w:tcW w:w="880" w:type="dxa"/>
            <w:tcBorders>
              <w:top w:val="nil"/>
              <w:left w:val="nil"/>
              <w:bottom w:val="single" w:sz="4" w:space="0" w:color="000000" w:themeColor="text1"/>
              <w:right w:val="single" w:sz="4" w:space="0" w:color="000000" w:themeColor="text1"/>
            </w:tcBorders>
            <w:shd w:val="clear" w:color="auto" w:fill="C6EFCE"/>
            <w:noWrap/>
          </w:tcPr>
          <w:p w14:paraId="11158B7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nil"/>
              <w:left w:val="nil"/>
              <w:bottom w:val="single" w:sz="4" w:space="0" w:color="000000" w:themeColor="text1"/>
              <w:right w:val="single" w:sz="4" w:space="0" w:color="000000" w:themeColor="text1"/>
            </w:tcBorders>
            <w:shd w:val="clear" w:color="auto" w:fill="C6EFCE"/>
            <w:noWrap/>
          </w:tcPr>
          <w:p w14:paraId="029383F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548" w:type="dxa"/>
            <w:tcBorders>
              <w:top w:val="single" w:sz="4" w:space="0" w:color="auto"/>
              <w:left w:val="nil"/>
              <w:bottom w:val="single" w:sz="4" w:space="0" w:color="000000" w:themeColor="text1"/>
              <w:right w:val="single" w:sz="4" w:space="0" w:color="000000" w:themeColor="text1"/>
            </w:tcBorders>
            <w:shd w:val="clear" w:color="auto" w:fill="C6EFCE"/>
            <w:noWrap/>
          </w:tcPr>
          <w:p w14:paraId="703B1FC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Ministerul Sănătății va elabora și va adopta un set de indicatori de proces, indicatori de rezultat și indicatori raportați la pacienți care urmează să fie utilizați pentru evaluarea furnizorilor de servicii medicale, precum și metodologia de selecție bazată pe performanță a unităților beneficiare. Setul de indicatori va include indicatori precum: proporția de pacienți cu evenimente adverse, îmbunătățirea pe scala durerii (scorul din scala analoagă vizuală), rata infecțiilor dobândite în spital, informații de calitate aflate la dispoziția pacienților. </w:t>
            </w:r>
          </w:p>
        </w:tc>
      </w:tr>
      <w:tr w:rsidR="000A27B3" w:rsidRPr="000A27B3" w14:paraId="1ABE3C13" w14:textId="77777777" w:rsidTr="00A73055">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39371CAD"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352</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1253EA13" w14:textId="33783F3B"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1. Dezvoltarea capacității pentru gestionarea fondurilor publice din sănătate</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38478A7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2B9877A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hotărârii de guvern privind un nou model de contract-cadru care să reglementeze condițiile de acordare a asistenței medicale, medicamentele și dispozitivele medicale, dispozitivele și tehnologiile de asistare în cadrul sistemului de asigurări de sănătate </w:t>
            </w:r>
          </w:p>
        </w:tc>
        <w:tc>
          <w:tcPr>
            <w:tcW w:w="2104" w:type="dxa"/>
            <w:tcBorders>
              <w:top w:val="nil"/>
              <w:left w:val="nil"/>
              <w:bottom w:val="single" w:sz="4" w:space="0" w:color="000000" w:themeColor="text1"/>
              <w:right w:val="single" w:sz="4" w:space="0" w:color="000000" w:themeColor="text1"/>
            </w:tcBorders>
            <w:shd w:val="clear" w:color="auto" w:fill="C6EFCE"/>
            <w:noWrap/>
          </w:tcPr>
          <w:p w14:paraId="133271B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Dispoziție din hotărârea de guvern care indică intrarea în vigoare a hotărârii de guvern și a ordinului comun al Ministerului Sănătății și al Casei Naționale de Asigurări de Sănătate</w:t>
            </w:r>
          </w:p>
        </w:tc>
        <w:tc>
          <w:tcPr>
            <w:tcW w:w="1031" w:type="dxa"/>
            <w:tcBorders>
              <w:top w:val="nil"/>
              <w:left w:val="nil"/>
              <w:bottom w:val="single" w:sz="4" w:space="0" w:color="000000" w:themeColor="text1"/>
              <w:right w:val="single" w:sz="4" w:space="0" w:color="000000" w:themeColor="text1"/>
            </w:tcBorders>
            <w:shd w:val="clear" w:color="auto" w:fill="C6EFCE"/>
            <w:noWrap/>
          </w:tcPr>
          <w:p w14:paraId="114180F4" w14:textId="77777777" w:rsidR="00981B4A" w:rsidRPr="009F1DC7" w:rsidRDefault="00981B4A">
            <w:pPr>
              <w:spacing w:after="0" w:line="240" w:lineRule="auto"/>
              <w:jc w:val="both"/>
              <w:rPr>
                <w:rFonts w:ascii="Times New Roman" w:hAnsi="Times New Roman" w:cs="Times New Roman"/>
                <w:noProof/>
                <w:sz w:val="24"/>
                <w:szCs w:val="24"/>
              </w:rPr>
            </w:pPr>
          </w:p>
        </w:tc>
        <w:tc>
          <w:tcPr>
            <w:tcW w:w="1080" w:type="dxa"/>
            <w:tcBorders>
              <w:top w:val="nil"/>
              <w:left w:val="nil"/>
              <w:bottom w:val="single" w:sz="4" w:space="0" w:color="000000" w:themeColor="text1"/>
              <w:right w:val="single" w:sz="4" w:space="0" w:color="000000" w:themeColor="text1"/>
            </w:tcBorders>
            <w:shd w:val="clear" w:color="auto" w:fill="C6EFCE"/>
            <w:noWrap/>
          </w:tcPr>
          <w:p w14:paraId="18FCD3B4" w14:textId="77777777" w:rsidR="00981B4A" w:rsidRPr="009F1DC7" w:rsidRDefault="00981B4A">
            <w:pPr>
              <w:spacing w:after="0" w:line="240" w:lineRule="auto"/>
              <w:jc w:val="both"/>
              <w:rPr>
                <w:rFonts w:ascii="Times New Roman" w:hAnsi="Times New Roman" w:cs="Times New Roman"/>
                <w:noProof/>
                <w:sz w:val="24"/>
                <w:szCs w:val="24"/>
              </w:rPr>
            </w:pPr>
          </w:p>
        </w:tc>
        <w:tc>
          <w:tcPr>
            <w:tcW w:w="960" w:type="dxa"/>
            <w:tcBorders>
              <w:top w:val="nil"/>
              <w:left w:val="nil"/>
              <w:bottom w:val="single" w:sz="4" w:space="0" w:color="000000" w:themeColor="text1"/>
              <w:right w:val="single" w:sz="4" w:space="0" w:color="000000" w:themeColor="text1"/>
            </w:tcBorders>
            <w:shd w:val="clear" w:color="auto" w:fill="C6EFCE"/>
            <w:noWrap/>
          </w:tcPr>
          <w:p w14:paraId="365269AC" w14:textId="77777777" w:rsidR="00981B4A" w:rsidRPr="009F1DC7" w:rsidRDefault="00981B4A">
            <w:pPr>
              <w:spacing w:after="0" w:line="240" w:lineRule="auto"/>
              <w:jc w:val="both"/>
              <w:rPr>
                <w:rFonts w:ascii="Times New Roman" w:hAnsi="Times New Roman" w:cs="Times New Roman"/>
                <w:noProof/>
                <w:sz w:val="24"/>
                <w:szCs w:val="24"/>
              </w:rPr>
            </w:pPr>
          </w:p>
        </w:tc>
        <w:tc>
          <w:tcPr>
            <w:tcW w:w="880" w:type="dxa"/>
            <w:tcBorders>
              <w:top w:val="nil"/>
              <w:left w:val="nil"/>
              <w:bottom w:val="single" w:sz="4" w:space="0" w:color="000000" w:themeColor="text1"/>
              <w:right w:val="single" w:sz="4" w:space="0" w:color="000000" w:themeColor="text1"/>
            </w:tcBorders>
            <w:shd w:val="clear" w:color="auto" w:fill="C6EFCE"/>
            <w:noWrap/>
          </w:tcPr>
          <w:p w14:paraId="12ACB7B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nil"/>
              <w:left w:val="nil"/>
              <w:bottom w:val="single" w:sz="4" w:space="0" w:color="000000" w:themeColor="text1"/>
              <w:right w:val="single" w:sz="4" w:space="0" w:color="000000" w:themeColor="text1"/>
            </w:tcBorders>
            <w:shd w:val="clear" w:color="auto" w:fill="C6EFCE"/>
            <w:noWrap/>
          </w:tcPr>
          <w:p w14:paraId="070FAA5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7F0779F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Noul contract-cadru va urmări:</w:t>
            </w:r>
          </w:p>
          <w:p w14:paraId="5CDDE951" w14:textId="77777777" w:rsidR="00981B4A" w:rsidRPr="000A27B3" w:rsidRDefault="00981B4A" w:rsidP="00981B4A">
            <w:pPr>
              <w:numPr>
                <w:ilvl w:val="0"/>
                <w:numId w:val="93"/>
              </w:numPr>
              <w:pBdr>
                <w:top w:val="nil"/>
                <w:left w:val="nil"/>
                <w:bottom w:val="nil"/>
                <w:right w:val="nil"/>
                <w:between w:val="nil"/>
              </w:pBdr>
              <w:spacing w:after="0" w:line="240" w:lineRule="auto"/>
              <w:ind w:left="260" w:hanging="260"/>
              <w:jc w:val="both"/>
              <w:rPr>
                <w:rFonts w:ascii="Times New Roman" w:eastAsia="Calibri" w:hAnsi="Times New Roman" w:cs="Times New Roman"/>
                <w:noProof/>
                <w:sz w:val="24"/>
                <w:szCs w:val="24"/>
              </w:rPr>
            </w:pPr>
            <w:r>
              <w:rPr>
                <w:rFonts w:ascii="Times New Roman" w:hAnsi="Times New Roman"/>
                <w:noProof/>
                <w:sz w:val="24"/>
              </w:rPr>
              <w:t>îmbunătățirea managementului Fondului național de asigurări de sănătate;</w:t>
            </w:r>
          </w:p>
          <w:p w14:paraId="484CAF74" w14:textId="77777777" w:rsidR="00981B4A" w:rsidRPr="000A27B3" w:rsidRDefault="00981B4A" w:rsidP="00981B4A">
            <w:pPr>
              <w:numPr>
                <w:ilvl w:val="0"/>
                <w:numId w:val="93"/>
              </w:numPr>
              <w:pBdr>
                <w:top w:val="nil"/>
                <w:left w:val="nil"/>
                <w:bottom w:val="nil"/>
                <w:right w:val="nil"/>
                <w:between w:val="nil"/>
              </w:pBdr>
              <w:spacing w:after="0" w:line="240" w:lineRule="auto"/>
              <w:ind w:left="260" w:hanging="260"/>
              <w:jc w:val="both"/>
              <w:rPr>
                <w:rFonts w:ascii="Times New Roman" w:eastAsia="Calibri" w:hAnsi="Times New Roman" w:cs="Times New Roman"/>
                <w:noProof/>
                <w:sz w:val="24"/>
                <w:szCs w:val="24"/>
              </w:rPr>
            </w:pPr>
            <w:r>
              <w:rPr>
                <w:rFonts w:ascii="Times New Roman" w:hAnsi="Times New Roman"/>
                <w:noProof/>
                <w:sz w:val="24"/>
              </w:rPr>
              <w:t>creșterea ponderii serviciilor de asistență medicală ambulatorie pentru a reduce presiunea asupra sistemului spitalicesc;</w:t>
            </w:r>
          </w:p>
          <w:p w14:paraId="40F3C59D" w14:textId="77777777" w:rsidR="00981B4A" w:rsidRPr="000A27B3" w:rsidRDefault="00981B4A" w:rsidP="00981B4A">
            <w:pPr>
              <w:numPr>
                <w:ilvl w:val="0"/>
                <w:numId w:val="93"/>
              </w:numPr>
              <w:pBdr>
                <w:top w:val="nil"/>
                <w:left w:val="nil"/>
                <w:bottom w:val="nil"/>
                <w:right w:val="nil"/>
                <w:between w:val="nil"/>
              </w:pBdr>
              <w:spacing w:after="0" w:line="240" w:lineRule="auto"/>
              <w:ind w:left="260" w:hanging="260"/>
              <w:jc w:val="both"/>
              <w:rPr>
                <w:rFonts w:ascii="Times New Roman" w:eastAsia="Calibri" w:hAnsi="Times New Roman" w:cs="Times New Roman"/>
                <w:noProof/>
                <w:sz w:val="24"/>
                <w:szCs w:val="24"/>
              </w:rPr>
            </w:pPr>
            <w:r>
              <w:rPr>
                <w:rFonts w:ascii="Times New Roman" w:hAnsi="Times New Roman"/>
                <w:noProof/>
                <w:sz w:val="24"/>
              </w:rPr>
              <w:t xml:space="preserve">promovarea prestării serviciilor de prevenție și diagnostic precoce al bolilor, cu precădere la nivelul asistenței medicale primare; </w:t>
            </w:r>
          </w:p>
          <w:p w14:paraId="62F0F505" w14:textId="77777777" w:rsidR="00981B4A" w:rsidRPr="000A27B3" w:rsidRDefault="00981B4A" w:rsidP="00981B4A">
            <w:pPr>
              <w:numPr>
                <w:ilvl w:val="0"/>
                <w:numId w:val="93"/>
              </w:numPr>
              <w:pBdr>
                <w:top w:val="nil"/>
                <w:left w:val="nil"/>
                <w:bottom w:val="nil"/>
                <w:right w:val="nil"/>
                <w:between w:val="nil"/>
              </w:pBdr>
              <w:spacing w:after="0" w:line="240" w:lineRule="auto"/>
              <w:ind w:left="260" w:hanging="260"/>
              <w:jc w:val="both"/>
              <w:rPr>
                <w:rFonts w:ascii="Times New Roman" w:eastAsia="Calibri" w:hAnsi="Times New Roman" w:cs="Times New Roman"/>
                <w:noProof/>
                <w:sz w:val="24"/>
                <w:szCs w:val="24"/>
              </w:rPr>
            </w:pPr>
            <w:r>
              <w:rPr>
                <w:rFonts w:ascii="Times New Roman" w:hAnsi="Times New Roman"/>
                <w:noProof/>
                <w:sz w:val="24"/>
              </w:rPr>
              <w:t>facilitarea serviciilor la distanță asigurate de furnizorii de servicii medicale;</w:t>
            </w:r>
          </w:p>
          <w:p w14:paraId="50F4AA9D" w14:textId="77777777" w:rsidR="00981B4A" w:rsidRPr="000A27B3" w:rsidRDefault="00981B4A" w:rsidP="00981B4A">
            <w:pPr>
              <w:numPr>
                <w:ilvl w:val="0"/>
                <w:numId w:val="93"/>
              </w:numPr>
              <w:pBdr>
                <w:top w:val="nil"/>
                <w:left w:val="nil"/>
                <w:bottom w:val="nil"/>
                <w:right w:val="nil"/>
                <w:between w:val="nil"/>
              </w:pBdr>
              <w:spacing w:after="0" w:line="240" w:lineRule="auto"/>
              <w:ind w:left="260" w:hanging="260"/>
              <w:jc w:val="both"/>
              <w:rPr>
                <w:rFonts w:ascii="Times New Roman" w:eastAsia="Calibri" w:hAnsi="Times New Roman" w:cs="Times New Roman"/>
                <w:noProof/>
                <w:sz w:val="24"/>
                <w:szCs w:val="24"/>
              </w:rPr>
            </w:pPr>
            <w:r>
              <w:rPr>
                <w:rFonts w:ascii="Times New Roman" w:hAnsi="Times New Roman"/>
                <w:noProof/>
                <w:sz w:val="24"/>
              </w:rPr>
              <w:t>reducerea disparităților între mediul rural și cel urban în ceea ce privește accesul la asistență medicală prin crearea de stimulente pentru ca medicii de familie/medicii specialiști să furnizeze servicii în zonele îndepărtate și slab deservite;</w:t>
            </w:r>
          </w:p>
          <w:p w14:paraId="55423528" w14:textId="77777777" w:rsidR="00981B4A" w:rsidRPr="000A27B3" w:rsidRDefault="00981B4A" w:rsidP="00981B4A">
            <w:pPr>
              <w:numPr>
                <w:ilvl w:val="0"/>
                <w:numId w:val="93"/>
              </w:numPr>
              <w:pBdr>
                <w:top w:val="nil"/>
                <w:left w:val="nil"/>
                <w:bottom w:val="nil"/>
                <w:right w:val="nil"/>
                <w:between w:val="nil"/>
              </w:pBdr>
              <w:spacing w:after="0" w:line="240" w:lineRule="auto"/>
              <w:ind w:left="260" w:hanging="260"/>
              <w:jc w:val="both"/>
              <w:rPr>
                <w:rFonts w:ascii="Times New Roman" w:eastAsia="Calibri" w:hAnsi="Times New Roman" w:cs="Times New Roman"/>
                <w:noProof/>
                <w:sz w:val="24"/>
                <w:szCs w:val="24"/>
              </w:rPr>
            </w:pPr>
            <w:r>
              <w:rPr>
                <w:rFonts w:ascii="Times New Roman" w:hAnsi="Times New Roman"/>
                <w:noProof/>
                <w:sz w:val="24"/>
              </w:rPr>
              <w:t>extinderea acoperirii serviciilor de asistență medicală primară, de specialitate și comunitară pentru a include serviciile de prevenție și de diagnostic precoce.</w:t>
            </w:r>
          </w:p>
          <w:p w14:paraId="67FE1D7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Modificările principale vizează proceduri și condiții de contractare cu furnizori de servicii, mecanisme de finanțare și pachete de servicii pentru asigurați și neasigurați.</w:t>
            </w:r>
          </w:p>
        </w:tc>
      </w:tr>
      <w:tr w:rsidR="000A27B3" w:rsidRPr="000A27B3" w14:paraId="26029502" w14:textId="77777777" w:rsidTr="00A73055">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0F135B74"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 xml:space="preserve">353 </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74A82D9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Dezvoltarea capacității pentru gestionarea fondurilor publice din sănătate </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72EA838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29C595F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modificării legislative necesare pentru a include rezultatele revizuirii cheltuielilor bugetare în procesul bugetar</w:t>
            </w:r>
          </w:p>
        </w:tc>
        <w:tc>
          <w:tcPr>
            <w:tcW w:w="2104" w:type="dxa"/>
            <w:tcBorders>
              <w:top w:val="nil"/>
              <w:left w:val="nil"/>
              <w:bottom w:val="single" w:sz="4" w:space="0" w:color="000000" w:themeColor="text1"/>
              <w:right w:val="single" w:sz="4" w:space="0" w:color="000000" w:themeColor="text1"/>
            </w:tcBorders>
            <w:shd w:val="clear" w:color="auto" w:fill="C6EFCE"/>
            <w:noWrap/>
          </w:tcPr>
          <w:p w14:paraId="1C16BAD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Procesul bugetar ia în considerare rezultatele revizuirii cheltuielilor în domeniul sănătății, care va fi finalizată în 2023 de Ministerul Finanțelor. </w:t>
            </w:r>
          </w:p>
        </w:tc>
        <w:tc>
          <w:tcPr>
            <w:tcW w:w="1031" w:type="dxa"/>
            <w:tcBorders>
              <w:top w:val="nil"/>
              <w:left w:val="nil"/>
              <w:bottom w:val="single" w:sz="4" w:space="0" w:color="000000" w:themeColor="text1"/>
              <w:right w:val="single" w:sz="4" w:space="0" w:color="000000" w:themeColor="text1"/>
            </w:tcBorders>
            <w:shd w:val="clear" w:color="auto" w:fill="C6EFCE"/>
            <w:noWrap/>
          </w:tcPr>
          <w:p w14:paraId="2F0A6D9F" w14:textId="77777777" w:rsidR="00981B4A" w:rsidRPr="009F1DC7" w:rsidRDefault="00981B4A">
            <w:pPr>
              <w:spacing w:after="0" w:line="240" w:lineRule="auto"/>
              <w:jc w:val="both"/>
              <w:rPr>
                <w:rFonts w:ascii="Times New Roman" w:hAnsi="Times New Roman" w:cs="Times New Roman"/>
                <w:noProof/>
                <w:sz w:val="24"/>
                <w:szCs w:val="24"/>
              </w:rPr>
            </w:pPr>
          </w:p>
        </w:tc>
        <w:tc>
          <w:tcPr>
            <w:tcW w:w="1080" w:type="dxa"/>
            <w:tcBorders>
              <w:top w:val="nil"/>
              <w:left w:val="nil"/>
              <w:bottom w:val="single" w:sz="4" w:space="0" w:color="000000" w:themeColor="text1"/>
              <w:right w:val="single" w:sz="4" w:space="0" w:color="000000" w:themeColor="text1"/>
            </w:tcBorders>
            <w:shd w:val="clear" w:color="auto" w:fill="C6EFCE"/>
            <w:noWrap/>
          </w:tcPr>
          <w:p w14:paraId="3E1C4A59" w14:textId="77777777" w:rsidR="00981B4A" w:rsidRPr="009F1DC7" w:rsidRDefault="00981B4A">
            <w:pPr>
              <w:spacing w:after="0" w:line="240" w:lineRule="auto"/>
              <w:jc w:val="both"/>
              <w:rPr>
                <w:rFonts w:ascii="Times New Roman" w:hAnsi="Times New Roman" w:cs="Times New Roman"/>
                <w:noProof/>
                <w:sz w:val="24"/>
                <w:szCs w:val="24"/>
              </w:rPr>
            </w:pPr>
          </w:p>
        </w:tc>
        <w:tc>
          <w:tcPr>
            <w:tcW w:w="960" w:type="dxa"/>
            <w:tcBorders>
              <w:top w:val="nil"/>
              <w:left w:val="nil"/>
              <w:bottom w:val="single" w:sz="4" w:space="0" w:color="000000" w:themeColor="text1"/>
              <w:right w:val="single" w:sz="4" w:space="0" w:color="000000" w:themeColor="text1"/>
            </w:tcBorders>
            <w:shd w:val="clear" w:color="auto" w:fill="C6EFCE"/>
            <w:noWrap/>
          </w:tcPr>
          <w:p w14:paraId="5E5D0D26" w14:textId="77777777" w:rsidR="00981B4A" w:rsidRPr="009F1DC7" w:rsidRDefault="00981B4A">
            <w:pPr>
              <w:spacing w:after="0" w:line="240" w:lineRule="auto"/>
              <w:jc w:val="both"/>
              <w:rPr>
                <w:rFonts w:ascii="Times New Roman" w:hAnsi="Times New Roman" w:cs="Times New Roman"/>
                <w:noProof/>
                <w:sz w:val="24"/>
                <w:szCs w:val="24"/>
              </w:rPr>
            </w:pPr>
          </w:p>
        </w:tc>
        <w:tc>
          <w:tcPr>
            <w:tcW w:w="880" w:type="dxa"/>
            <w:tcBorders>
              <w:top w:val="nil"/>
              <w:left w:val="nil"/>
              <w:bottom w:val="single" w:sz="4" w:space="0" w:color="000000" w:themeColor="text1"/>
              <w:right w:val="single" w:sz="4" w:space="0" w:color="000000" w:themeColor="text1"/>
            </w:tcBorders>
            <w:shd w:val="clear" w:color="auto" w:fill="C6EFCE"/>
            <w:noWrap/>
          </w:tcPr>
          <w:p w14:paraId="32CE5C5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773" w:type="dxa"/>
            <w:tcBorders>
              <w:top w:val="nil"/>
              <w:left w:val="nil"/>
              <w:bottom w:val="single" w:sz="4" w:space="0" w:color="000000" w:themeColor="text1"/>
              <w:right w:val="single" w:sz="4" w:space="0" w:color="000000" w:themeColor="text1"/>
            </w:tcBorders>
            <w:shd w:val="clear" w:color="auto" w:fill="C6EFCE"/>
            <w:noWrap/>
          </w:tcPr>
          <w:p w14:paraId="31B896B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117BF8E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Ministerul Sănătății va implementa în cadrul procesului său bugetar rezultatul revizuirii cheltuielilor în domeniul sănătății efectuate de Ministerul Finanțelor. Acest lucru se va realiza începând cu anul următor finalizării revizuirii cheltuielilor.</w:t>
            </w:r>
          </w:p>
          <w:p w14:paraId="5C077AE5" w14:textId="77777777" w:rsidR="00981B4A" w:rsidRPr="009F1DC7" w:rsidRDefault="00981B4A">
            <w:pPr>
              <w:spacing w:after="0" w:line="240" w:lineRule="auto"/>
              <w:jc w:val="both"/>
              <w:rPr>
                <w:rFonts w:ascii="Times New Roman" w:hAnsi="Times New Roman" w:cs="Times New Roman"/>
                <w:noProof/>
                <w:sz w:val="24"/>
                <w:szCs w:val="24"/>
              </w:rPr>
            </w:pPr>
          </w:p>
        </w:tc>
      </w:tr>
      <w:tr w:rsidR="000A27B3" w:rsidRPr="000A27B3" w14:paraId="391E9791" w14:textId="77777777" w:rsidTr="00A73055">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4C1B4432"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354</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4D13FD2B" w14:textId="5828B5C2"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Dezvoltarea capacității pentru gestionarea fondurilor publice din sănătate </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12E42DA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56B7D04E" w14:textId="77777777" w:rsidR="00981B4A" w:rsidRPr="000A27B3" w:rsidRDefault="00981B4A">
            <w:pPr>
              <w:spacing w:before="120" w:after="0" w:line="240" w:lineRule="auto"/>
              <w:jc w:val="both"/>
              <w:rPr>
                <w:rFonts w:ascii="Times New Roman" w:hAnsi="Times New Roman" w:cs="Times New Roman"/>
                <w:noProof/>
                <w:sz w:val="24"/>
                <w:szCs w:val="24"/>
              </w:rPr>
            </w:pPr>
            <w:r>
              <w:rPr>
                <w:rFonts w:ascii="Times New Roman" w:hAnsi="Times New Roman"/>
                <w:noProof/>
                <w:sz w:val="24"/>
              </w:rPr>
              <w:t>Îmbunătățirea accesibilității asistenței medicale prin reducerea procentului de persoane care raportează nevoi medicale nesatisfăcute</w:t>
            </w:r>
          </w:p>
        </w:tc>
        <w:tc>
          <w:tcPr>
            <w:tcW w:w="2104" w:type="dxa"/>
            <w:tcBorders>
              <w:top w:val="nil"/>
              <w:left w:val="nil"/>
              <w:bottom w:val="single" w:sz="4" w:space="0" w:color="000000" w:themeColor="text1"/>
              <w:right w:val="single" w:sz="4" w:space="0" w:color="000000" w:themeColor="text1"/>
            </w:tcBorders>
            <w:shd w:val="clear" w:color="auto" w:fill="C6EFCE"/>
            <w:noWrap/>
          </w:tcPr>
          <w:p w14:paraId="64BF3778"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31" w:type="dxa"/>
            <w:tcBorders>
              <w:top w:val="nil"/>
              <w:left w:val="nil"/>
              <w:bottom w:val="single" w:sz="4" w:space="0" w:color="000000" w:themeColor="text1"/>
              <w:right w:val="single" w:sz="4" w:space="0" w:color="000000" w:themeColor="text1"/>
            </w:tcBorders>
            <w:shd w:val="clear" w:color="auto" w:fill="C6EFCE"/>
            <w:noWrap/>
          </w:tcPr>
          <w:p w14:paraId="16BFEF7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Procent</w:t>
            </w:r>
          </w:p>
        </w:tc>
        <w:tc>
          <w:tcPr>
            <w:tcW w:w="1080" w:type="dxa"/>
            <w:tcBorders>
              <w:top w:val="nil"/>
              <w:left w:val="nil"/>
              <w:bottom w:val="single" w:sz="4" w:space="0" w:color="000000" w:themeColor="text1"/>
              <w:right w:val="single" w:sz="4" w:space="0" w:color="000000" w:themeColor="text1"/>
            </w:tcBorders>
            <w:shd w:val="clear" w:color="auto" w:fill="C6EFCE"/>
            <w:noWrap/>
          </w:tcPr>
          <w:p w14:paraId="5C520E7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4,9</w:t>
            </w:r>
          </w:p>
        </w:tc>
        <w:tc>
          <w:tcPr>
            <w:tcW w:w="960" w:type="dxa"/>
            <w:tcBorders>
              <w:top w:val="nil"/>
              <w:left w:val="nil"/>
              <w:bottom w:val="single" w:sz="4" w:space="0" w:color="000000" w:themeColor="text1"/>
              <w:right w:val="single" w:sz="4" w:space="0" w:color="000000" w:themeColor="text1"/>
            </w:tcBorders>
            <w:shd w:val="clear" w:color="auto" w:fill="C6EFCE"/>
            <w:noWrap/>
          </w:tcPr>
          <w:p w14:paraId="530165C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4,2</w:t>
            </w:r>
          </w:p>
        </w:tc>
        <w:tc>
          <w:tcPr>
            <w:tcW w:w="880" w:type="dxa"/>
            <w:tcBorders>
              <w:top w:val="nil"/>
              <w:left w:val="nil"/>
              <w:bottom w:val="single" w:sz="4" w:space="0" w:color="000000" w:themeColor="text1"/>
              <w:right w:val="single" w:sz="4" w:space="0" w:color="000000" w:themeColor="text1"/>
            </w:tcBorders>
            <w:shd w:val="clear" w:color="auto" w:fill="C6EFCE"/>
            <w:noWrap/>
          </w:tcPr>
          <w:p w14:paraId="77A9B9B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nil"/>
              <w:left w:val="nil"/>
              <w:bottom w:val="single" w:sz="4" w:space="0" w:color="000000" w:themeColor="text1"/>
              <w:right w:val="single" w:sz="4" w:space="0" w:color="000000" w:themeColor="text1"/>
            </w:tcBorders>
            <w:shd w:val="clear" w:color="auto" w:fill="C6EFCE"/>
            <w:noWrap/>
          </w:tcPr>
          <w:p w14:paraId="45466D1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39D3A31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Nevoia nesatisfăcută de examinare și îngrijire medicală poate fi cauzată de (1) motive financiare, (2) liste de așteptare și (3) necesitatea de a călători prea departe. Indicatorul Eurostat care estimează nivelul de accesibilitate la serviciile de asistență medicală ia în considerare toate cele trei motive. Îngrijirile medicale se referă la servicii medicale individuale (examinare sau tratament medical, cu excepția serviciilor stomatologice) furnizate de către sau sub supravegherea directă a unor medici sau a unor profesii echivalente, în conformitate cu sistemele naționale de sănătate. Datele sunt colectate din statisticile UE referitoare la venit și la condițiile de viață și se referă la aceste nevoi în cursul celor 12 luni anterioare.</w:t>
            </w:r>
          </w:p>
          <w:p w14:paraId="072532E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Prin îmbunătățirea accesului la asistență medicală, se preconizează că proporția persoanelor care raportează nevoi medicale nesatisfăcute va scădea de la 4,9 % în 2019 (referință) la 4,2 % în T2 2026.</w:t>
            </w:r>
          </w:p>
        </w:tc>
      </w:tr>
      <w:tr w:rsidR="000A27B3" w:rsidRPr="000A27B3" w14:paraId="4D47C8F3" w14:textId="77777777" w:rsidTr="00A73055">
        <w:trPr>
          <w:trHeight w:val="309"/>
          <w:jc w:val="center"/>
        </w:trPr>
        <w:tc>
          <w:tcPr>
            <w:tcW w:w="729" w:type="dxa"/>
            <w:tcBorders>
              <w:top w:val="nil"/>
              <w:left w:val="single" w:sz="4" w:space="0" w:color="000000" w:themeColor="text1"/>
              <w:bottom w:val="single" w:sz="4" w:space="0" w:color="000000" w:themeColor="text1"/>
              <w:right w:val="single" w:sz="4" w:space="0" w:color="000000" w:themeColor="text1"/>
            </w:tcBorders>
            <w:shd w:val="clear" w:color="auto" w:fill="C6EFCE"/>
            <w:noWrap/>
          </w:tcPr>
          <w:p w14:paraId="65A972BC"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355</w:t>
            </w:r>
          </w:p>
        </w:tc>
        <w:tc>
          <w:tcPr>
            <w:tcW w:w="1656" w:type="dxa"/>
            <w:tcBorders>
              <w:top w:val="nil"/>
              <w:left w:val="nil"/>
              <w:bottom w:val="single" w:sz="4" w:space="0" w:color="000000" w:themeColor="text1"/>
              <w:right w:val="single" w:sz="4" w:space="0" w:color="000000" w:themeColor="text1"/>
            </w:tcBorders>
            <w:shd w:val="clear" w:color="auto" w:fill="C6EFCE"/>
            <w:noWrap/>
          </w:tcPr>
          <w:p w14:paraId="30A38711" w14:textId="076ADAA1"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Dezvoltarea capacității de investiții în infrastructura sanitară </w:t>
            </w:r>
          </w:p>
        </w:tc>
        <w:tc>
          <w:tcPr>
            <w:tcW w:w="1123" w:type="dxa"/>
            <w:tcBorders>
              <w:top w:val="nil"/>
              <w:left w:val="nil"/>
              <w:bottom w:val="single" w:sz="4" w:space="0" w:color="000000" w:themeColor="text1"/>
              <w:right w:val="single" w:sz="4" w:space="0" w:color="000000" w:themeColor="text1"/>
            </w:tcBorders>
            <w:shd w:val="clear" w:color="auto" w:fill="C6EFCE"/>
            <w:noWrap/>
          </w:tcPr>
          <w:p w14:paraId="0C8158D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nil"/>
              <w:left w:val="nil"/>
              <w:bottom w:val="single" w:sz="4" w:space="0" w:color="000000" w:themeColor="text1"/>
              <w:right w:val="single" w:sz="4" w:space="0" w:color="000000" w:themeColor="text1"/>
            </w:tcBorders>
            <w:shd w:val="clear" w:color="auto" w:fill="C6EFCE"/>
            <w:noWrap/>
          </w:tcPr>
          <w:p w14:paraId="593901E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cadrului legislativ de instituire a Agenției Naționale pentru Dezvoltarea Infrastructurii în Sănătate (ANDIS) </w:t>
            </w:r>
          </w:p>
          <w:p w14:paraId="7B0AA254" w14:textId="77777777" w:rsidR="00981B4A" w:rsidRPr="009F1DC7" w:rsidRDefault="00981B4A">
            <w:pPr>
              <w:spacing w:after="0" w:line="240" w:lineRule="auto"/>
              <w:jc w:val="both"/>
              <w:rPr>
                <w:rFonts w:ascii="Times New Roman" w:hAnsi="Times New Roman" w:cs="Times New Roman"/>
                <w:noProof/>
                <w:sz w:val="24"/>
                <w:szCs w:val="24"/>
                <w:lang w:val="fr-FR"/>
              </w:rPr>
            </w:pPr>
          </w:p>
          <w:p w14:paraId="62025F2F" w14:textId="77777777" w:rsidR="00981B4A" w:rsidRPr="009F1DC7" w:rsidRDefault="00981B4A">
            <w:pPr>
              <w:spacing w:before="120" w:after="0" w:line="240" w:lineRule="auto"/>
              <w:jc w:val="both"/>
              <w:rPr>
                <w:rFonts w:ascii="Times New Roman" w:hAnsi="Times New Roman" w:cs="Times New Roman"/>
                <w:noProof/>
                <w:sz w:val="24"/>
                <w:szCs w:val="24"/>
                <w:lang w:val="fr-FR"/>
              </w:rPr>
            </w:pPr>
          </w:p>
        </w:tc>
        <w:tc>
          <w:tcPr>
            <w:tcW w:w="2104" w:type="dxa"/>
            <w:tcBorders>
              <w:top w:val="nil"/>
              <w:left w:val="nil"/>
              <w:bottom w:val="single" w:sz="4" w:space="0" w:color="000000" w:themeColor="text1"/>
              <w:right w:val="single" w:sz="4" w:space="0" w:color="000000" w:themeColor="text1"/>
            </w:tcBorders>
            <w:shd w:val="clear" w:color="auto" w:fill="C6EFCE"/>
            <w:noWrap/>
          </w:tcPr>
          <w:p w14:paraId="100A72D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cadrului legislativ de instituire a Agenției Naționale pentru Dezvoltarea Infrastructurii în Sănătate (ANDIS)</w:t>
            </w:r>
          </w:p>
        </w:tc>
        <w:tc>
          <w:tcPr>
            <w:tcW w:w="1031" w:type="dxa"/>
            <w:tcBorders>
              <w:top w:val="nil"/>
              <w:left w:val="nil"/>
              <w:bottom w:val="single" w:sz="4" w:space="0" w:color="000000" w:themeColor="text1"/>
              <w:right w:val="single" w:sz="4" w:space="0" w:color="000000" w:themeColor="text1"/>
            </w:tcBorders>
            <w:shd w:val="clear" w:color="auto" w:fill="C6EFCE"/>
            <w:noWrap/>
          </w:tcPr>
          <w:p w14:paraId="7BE4FACB"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80" w:type="dxa"/>
            <w:tcBorders>
              <w:top w:val="nil"/>
              <w:left w:val="nil"/>
              <w:bottom w:val="single" w:sz="4" w:space="0" w:color="000000" w:themeColor="text1"/>
              <w:right w:val="single" w:sz="4" w:space="0" w:color="000000" w:themeColor="text1"/>
            </w:tcBorders>
            <w:shd w:val="clear" w:color="auto" w:fill="C6EFCE"/>
            <w:noWrap/>
          </w:tcPr>
          <w:p w14:paraId="1A7649A4"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960" w:type="dxa"/>
            <w:tcBorders>
              <w:top w:val="nil"/>
              <w:left w:val="nil"/>
              <w:bottom w:val="single" w:sz="4" w:space="0" w:color="000000" w:themeColor="text1"/>
              <w:right w:val="single" w:sz="4" w:space="0" w:color="000000" w:themeColor="text1"/>
            </w:tcBorders>
            <w:shd w:val="clear" w:color="auto" w:fill="C6EFCE"/>
            <w:noWrap/>
          </w:tcPr>
          <w:p w14:paraId="46F3D0D9"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880" w:type="dxa"/>
            <w:tcBorders>
              <w:top w:val="nil"/>
              <w:left w:val="nil"/>
              <w:bottom w:val="single" w:sz="4" w:space="0" w:color="000000" w:themeColor="text1"/>
              <w:right w:val="single" w:sz="4" w:space="0" w:color="000000" w:themeColor="text1"/>
            </w:tcBorders>
            <w:shd w:val="clear" w:color="auto" w:fill="C6EFCE"/>
            <w:noWrap/>
          </w:tcPr>
          <w:p w14:paraId="129FFE7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nil"/>
              <w:left w:val="nil"/>
              <w:bottom w:val="single" w:sz="4" w:space="0" w:color="000000" w:themeColor="text1"/>
              <w:right w:val="single" w:sz="4" w:space="0" w:color="000000" w:themeColor="text1"/>
            </w:tcBorders>
            <w:shd w:val="clear" w:color="auto" w:fill="C6EFCE"/>
            <w:noWrap/>
          </w:tcPr>
          <w:p w14:paraId="1EF292D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548" w:type="dxa"/>
            <w:tcBorders>
              <w:top w:val="nil"/>
              <w:left w:val="nil"/>
              <w:bottom w:val="single" w:sz="4" w:space="0" w:color="000000" w:themeColor="text1"/>
              <w:right w:val="single" w:sz="4" w:space="0" w:color="000000" w:themeColor="text1"/>
            </w:tcBorders>
            <w:shd w:val="clear" w:color="auto" w:fill="C6EFCE"/>
            <w:noWrap/>
          </w:tcPr>
          <w:p w14:paraId="5AF934D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Cadrul legislativ va stabili următoarele funcții pentru această agenție:</w:t>
            </w:r>
          </w:p>
          <w:p w14:paraId="256D5FB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pregătirea și implementarea în timp util a proiectelor de investiții prioritare în infrastructura de sănătate publică, conform specificațiilor și în cadrul bugetului aprobat;</w:t>
            </w:r>
          </w:p>
          <w:p w14:paraId="6FFEDFF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emiterea de instrucțiuni, recomandări și norme metodologice aplicabile pentru pregătirea, implementarea și finalizarea proiectelor de investiții în infrastructura de sănătate publică;</w:t>
            </w:r>
          </w:p>
          <w:p w14:paraId="1FE35F80" w14:textId="77777777" w:rsidR="00981B4A" w:rsidRPr="000A27B3" w:rsidRDefault="00981B4A" w:rsidP="00981B4A">
            <w:pPr>
              <w:pStyle w:val="ListParagraph"/>
              <w:numPr>
                <w:ilvl w:val="0"/>
                <w:numId w:val="94"/>
              </w:numPr>
              <w:spacing w:after="0" w:line="240" w:lineRule="auto"/>
              <w:ind w:left="260" w:hanging="260"/>
              <w:jc w:val="both"/>
              <w:rPr>
                <w:rFonts w:ascii="Times New Roman" w:hAnsi="Times New Roman" w:cs="Times New Roman"/>
                <w:noProof/>
                <w:sz w:val="24"/>
                <w:szCs w:val="24"/>
              </w:rPr>
            </w:pPr>
            <w:r>
              <w:rPr>
                <w:rFonts w:ascii="Times New Roman" w:hAnsi="Times New Roman"/>
                <w:noProof/>
                <w:sz w:val="24"/>
              </w:rPr>
              <w:t>furnizarea de asistență specializată în domeniul proiectelor de investiții în infrastructura de sănătate publică ministerelor, spitalelor publice sau altor autorități publice;</w:t>
            </w:r>
          </w:p>
          <w:p w14:paraId="70D377B5" w14:textId="77777777" w:rsidR="00981B4A" w:rsidRPr="000A27B3" w:rsidRDefault="00981B4A" w:rsidP="00981B4A">
            <w:pPr>
              <w:pStyle w:val="ListParagraph"/>
              <w:numPr>
                <w:ilvl w:val="0"/>
                <w:numId w:val="94"/>
              </w:numPr>
              <w:spacing w:after="0" w:line="240" w:lineRule="auto"/>
              <w:ind w:left="260" w:hanging="260"/>
              <w:jc w:val="both"/>
              <w:rPr>
                <w:rFonts w:ascii="Times New Roman" w:hAnsi="Times New Roman" w:cs="Times New Roman"/>
                <w:noProof/>
                <w:sz w:val="24"/>
                <w:szCs w:val="24"/>
              </w:rPr>
            </w:pPr>
            <w:r>
              <w:rPr>
                <w:rFonts w:ascii="Times New Roman" w:hAnsi="Times New Roman"/>
                <w:noProof/>
                <w:sz w:val="24"/>
              </w:rPr>
              <w:t>stabilirea și implementarea programului multianual al proiectelor de investiții prioritare în infrastructura de sănătate publică;</w:t>
            </w:r>
          </w:p>
          <w:p w14:paraId="7BA43C28" w14:textId="77777777" w:rsidR="00981B4A" w:rsidRPr="000A27B3" w:rsidRDefault="00981B4A" w:rsidP="00981B4A">
            <w:pPr>
              <w:pStyle w:val="ListParagraph"/>
              <w:numPr>
                <w:ilvl w:val="0"/>
                <w:numId w:val="94"/>
              </w:numPr>
              <w:spacing w:after="0" w:line="240" w:lineRule="auto"/>
              <w:ind w:left="260" w:hanging="260"/>
              <w:jc w:val="both"/>
              <w:rPr>
                <w:rFonts w:ascii="Times New Roman" w:hAnsi="Times New Roman" w:cs="Times New Roman"/>
                <w:noProof/>
                <w:sz w:val="24"/>
                <w:szCs w:val="24"/>
              </w:rPr>
            </w:pPr>
            <w:r>
              <w:rPr>
                <w:rFonts w:ascii="Times New Roman" w:hAnsi="Times New Roman"/>
                <w:noProof/>
                <w:sz w:val="24"/>
              </w:rPr>
              <w:t>monitorizarea implementării proiectelor de investiții în infrastructura de sănătate publică;</w:t>
            </w:r>
          </w:p>
          <w:p w14:paraId="66A4CFD4" w14:textId="77777777" w:rsidR="00981B4A" w:rsidRPr="000A27B3" w:rsidRDefault="00981B4A" w:rsidP="00981B4A">
            <w:pPr>
              <w:pStyle w:val="ListParagraph"/>
              <w:numPr>
                <w:ilvl w:val="0"/>
                <w:numId w:val="94"/>
              </w:numPr>
              <w:spacing w:after="0" w:line="240" w:lineRule="auto"/>
              <w:ind w:left="260" w:hanging="260"/>
              <w:jc w:val="both"/>
              <w:rPr>
                <w:rFonts w:ascii="Times New Roman" w:hAnsi="Times New Roman" w:cs="Times New Roman"/>
                <w:noProof/>
                <w:sz w:val="24"/>
                <w:szCs w:val="24"/>
              </w:rPr>
            </w:pPr>
            <w:r>
              <w:rPr>
                <w:rFonts w:ascii="Times New Roman" w:hAnsi="Times New Roman"/>
                <w:noProof/>
                <w:sz w:val="24"/>
              </w:rPr>
              <w:t>înființarea unui centru de excelență în gestionarea proiectelor de investiții în infrastructura de sănătate publică;</w:t>
            </w:r>
          </w:p>
          <w:p w14:paraId="5BC5D740" w14:textId="77777777" w:rsidR="00981B4A" w:rsidRPr="000A27B3" w:rsidRDefault="00981B4A" w:rsidP="00981B4A">
            <w:pPr>
              <w:pStyle w:val="ListParagraph"/>
              <w:numPr>
                <w:ilvl w:val="0"/>
                <w:numId w:val="94"/>
              </w:numPr>
              <w:spacing w:after="0" w:line="240" w:lineRule="auto"/>
              <w:ind w:left="260" w:hanging="260"/>
              <w:jc w:val="both"/>
              <w:rPr>
                <w:rFonts w:ascii="Times New Roman" w:hAnsi="Times New Roman" w:cs="Times New Roman"/>
                <w:noProof/>
                <w:sz w:val="24"/>
                <w:szCs w:val="24"/>
              </w:rPr>
            </w:pPr>
            <w:r>
              <w:rPr>
                <w:rFonts w:ascii="Times New Roman" w:hAnsi="Times New Roman"/>
                <w:noProof/>
                <w:sz w:val="24"/>
              </w:rPr>
              <w:t>stabilirea de parteneriate și încheierea de acorduri de finanțare a proiectelor de investiții în infrastructura de sănătate publică.</w:t>
            </w:r>
          </w:p>
          <w:p w14:paraId="4FDF86E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Președintele ANDIS va fi numit, iar recrutarea personalului pentru cele 15 roluri-cheie din organigrama ANDIS finalizată se va încheia în momentul în care agenția devine operațională. </w:t>
            </w:r>
          </w:p>
        </w:tc>
      </w:tr>
      <w:tr w:rsidR="000A27B3" w:rsidRPr="000A27B3" w14:paraId="056DC460"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5F4FB7A"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356</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260520F" w14:textId="4C1496E2"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Dezvoltarea capacității pentru managementul serviciilor de sănătate și managementul resurselor umane din sănătate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438E20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54381C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cadrului legislativ privind dezvoltarea capacității pentru managementul serviciilor de sănătate și managementul resurselor umane din sănătate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D59BD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cadrului legislativ pentru reforma managementului serviciilor de sănătate și a managementului resurselor umane din sănătate</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2C82899"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CA56D7" w14:textId="77777777" w:rsidR="00981B4A" w:rsidRPr="009F1DC7" w:rsidRDefault="00981B4A">
            <w:pPr>
              <w:spacing w:after="0" w:line="240" w:lineRule="auto"/>
              <w:ind w:left="-69" w:firstLine="69"/>
              <w:jc w:val="both"/>
              <w:rPr>
                <w:rFonts w:ascii="Times New Roman" w:hAnsi="Times New Roman" w:cs="Times New Roman"/>
                <w:noProof/>
                <w:sz w:val="24"/>
                <w:szCs w:val="24"/>
                <w:lang w:val="fr-FR"/>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472471A"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1E97D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B42CC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226E36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Modificările vizează legea principală care reglementează sectorul sănătății (Legea nr. 95 din 2006, astfel cum a fost modificată). În plus, pentru a operaționaliza modificările aduse acestei legi vor intra în vigoare mai multe hotărâri de guvern. Principalele dispoziții ale actelor legislative nou introduse:</w:t>
            </w:r>
          </w:p>
          <w:p w14:paraId="48EEABB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vor adapta criteriile de competență pentru înscrierea la concursurile pentru posturi de conducere în domeniul sănătății; </w:t>
            </w:r>
          </w:p>
          <w:p w14:paraId="073ED91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vor ajusta criteriile de calitate pentru programele de formare în domeniul managementului serviciilor de sănătate;</w:t>
            </w:r>
          </w:p>
          <w:p w14:paraId="111AE4A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vor actualiza cerințele pentru dezvoltarea profesională continuă a cadrelor medicale;</w:t>
            </w:r>
          </w:p>
          <w:p w14:paraId="4FC2B55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vor dezvolta și vor consolida corpul de experți în managementul serviciilor de sănătate;</w:t>
            </w:r>
          </w:p>
          <w:p w14:paraId="7BB34F7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vor dezvolta auditarea și evaluarea programelor de formare în domeniul managementului serviciilor de sănătate.</w:t>
            </w:r>
          </w:p>
          <w:p w14:paraId="28FCCDB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Actele normative nou adoptate vor contribui la profesionalizarea managementului serviciilor de sănătate, prin elaborarea criteriilor de competență pentru personalul de specialitate. </w:t>
            </w:r>
          </w:p>
        </w:tc>
      </w:tr>
      <w:tr w:rsidR="000A27B3" w:rsidRPr="000A27B3" w14:paraId="3780D770"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F133BE3"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357</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FED695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1EE8AA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7498839" w14:textId="43CAE9C2"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legislației privind cadrul strategic pentru dezvoltarea resurselor umane din sănătate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AFBD9F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legislației privind cadrul strategic pentru dezvoltarea resurselor umane din sănătate prin hotărâre de guvern</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AE57161"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F3B8D4D"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A88E81"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F6FA1E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8A43B1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F7AF4F0" w14:textId="0F7E3B7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Legea va stabili un nou cadru strategic pentru dezvoltarea resurselor umane din sănătate, în concordanță cu obiectivele generale ale sistemului de sănătate. </w:t>
            </w:r>
          </w:p>
          <w:p w14:paraId="4B13550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Principalele elemente ale cadrului strategic vor fi următoarele:</w:t>
            </w:r>
          </w:p>
          <w:p w14:paraId="3FB1F67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 generarea resurselor umane în sănătate; </w:t>
            </w:r>
          </w:p>
          <w:p w14:paraId="2947FB0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(ii) gestionarea resurselor umane în sănătate; </w:t>
            </w:r>
          </w:p>
          <w:p w14:paraId="4977362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(iii) gestionarea motivării resurselor umane; </w:t>
            </w:r>
          </w:p>
          <w:p w14:paraId="7D656FD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(iv) guvernanța forței de muncă în sănătate. </w:t>
            </w:r>
          </w:p>
        </w:tc>
      </w:tr>
      <w:tr w:rsidR="000A27B3" w:rsidRPr="000A27B3" w14:paraId="1B1212D5"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4D5A40D"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358</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0361A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Dezvoltarea capacității pentru managementul serviciilor de sănătate și managementul resurselor umane din sănătate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C7640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55E25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Dezvoltarea resurselor umane din sănătate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0DA315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Adoptarea planurilor de acțiune sectoriale pentru dezvoltarea resurselor umane din sănătate prin ordin al ministrului sănătății</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DA31CB0"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590561E"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448FFE"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A54EDF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73A361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3AA30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Planurile de acțiune sectoriale pentru dezvoltarea resurselor umane din asistența medicală primară și comunitară, ambulatorie și de spital, precum și sănătate publică operaționalizează cadrul strategic pentru a transforma nivelul de cunoștințe, aptitudini și competențe al resurselor umane din sănătate. </w:t>
            </w:r>
          </w:p>
          <w:p w14:paraId="678DB2C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Vor fi elaborate 5 planuri de acțiune individualizate, iar domeniile vizate includ formarea inițială, dezvoltarea profesională continuă, mixul de competențe, partajarea sarcinilor, transferul sarcinilor.</w:t>
            </w:r>
          </w:p>
          <w:p w14:paraId="4210C86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planurile de acțiune vor fi în concordanță cu indicatorii de performanță stabiliți pentru gestionarea fondurilor publice din sănătate prevăzută în reforma 1. </w:t>
            </w:r>
          </w:p>
          <w:p w14:paraId="18E4C2C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Personalul medical vizat include medici, asistenți medicali, farmaciști, dentiști, moașe și asistenți medicali comunitari, precum și alte categorii de profesioniști din domeniul sănătății.</w:t>
            </w:r>
          </w:p>
        </w:tc>
      </w:tr>
      <w:tr w:rsidR="000A27B3" w:rsidRPr="000A27B3" w14:paraId="0E00A3EC"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F693F7C"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359</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3B5442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C053AC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FADBD1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unui ordin al ministrului sănătății de instituire a unui cadru de recunoaștere diferențiată a meritelor profesionale și de recompensare a personalului medico-sanitar</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73CD81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Dispoziție în ordinul ministrului sănătății care indică intrarea în vigoare a unui cadru de recunoaștere diferențiată a meritelor profesionale și de recompensare a personalului medico-sanitar </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43A494F" w14:textId="77777777" w:rsidR="00981B4A" w:rsidRPr="009F1DC7" w:rsidRDefault="00981B4A">
            <w:pPr>
              <w:spacing w:after="0" w:line="240" w:lineRule="auto"/>
              <w:jc w:val="both"/>
              <w:rPr>
                <w:rFonts w:ascii="Times New Roman" w:hAnsi="Times New Roman" w:cs="Times New Roman"/>
                <w:noProof/>
                <w:sz w:val="24"/>
                <w:szCs w:val="24"/>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B1B5801" w14:textId="77777777" w:rsidR="00981B4A" w:rsidRPr="009F1DC7" w:rsidRDefault="00981B4A">
            <w:pPr>
              <w:spacing w:after="0" w:line="240" w:lineRule="auto"/>
              <w:jc w:val="both"/>
              <w:rPr>
                <w:rFonts w:ascii="Times New Roman" w:hAnsi="Times New Roman" w:cs="Times New Roman"/>
                <w:noProof/>
                <w:sz w:val="24"/>
                <w:szCs w:val="24"/>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0C0563" w14:textId="77777777" w:rsidR="00981B4A" w:rsidRPr="009F1DC7" w:rsidRDefault="00981B4A">
            <w:pPr>
              <w:spacing w:after="0" w:line="240" w:lineRule="auto"/>
              <w:jc w:val="both"/>
              <w:rPr>
                <w:rFonts w:ascii="Times New Roman" w:hAnsi="Times New Roman" w:cs="Times New Roman"/>
                <w:noProof/>
                <w:sz w:val="24"/>
                <w:szCs w:val="24"/>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379DE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B07E5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4EB423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Ordinul de ministru va asigura dezvoltarea și implementarea unui cadru coerent de recunoaștere diferențiată a meritelor profesionale și a recompensei lor respective, pe baza unor indicatori legați de performanță, care includ, printre altele, ratele de complicație, ratele mortalității și nivelurile de satisfacție ale pacienților. </w:t>
            </w:r>
          </w:p>
          <w:p w14:paraId="60573E5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Categoriile vizate includ personalul medical din spitale și din unitățile de asistență medicală ambulatorie.</w:t>
            </w:r>
          </w:p>
        </w:tc>
      </w:tr>
      <w:tr w:rsidR="000A27B3" w:rsidRPr="000A27B3" w14:paraId="2FB51DB1"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499D4D4E"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360</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2AB887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9A03DD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3712272" w14:textId="475AF271"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Construirea și dotarea completă a 2 noi centre de dezvoltare a competențelor pentru personalul din sistemul public de sănătate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4331DF"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ADD3CA3"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46C002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E4F725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8E29C6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9797C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AA67E2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Operaționalizarea a două centre de dezvoltare a competențelor nou-construite și dotate complet, dedicate personalului care lucrează în unitățile publice de asistență medicală </w:t>
            </w:r>
          </w:p>
          <w:p w14:paraId="7042048A" w14:textId="77777777" w:rsidR="00981B4A" w:rsidRPr="009F1DC7" w:rsidRDefault="00981B4A">
            <w:pPr>
              <w:spacing w:after="0" w:line="240" w:lineRule="auto"/>
              <w:jc w:val="both"/>
              <w:rPr>
                <w:rFonts w:ascii="Times New Roman" w:hAnsi="Times New Roman" w:cs="Times New Roman"/>
                <w:noProof/>
                <w:sz w:val="24"/>
                <w:szCs w:val="24"/>
              </w:rPr>
            </w:pPr>
          </w:p>
        </w:tc>
      </w:tr>
      <w:tr w:rsidR="000A27B3" w:rsidRPr="000A27B3" w14:paraId="7BEF157E"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240D702"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361</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C853B0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E37149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21E183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Persoane care au participat la cursuri de formare privind managementul serviciilor de sănătate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9489CB"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76FBF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7AD676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63F1F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1 000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F4688F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002403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1660A1E" w14:textId="78786E0E"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Vor beneficia de formare 1 000 de membri ai personalului spitalicesc (precum: manageri de spitale, membri ai comitetelor directoare, șefi de secție/laborator/farmacie, directori ai direcțiilor județene de sănătate publică și ai caselor județene de asigurări de sănătate, medici de familie care gestionează cabinete individuale/grupate). Se va acorda prioritate specialiștilor care lucrează în zonele îndepărtate și rurale. </w:t>
            </w:r>
          </w:p>
          <w:p w14:paraId="529F0B1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Cursurile de formare includ managementul serviciilor de sănătate, organizarea și finanțarea sistemelor de sănătate, politicile în domeniul sănătății, politicile privind resursele umane, comunicarea în domeniul sănătății, gestionarea calității serviciilor de sănătate, legislația în domeniul sănătății, digitalizarea și inovarea în domeniul sănătății, dar nu se limitează la acestea. </w:t>
            </w:r>
          </w:p>
          <w:p w14:paraId="3FBE206F" w14:textId="77777777" w:rsidR="00981B4A" w:rsidRPr="000A27B3" w:rsidRDefault="00981B4A">
            <w:pPr>
              <w:spacing w:after="0" w:line="240" w:lineRule="auto"/>
              <w:jc w:val="both"/>
              <w:rPr>
                <w:rFonts w:ascii="Times New Roman" w:hAnsi="Times New Roman" w:cs="Times New Roman"/>
                <w:noProof/>
                <w:sz w:val="24"/>
                <w:szCs w:val="24"/>
              </w:rPr>
            </w:pPr>
            <w:bookmarkStart w:id="11" w:name="_Hlk81476550"/>
            <w:r>
              <w:rPr>
                <w:rFonts w:ascii="Times New Roman" w:hAnsi="Times New Roman"/>
                <w:noProof/>
                <w:sz w:val="24"/>
              </w:rPr>
              <w:t xml:space="preserve">Cursurile de formare se vor desfășura în cele două centre nou construite pentru dezvoltarea competențelor. </w:t>
            </w:r>
            <w:bookmarkEnd w:id="11"/>
          </w:p>
        </w:tc>
      </w:tr>
      <w:tr w:rsidR="000A27B3" w:rsidRPr="000A27B3" w14:paraId="46321E6B"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E187471"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362</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B37DBA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8F2963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7ABD0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Persoane care au participat la cursuri de formare privind managementul resurselor umane în instituțiile sanitare</w:t>
            </w:r>
          </w:p>
          <w:p w14:paraId="58B2ED6A" w14:textId="77777777" w:rsidR="00981B4A" w:rsidRPr="000A27B3" w:rsidRDefault="00981B4A">
            <w:pPr>
              <w:spacing w:after="0" w:line="240" w:lineRule="auto"/>
              <w:jc w:val="both"/>
              <w:rPr>
                <w:rFonts w:ascii="Times New Roman" w:hAnsi="Times New Roman" w:cs="Times New Roman"/>
                <w:noProof/>
                <w:sz w:val="24"/>
                <w:szCs w:val="24"/>
              </w:rPr>
            </w:pP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4AF1F8"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31979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91C6F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8B9BC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1 000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E4AA5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266C1A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20613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Categoriile vizate includ personalul din structurile de resurse umane ale spitalelor, ale direcțiilor județene de sănătate publică și ale altor instituții ale serviciilor de sănătate.</w:t>
            </w:r>
          </w:p>
          <w:p w14:paraId="443F29C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Cursurile de formare includ recrutarea și selectarea resurselor umane, mecanismele financiare și nefinanciare de stimulare a personalului medical, motivarea personalului medical, dar nu se limitează la acestea.</w:t>
            </w:r>
          </w:p>
        </w:tc>
      </w:tr>
      <w:tr w:rsidR="000A27B3" w:rsidRPr="000A27B3" w14:paraId="11DF8DED"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0BC5BD06"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363</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BF153F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42EFAD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59778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Personalul medico-sanitar care a participat la programe de formare în materie de integritate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84B27B8"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63FA81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32069E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150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8C6E5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3 000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F71866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13ECB6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10D2287" w14:textId="090673E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3 000 de membri ai personalului care lucrează în domenii legate de sănătate în cadrul administrației centrale, al instituțiilor descentralizate, al conducerii unităților sanitare și ai personalului care acordă îngrijiri directe pacienților vor beneficia de formare pe diverse teme legate de integritate (cum ar fi: prevenirea corupției și abordarea conflictelor de interese în sistemul de sănătate, protecția avertizorilor, transparența achizițiilor publice în domeniul asistenței medicale).</w:t>
            </w:r>
          </w:p>
          <w:p w14:paraId="7FF26A28" w14:textId="103DD40D"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Programul de formare ar trebui să fie în concordanță cu indicatorii de performanță stabiliți pentru gestionarea fondurilor publice din sănătate prevăzută în reforma 1. </w:t>
            </w:r>
          </w:p>
        </w:tc>
      </w:tr>
      <w:tr w:rsidR="000A27B3" w:rsidRPr="000A27B3" w14:paraId="4A8A4A36" w14:textId="77777777" w:rsidTr="00A73055">
        <w:trPr>
          <w:trHeight w:val="3568"/>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48546748"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364</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0B191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CF2CD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BF86D5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Ordinului comun al Ministerului Sănătății și al Casei Naționale de Asigurări de Sănătate (CNAS) privind un mecanism de prioritizare a alocărilor bugetare efectuate de Ministerul Sănătății și de Casa Națională de Asigurări de Sănătate (CNAS)</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48709F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din ordinul comun al Ministerului Sănătății și al Casei Naționale de Asigurări de Sănătate (CNAS) care indică intrarea în vigoare a mecanismului de prioritizare a alocărilor bugetare </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95B8B3" w14:textId="77777777" w:rsidR="00981B4A" w:rsidRPr="009F1DC7" w:rsidRDefault="00981B4A">
            <w:pPr>
              <w:spacing w:after="0" w:line="240" w:lineRule="auto"/>
              <w:jc w:val="both"/>
              <w:rPr>
                <w:rFonts w:ascii="Times New Roman" w:hAnsi="Times New Roman" w:cs="Times New Roman"/>
                <w:noProof/>
                <w:sz w:val="24"/>
                <w:szCs w:val="24"/>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9DB6372" w14:textId="77777777" w:rsidR="00981B4A" w:rsidRPr="009F1DC7" w:rsidRDefault="00981B4A">
            <w:pPr>
              <w:spacing w:after="0" w:line="240" w:lineRule="auto"/>
              <w:jc w:val="both"/>
              <w:rPr>
                <w:rFonts w:ascii="Times New Roman" w:hAnsi="Times New Roman" w:cs="Times New Roman"/>
                <w:noProof/>
                <w:sz w:val="24"/>
                <w:szCs w:val="24"/>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0830400" w14:textId="77777777" w:rsidR="00981B4A" w:rsidRPr="009F1DC7" w:rsidRDefault="00981B4A">
            <w:pPr>
              <w:spacing w:after="0" w:line="240" w:lineRule="auto"/>
              <w:jc w:val="both"/>
              <w:rPr>
                <w:rFonts w:ascii="Times New Roman" w:hAnsi="Times New Roman" w:cs="Times New Roman"/>
                <w:noProof/>
                <w:sz w:val="24"/>
                <w:szCs w:val="24"/>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3D49F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34A898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89E35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mecanismului de prioritizare a alocărilor bugetare, care va include:</w:t>
            </w:r>
          </w:p>
          <w:p w14:paraId="4DE46E4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justificarea și elaborarea criteriilor de prioritizare;</w:t>
            </w:r>
          </w:p>
          <w:p w14:paraId="4F669D0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mecanismele de colaborare dintre Ministerul Sănătății și Casa Națională de Asigurări de Sănătate (CNAS) pentru implementarea mecanismului;</w:t>
            </w:r>
          </w:p>
          <w:p w14:paraId="2EA351E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mecanismele prin care criteriile de prioritizare a alocărilor bugetare stau la baza deciziilor politice, a evaluării politicilor și a ajustării continue a criteriilor.</w:t>
            </w:r>
          </w:p>
        </w:tc>
      </w:tr>
      <w:tr w:rsidR="000A27B3" w:rsidRPr="000A27B3" w14:paraId="08C568C7"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364DC90B"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365</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126732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Reforma 3. Dezvoltarea capacității pentru managementul serviciilor de sănătate și managementul resurselor umane din sănătate</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1C75F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E538B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portalului transparenta.ms.ro privind utilizarea resurselor publice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BD13ED" w14:textId="2D0084E0"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Publicarea datelor pe portalul transparenta.ms.ro privind utilizarea resurselor publice din sănătate</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B25053"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8C06933"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890BCB2"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A3B32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A1DE69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242AD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Utilizarea resurselor publice va deveni mai transparentă prin agregarea centralizată a datelor pe portalul transparenta.ms.ro.</w:t>
            </w:r>
          </w:p>
          <w:p w14:paraId="7E8D2B5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Datele incluse vor face referire la utilizarea resurselor la nivelul instituțiilor centrale și locale, precum și la nivelul unităților spitalicești. Mai precis, datele care urmează să fie publicate vor include lista firmelor cărora li s-au atribuit contracte de achiziții publice, autoritățile contractante și o hartă a contractelor atribuite.</w:t>
            </w:r>
          </w:p>
        </w:tc>
      </w:tr>
      <w:tr w:rsidR="000A27B3" w:rsidRPr="000A27B3" w14:paraId="710F2B32"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851539E"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366</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301862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Investiția 1. Dezvoltarea infrastructurii medicale prespitalicești</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C84510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B25184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Adoptarea criteriilor de prioritizare a investițiilor în centrele comunitare integrate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920C564" w14:textId="0EE6B2BA"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Adoptarea Manualului centrelor comunitare integrate, inclusiv a orientărilor pentru prioritizarea investițiilor în centrele comunitare integrate printr-un ordin al ministrului sănătății.</w:t>
            </w: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415B42" w14:textId="77777777" w:rsidR="00981B4A" w:rsidRPr="009F1DC7" w:rsidRDefault="00981B4A">
            <w:pPr>
              <w:spacing w:after="0" w:line="240" w:lineRule="auto"/>
              <w:jc w:val="both"/>
              <w:rPr>
                <w:rFonts w:ascii="Times New Roman" w:hAnsi="Times New Roman" w:cs="Times New Roman"/>
                <w:noProof/>
                <w:sz w:val="24"/>
                <w:szCs w:val="24"/>
              </w:rPr>
            </w:pP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B56A2DB" w14:textId="77777777" w:rsidR="00981B4A" w:rsidRPr="009F1DC7" w:rsidRDefault="00981B4A">
            <w:pPr>
              <w:spacing w:after="0" w:line="240" w:lineRule="auto"/>
              <w:jc w:val="both"/>
              <w:rPr>
                <w:rFonts w:ascii="Times New Roman" w:hAnsi="Times New Roman" w:cs="Times New Roman"/>
                <w:noProof/>
                <w:sz w:val="24"/>
                <w:szCs w:val="24"/>
              </w:rPr>
            </w:pP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5B28805" w14:textId="77777777" w:rsidR="00981B4A" w:rsidRPr="009F1DC7" w:rsidRDefault="00981B4A">
            <w:pPr>
              <w:spacing w:after="0" w:line="240" w:lineRule="auto"/>
              <w:jc w:val="both"/>
              <w:rPr>
                <w:rFonts w:ascii="Times New Roman" w:hAnsi="Times New Roman" w:cs="Times New Roman"/>
                <w:noProof/>
                <w:sz w:val="24"/>
                <w:szCs w:val="24"/>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19073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436122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2021</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9627DB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Centrele comunitare integrate vor beneficia de investiții bazate pe orientările metodologice prioritare care urmează să fie elaborate de Ministerul Sănătății în consultare cu reprezentanții autorităților publice locale. Aceste orientări prioritare fac parte integrantă din Manualul centrelor comunitare integrate.</w:t>
            </w:r>
          </w:p>
          <w:p w14:paraId="227CB2E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Prioritizarea unităților administrativ-teritoriale va ține cont de: </w:t>
            </w:r>
          </w:p>
          <w:p w14:paraId="24E7822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numărul de persoane vulnerabile per comunitate (minimum 500 de persoane vulnerabile din punct de vedere medical, social sau economic);</w:t>
            </w:r>
          </w:p>
          <w:p w14:paraId="6079349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disponibilitatea la asociere cu alte localități vulnerabile;</w:t>
            </w:r>
          </w:p>
          <w:p w14:paraId="24E43D1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existența la nivelul comunității a unui asistent medical comunitar și a unui asistent social/tehnician de asistență socială;</w:t>
            </w:r>
          </w:p>
          <w:p w14:paraId="6308247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unitățile administrativ-teritoriale fără medic de familie sau cu un număr insuficient de medici de familie raportat la populație;</w:t>
            </w:r>
          </w:p>
          <w:p w14:paraId="4A6CFC1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existența unei hotărâri de consiliu local pentru înființarea centrelor comunitare integrate;</w:t>
            </w:r>
          </w:p>
          <w:p w14:paraId="5210FEE3" w14:textId="54C75D6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identificarea localității ca zonă rurală marginalizată. </w:t>
            </w:r>
          </w:p>
        </w:tc>
      </w:tr>
      <w:tr w:rsidR="000A27B3" w:rsidRPr="000A27B3" w14:paraId="79E59D91"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DF90A1B"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367</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605B23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Investiția 1. Dezvoltarea infrastructurii medicale prespitalicești</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392739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Țintă </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4696DF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Cabinete ale medicilor de familie sau asocieri de cabinete de asistență medicală primară dotate sau renovate, acordând prioritate cabinetelor situate în regiuni și localități marginalizate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ACEEE8" w14:textId="77777777" w:rsidR="00981B4A" w:rsidRPr="009F1DC7" w:rsidRDefault="00981B4A">
            <w:pPr>
              <w:spacing w:after="0" w:line="240" w:lineRule="auto"/>
              <w:jc w:val="both"/>
              <w:rPr>
                <w:rFonts w:ascii="Times New Roman" w:hAnsi="Times New Roman" w:cs="Times New Roman"/>
                <w:noProof/>
                <w:sz w:val="24"/>
                <w:szCs w:val="24"/>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456010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Numărul</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71BBE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042C218" w14:textId="6D99D746"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2 000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C1CF48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DDCC4E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97B2CF0" w14:textId="62D36BC4"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2 000 de asocieri de cabinete/de cabinete ale medicilor de familie vor fi dotate sau renovate pe baza unei cereri deschise de propuneri. Acest lucru se va realiza prin intermediul echipamentelor medicale achiziționate la nivel central (prin intermediul unității centrale de achiziție din cadrul Ministerului Sănătății sau al Oficiului Național pentru Achiziții Centralizate). Cel puțin 75 % din totalul contractelor semnate cu asocierile de cabinete/cu medicii de familie vor fi din regiuni sau localități marginalizate (astfel cum sunt definite mai sus în descrierea investiției). </w:t>
            </w:r>
          </w:p>
          <w:p w14:paraId="2577A44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Criteriile de selecție a zonelor insuficient deservite din punct de vedere medical vor fi: i) caracteristicile populației, ii) acoperirea populației cu asigurări de sănătate, iii) disponibilitatea resurselor umane necesare, iv) disponibilitatea unei infrastructuri fizice adecvate, v) accesibilitatea geografică. </w:t>
            </w:r>
          </w:p>
        </w:tc>
      </w:tr>
      <w:tr w:rsidR="000A27B3" w:rsidRPr="000A27B3" w14:paraId="4D8ADB59"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78DAADD9"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368</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84C4681" w14:textId="35AFAE20"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139B9A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E93053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Unitățile medicale mobile sunt dotate cu aparatură pentru screeningul de cancer mamar și cancer de col uterin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93C03DF"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E6D434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0BAB64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5EFF10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0FF541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E49E46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3CCFCF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10 unități medicale mobile vor fi dotate cu aparatură pentru screeningul de cancer mamar și cancer de col uterin.</w:t>
            </w:r>
          </w:p>
          <w:p w14:paraId="2A127C7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Caravanele medicale vor efectua activități de screening pentru cancerul de sân și cancerul de col uterin în zone cu acces limitat la servicii medicale specializate, inclusiv în zonele defavorizate cu o populație majoritară de romi sau comunități rome. Caravanele de screening (unități mobile) se vor aloca centrelor regionale care derulează în acest moment activități de screening cervical și care au deja expertiză în astfel de activități.</w:t>
            </w:r>
          </w:p>
          <w:p w14:paraId="223E5D3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Caravanele care urmează să fie achiziționate trebuie să dispună de cea mai bună tehnologie disponibilă din punctul de vedere al respectării mediului, pentru a asigura conformitatea cu Orientările tehnice DNSH (2021/C58/01).</w:t>
            </w:r>
          </w:p>
        </w:tc>
      </w:tr>
      <w:tr w:rsidR="000A27B3" w:rsidRPr="000A27B3" w14:paraId="109DE238"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30DD366"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369</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473E9BE" w14:textId="3BDE30BB"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DDAD0E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E8CEE3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Unități nou-construite/renovate și dotate care oferă asistență medicală ambulatorie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F9B3B40"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13CD17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53D1D3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497D14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F437C8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B0C758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805578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Cel puțin 30 de unități de asistență medicală ambulatorie vor fi modernizate, reabilitate, extinse (inclusiv prin construirea de clădiri noi) și dotate.</w:t>
            </w:r>
          </w:p>
          <w:p w14:paraId="5FFC3C7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Selecția va ține seama și de lista proiectelor care sunt înscrise pe lista de rezervă a cererii de proiecte din cadrul Programului Operațional Regional (2014-2020) și alte proiecte, în funcție de nivelul lor de maturitate. </w:t>
            </w:r>
          </w:p>
          <w:p w14:paraId="6AA7D02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Cel puțin 20 de unități de asistență medicală ambulatorie vor fi situate în regiuni sau localități mai puțin dezvoltate.</w:t>
            </w:r>
          </w:p>
          <w:p w14:paraId="42E97A34" w14:textId="633B0508"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Următoarele regiuni/localități sunt considerate a fi mai puțin dezvoltate: regiunile/localitățile în care PIB-ul/cap de locuitor &lt; 75 % din media UE-27 (în conformitate cu definiția UE).</w:t>
            </w:r>
          </w:p>
          <w:p w14:paraId="1201F76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Investițiile vor consta în:</w:t>
            </w:r>
          </w:p>
          <w:p w14:paraId="707D147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reabilitarea/modernizarea/extinderea/dotarea infrastructurii ambulatorii existente;</w:t>
            </w:r>
          </w:p>
          <w:p w14:paraId="09860DB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îmbunătățirea accesibilității spațiului pentru serviciile medicale și căile de acces;</w:t>
            </w:r>
          </w:p>
          <w:p w14:paraId="76C8F73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asigurarea/modernizarea utilităților generale și specifice (inclusiv conectarea la utilități pe amplasamentul obiectivului de investiții);</w:t>
            </w:r>
          </w:p>
          <w:p w14:paraId="16C14C6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achiziționarea de echipamente pentru infrastructura ambulatorie.</w:t>
            </w:r>
          </w:p>
        </w:tc>
      </w:tr>
      <w:tr w:rsidR="000A27B3" w:rsidRPr="000A27B3" w14:paraId="1573F797"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3FC320C"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370</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18B693" w14:textId="4199FA6E"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820F26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01355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Centre comunitare integrate nou-construite/renovate și dotate, inclusiv cu personal adecvat</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066FF40"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5B152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346C63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D2F186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2C7FAE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CF0BDA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A81AFE" w14:textId="05B1EC18"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200 de centre comunitare integrate nou construite sau renovate. Funcționalitatea centrelor comunitare integrate include spații pentru furnizarea de servicii medicale în conformitate cu dispozițiile legislației specifice și cu problema grupurilor vulnerabile identificate din punct de vedere medico-socio-economic. Costurile recurente, cum ar fi costurile cu personalul, nu vor fi incluse. </w:t>
            </w:r>
          </w:p>
          <w:p w14:paraId="3E2030A8" w14:textId="1F72C221"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Infrastructura și/sau clădirile vor respecta criteriile de eficiență energetică. Toate clădirile nou-construite vor respecta obiectivul privind necesarul de energie primară cu cel puțin 20 % mai mic decât cerința pentru clădirile al căror consum de energie este aproape egal cu zero (NZEB) conform orientărilor naționale, ceea ce se va asigura prin certificate de performanță energetică. Se estimează că 70 % din costurile de implementare a acestei investiții vor fi legate de construcție (care se va realiza prin respectarea standardului NZEB+).</w:t>
            </w:r>
            <w:r w:rsidR="004C4C72">
              <w:rPr>
                <w:rFonts w:ascii="Times New Roman" w:hAnsi="Times New Roman"/>
                <w:noProof/>
                <w:sz w:val="24"/>
              </w:rPr>
              <w:t xml:space="preserve"> </w:t>
            </w:r>
            <w:r>
              <w:rPr>
                <w:rFonts w:ascii="Times New Roman" w:hAnsi="Times New Roman"/>
                <w:noProof/>
                <w:sz w:val="24"/>
              </w:rPr>
              <w:t xml:space="preserve"> </w:t>
            </w:r>
          </w:p>
          <w:p w14:paraId="73F7613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Cel puțin 100 de centre comunitare integrate vor fi situate în regiuni și localități marginalizate.</w:t>
            </w:r>
          </w:p>
          <w:p w14:paraId="7459600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Centrele vor fi dotate cu următoarele echipamente principale: </w:t>
            </w:r>
          </w:p>
          <w:p w14:paraId="23C6FAA4" w14:textId="46BC302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 Echipamente funcționale de birou: birouri, scaune de birou, inclusiv pentru pacienți, fișete, dulapuri, imprimante multifuncționale (cu scaner), calculatoare/laptopuri cu acces la internet, scuter/bicicletă/ATV/automobil electric, în funcție de caracteristicile comunității locale și de infrastructură – cel puțin un mijloc de transport per centru comunitar, o structură funcțională de internet 24</w:t>
            </w:r>
            <w:r w:rsidR="00A73055">
              <w:rPr>
                <w:rFonts w:ascii="Times New Roman" w:hAnsi="Times New Roman"/>
                <w:noProof/>
                <w:sz w:val="24"/>
              </w:rPr>
              <w:t> </w:t>
            </w:r>
            <w:r>
              <w:rPr>
                <w:rFonts w:ascii="Times New Roman" w:hAnsi="Times New Roman"/>
                <w:noProof/>
                <w:sz w:val="24"/>
              </w:rPr>
              <w:t xml:space="preserve">de ore din 24 pentru asigurarea intervențiilor în telemedicină. Mijloacele de transport menționate nu vor fi utilizate decât pentru furnizarea de servicii medicale în zonele îndepărtate. </w:t>
            </w:r>
          </w:p>
          <w:p w14:paraId="238A1B4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II. Echipamente pentru consultații: canapea pentru consultații, masă ginecologică sau canapea pentru consultații care să conțină suporturi pentru examinare obstetrică și ginecologică, monitor al tensiunii arteriale, stetoscop, trusă microchirurgicală completă, frigider pentru produse organice, echipamente de analiză medicală. </w:t>
            </w:r>
          </w:p>
          <w:p w14:paraId="04463BE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III. Kit de asistență medicală (precum: sfigmomanometru cu stetoscop, stetoscop fetal, pulsoximetru, termometru pentru copii și adulți, trusă chirurgicală de unică folosință, cântare pentru sugari și adulți, tavă renală, container pentru minideșeuri, test rapid pentru ruperea membranei fetale, hârtie PH, guler cervical universal, consumabile medicale).</w:t>
            </w:r>
          </w:p>
        </w:tc>
      </w:tr>
      <w:tr w:rsidR="000A27B3" w:rsidRPr="000A27B3" w14:paraId="504C3B6F"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CEE0EF6"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371</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3C0A232" w14:textId="7961FCD6"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01B462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15F5F3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Comunitățile slab deservite, inclusiv romii, au acces la asistență medicală comunitară</w:t>
            </w:r>
          </w:p>
          <w:p w14:paraId="72D5D13F"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FC94451"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4E969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CF3FD6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74DAE3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2049B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3B9E3D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D66F643" w14:textId="3B314ADE"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300 de comunități marginalizate (astfel cum sunt definite mai sus în descrierea investiției), inclusiv comunitățile cu o populație romă majoritară sau comunitățile rome, vor avea acces la servicii medicale prin intermediul centrelor comunitare integrate. </w:t>
            </w:r>
          </w:p>
          <w:p w14:paraId="220260E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Din cele 300 de localități care vor avea acces la asistență medicală comunitară, 250 sunt localități rurale, iar 50 sunt localități din zone urbane.</w:t>
            </w:r>
          </w:p>
        </w:tc>
      </w:tr>
      <w:tr w:rsidR="000A27B3" w:rsidRPr="000A27B3" w14:paraId="6039EE38"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1790F009"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372</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E555386" w14:textId="53816520"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A7215B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5B9009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Cabinete de planificare familială dotate sau dotate și renovate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558E0F9"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DBB7FC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D22E96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F605600" w14:textId="0202B676"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79</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DD0327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72BD6D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7DED6DE" w14:textId="3D1E8CEE"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79 de cabinete de planificare familială vor fi dotate și/sau reabilitate. Cabinetele de planificare familială vor suferi intervenții de reabilitare și reamenajare și vor primi dotări de aparatură medicală de laborator și imagistică.</w:t>
            </w:r>
          </w:p>
          <w:p w14:paraId="7AE5E2C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Unitățile sanitare care au în administrare cabinetele de planificare familială vor accesa finanțarea și vor implementa proiectul. Cabinetele vor fi, de asemenea, dotate cu echipamente [precum: analizor POC (la punctul de îngrijire) – pentru infecțiile cu transmitere sexuală, scaner cu ultrasunete cu sonde ginecologice ultraportabile, microscop, echipament IT, frigider, vehicule de transport (electrice sau biciclete)].</w:t>
            </w:r>
          </w:p>
        </w:tc>
      </w:tr>
      <w:tr w:rsidR="000A27B3" w:rsidRPr="000A27B3" w14:paraId="165BD8D3"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2974B2FC"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373</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D0342D0" w14:textId="054B2115"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1271A8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4317559" w14:textId="58116BEA"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Reducerea numărului de comunități rurale care nu sunt deservite de un medic de familie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86FBC0A"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18D8F5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EC1EAC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168</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058C82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109</w:t>
            </w:r>
          </w:p>
          <w:p w14:paraId="0902934D" w14:textId="77777777" w:rsidR="00981B4A" w:rsidRPr="000A27B3" w:rsidRDefault="00981B4A">
            <w:pPr>
              <w:spacing w:after="0" w:line="240" w:lineRule="auto"/>
              <w:jc w:val="both"/>
              <w:rPr>
                <w:rFonts w:ascii="Times New Roman" w:hAnsi="Times New Roman" w:cs="Times New Roman"/>
                <w:noProof/>
                <w:sz w:val="24"/>
                <w:szCs w:val="24"/>
                <w:lang w:val="en-GB"/>
              </w:rPr>
            </w:pPr>
          </w:p>
          <w:p w14:paraId="42D9A75F" w14:textId="77777777" w:rsidR="00981B4A" w:rsidRPr="000A27B3" w:rsidRDefault="00981B4A">
            <w:pPr>
              <w:spacing w:before="120" w:after="120" w:line="240" w:lineRule="auto"/>
              <w:jc w:val="both"/>
              <w:rPr>
                <w:rFonts w:ascii="Times New Roman" w:hAnsi="Times New Roman" w:cs="Times New Roman"/>
                <w:noProof/>
                <w:sz w:val="24"/>
                <w:szCs w:val="24"/>
                <w:lang w:val="en-GB"/>
              </w:rPr>
            </w:pP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2F6BC6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EA6B3E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C5081C2" w14:textId="75F3DD12"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Reducerea cu 35 % a numărului de comunități rurale care nu sunt deservite de un medic de familie (de la 168 la 109) comparativ cu februarie 2021. Aceste comunități vor include, acolo unde este posibil, comunități cu populație romă.</w:t>
            </w:r>
            <w:r w:rsidR="004C4C72">
              <w:rPr>
                <w:rFonts w:ascii="Times New Roman" w:hAnsi="Times New Roman"/>
                <w:noProof/>
                <w:sz w:val="24"/>
              </w:rPr>
              <w:t xml:space="preserve">  </w:t>
            </w:r>
          </w:p>
          <w:p w14:paraId="578EA4F9" w14:textId="3D813F24"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Investițiile care vizează infrastructura medicală prespitalicească sunt planificate să acopere 2 000 de cabinete ale medicilor generaliști și 200 de centre comunitare integrate, reprezentând împreună aproximativ 35 % din numărul de medici generaliști activi din România (corelat cu obiectivul de reducere cu 35 % a numărului de comunități fără medic generalist). </w:t>
            </w:r>
          </w:p>
        </w:tc>
      </w:tr>
      <w:tr w:rsidR="000A27B3" w:rsidRPr="000A27B3" w14:paraId="3F637F66"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5C99CD80"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374</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36D7FD8" w14:textId="6C1D7478"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Dezvoltarea infrastructurii medicale prespitalicești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ACE3AD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4B50F6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Creșterea numărului de consultații preventive</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11B7652"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596F43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B23C65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1 100 000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7BA6D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1 265 000</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0BCF77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C6DD32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C4ACAA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Creșterea cu 15 % a numărului de consultații preventive, începând cu anul calendaristic următor perioadei estimate pentru finalizarea investițiilor propuse în cabinetele medicale și asocierile de cabinete ale medicilor de familie (și anume, începând cu 30 iunie 2024).</w:t>
            </w:r>
          </w:p>
          <w:p w14:paraId="6C4E1AB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Numărul total de consultații preventive care urmează să fie efectuate între 1 iulie 2023 și 30 iunie 2024 ar trebui să crească cu 15 %, comparativ cu datele din 2019.</w:t>
            </w:r>
          </w:p>
          <w:p w14:paraId="0B6511A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Ținta de 15 % a fost stabilită în funcție de consultațiile medicale preventive efectuate în 2019 (aproximativ 1 100 000). Creșterea procentuală a fost stabilită ca fiind aproximativ jumătate din proporția medicilor generaliști și a centrelor comunitare integrate care vor fi renovate. Mai precis, cel puțin 35 % din cabinetele medicilor din sistemul prespitalicesc vor beneficia de sprijin în cadrul Mecanismului de redresare și reziliență, corelat cu o creștere cu 15 % a numărului de servicii.</w:t>
            </w:r>
          </w:p>
        </w:tc>
      </w:tr>
      <w:tr w:rsidR="000A27B3" w:rsidRPr="000A27B3" w14:paraId="4B38E6E1"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71B4152"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375</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BA5DBC1" w14:textId="387BF495"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Dezvoltarea infrastructurii spitalicești publice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4EC435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6E064B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Spitale publice care beneficiază de echipamente și materiale destinate reducerii riscului de infecții</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9843025" w14:textId="77777777" w:rsidR="00981B4A" w:rsidRPr="000A27B3" w:rsidRDefault="00981B4A">
            <w:pPr>
              <w:spacing w:after="0" w:line="240" w:lineRule="auto"/>
              <w:jc w:val="both"/>
              <w:rPr>
                <w:rFonts w:ascii="Times New Roman" w:hAnsi="Times New Roman" w:cs="Times New Roman"/>
                <w:noProof/>
                <w:sz w:val="24"/>
                <w:szCs w:val="24"/>
                <w:lang w:val="en-GB"/>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F37E4B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E4E222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825FE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25</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2A52FC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626B4A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5ECDF21" w14:textId="6D12026F"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25 de spitale publice vor beneficia de echipamente și materiale care contribuie la reducerea riscului de infecții nosocomiale, cum ar fi echipamentele pentru controlul microbiologic al aerului din blocurile operatorii și unitățile de terapie intensivă prin intermediul unor instalații de climatizare specifice, precum și al unor instalații pentru dezinfectarea personalului medical (cum ar fi: echipamente de decontaminare a mediului, sterilizare, recipiente pentru deșeuri) </w:t>
            </w:r>
          </w:p>
        </w:tc>
      </w:tr>
      <w:tr w:rsidR="000A27B3" w:rsidRPr="000A27B3" w14:paraId="01A99B56"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0FE232C"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376</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0983C3C" w14:textId="19AD76CB"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Dezvoltarea infrastructurii spitalicești publice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3B4B76D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91A833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Unități de terapie intensivă pentru nou-născuți dotate, inclusiv cu ambulanțe pentru nou-născuți (pentru centrele regionale)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929043C"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5946C8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A14651E"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B77DCD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25</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06096C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485F6C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2586AD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25 de unități de terapie intensivă vor beneficia de investiții în infrastructura destinată pacientului critic neonatal, cu scopul diagnosticării precoce, tratamentului antenatal/neonatal și postnatal. </w:t>
            </w:r>
          </w:p>
          <w:p w14:paraId="55075EF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Investiția va consta în:</w:t>
            </w:r>
          </w:p>
          <w:p w14:paraId="16D3380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extinderea capacității infrastructurii spitalicești dedicate pacienților critici neonatali (i) cu 124 de paturi suplimentare – inclusiv infrastructura și echipamentele aferente; (ii) dotarea a 90 de paturi existente cu echipamente medicale adecvate;</w:t>
            </w:r>
          </w:p>
          <w:p w14:paraId="4018EF2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îmbunătățirea programului de screening prin dotarea infrastructurii existente cu: mixer aer-oxigen pentru camera de nașteri și pentru secția de cezariene, monitor SN, monitor SOC, ventilator de transport cu FiO2 reglabil 21-100 %, incubator de transport, dispozitiv laser, aparat RetCam, oftalmoscop indirect, inclusiv instrumente; </w:t>
            </w:r>
          </w:p>
          <w:p w14:paraId="179CAFF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achiziționarea a 12 unități mobile de terapie intensivă neonatală (nivelul 3); </w:t>
            </w:r>
          </w:p>
          <w:p w14:paraId="7117AB6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construirea și dotarea a 8 centre regionale de formare (câte 100 m² fiecare) pentru pacienții critici neonatali.</w:t>
            </w:r>
          </w:p>
          <w:p w14:paraId="3416DD3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Echipamentele destinate centrelor de formare vor consta în: </w:t>
            </w:r>
          </w:p>
          <w:p w14:paraId="6C306DC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manechine și simulatoare didactice necesare în programele de formare, precum simulator complex, cu module multiple pentru scenarii de ventilație mecanică, simulator cardiac cu ultrasunete, simulator haptic virtual, pentru endoscopie și colonoscopie;</w:t>
            </w:r>
          </w:p>
          <w:p w14:paraId="18EF4D7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simulator pentru bronhoscopie bazat pe realitatea virtuală, simulator ECMO;</w:t>
            </w:r>
          </w:p>
          <w:p w14:paraId="2F7CC69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simulator avansat destinat situațiilor de urgență și model de resuscitare pentru anomalii congenitale la nou-născuți;</w:t>
            </w:r>
          </w:p>
          <w:p w14:paraId="60DB9DA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manechin pentru ventilație mecanică. </w:t>
            </w:r>
          </w:p>
          <w:p w14:paraId="643C8AE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Astfel, proporția de nou-născuți cu afecțiuni critice care au acces la asistență medicală adecvată va crește de la 64 % la 83 % (o îmbunătățire estimată cu 30 % în comparație cu situația actuală).</w:t>
            </w:r>
          </w:p>
        </w:tc>
      </w:tr>
      <w:tr w:rsidR="000A27B3" w:rsidRPr="000A27B3" w14:paraId="52451ED3" w14:textId="77777777" w:rsidTr="00A73055">
        <w:trPr>
          <w:trHeight w:val="309"/>
          <w:jc w:val="cent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tcPr>
          <w:p w14:paraId="62B8D66E" w14:textId="77777777" w:rsidR="00981B4A" w:rsidRPr="000A27B3" w:rsidRDefault="00981B4A">
            <w:pPr>
              <w:spacing w:after="0" w:line="240" w:lineRule="auto"/>
              <w:jc w:val="center"/>
              <w:rPr>
                <w:rFonts w:ascii="Times New Roman" w:hAnsi="Times New Roman" w:cs="Times New Roman"/>
                <w:noProof/>
                <w:sz w:val="24"/>
                <w:szCs w:val="24"/>
              </w:rPr>
            </w:pPr>
            <w:r>
              <w:rPr>
                <w:rFonts w:ascii="Times New Roman" w:hAnsi="Times New Roman"/>
                <w:noProof/>
                <w:sz w:val="24"/>
              </w:rPr>
              <w:t>377</w:t>
            </w:r>
          </w:p>
        </w:tc>
        <w:tc>
          <w:tcPr>
            <w:tcW w:w="1656"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68072FE6" w14:textId="23FCA1A1"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Dezvoltarea infrastructurii spitalicești publice </w:t>
            </w:r>
          </w:p>
        </w:tc>
        <w:tc>
          <w:tcPr>
            <w:tcW w:w="112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76C56C1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92"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0ED15B0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Construirea și/sau dotarea de noi unități medicale/spitale publice </w:t>
            </w:r>
          </w:p>
        </w:tc>
        <w:tc>
          <w:tcPr>
            <w:tcW w:w="2104"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09E8BFE" w14:textId="77777777" w:rsidR="00981B4A" w:rsidRPr="009F1DC7" w:rsidRDefault="00981B4A">
            <w:pPr>
              <w:spacing w:after="0" w:line="240" w:lineRule="auto"/>
              <w:jc w:val="both"/>
              <w:rPr>
                <w:rFonts w:ascii="Times New Roman" w:hAnsi="Times New Roman" w:cs="Times New Roman"/>
                <w:noProof/>
                <w:sz w:val="24"/>
                <w:szCs w:val="24"/>
                <w:lang w:val="fr-FR"/>
              </w:rPr>
            </w:pPr>
          </w:p>
        </w:tc>
        <w:tc>
          <w:tcPr>
            <w:tcW w:w="1031"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2D6D3E5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2FCF90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4DEB4E13" w14:textId="721997AE"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19</w:t>
            </w:r>
          </w:p>
        </w:tc>
        <w:tc>
          <w:tcPr>
            <w:tcW w:w="880"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71F0D6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773"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5D516AA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548" w:type="dxa"/>
            <w:tcBorders>
              <w:top w:val="single" w:sz="4" w:space="0" w:color="000000" w:themeColor="text1"/>
              <w:left w:val="nil"/>
              <w:bottom w:val="single" w:sz="4" w:space="0" w:color="000000" w:themeColor="text1"/>
              <w:right w:val="single" w:sz="4" w:space="0" w:color="000000" w:themeColor="text1"/>
            </w:tcBorders>
            <w:shd w:val="clear" w:color="auto" w:fill="C6EFCE"/>
            <w:noWrap/>
          </w:tcPr>
          <w:p w14:paraId="17765547" w14:textId="725330CF"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Cel puțin 19 unități medicale/spitale publice vor fi construite și/sau dotate prin finanțare parțială prin Mecanismul de redresare și reziliență. Din cele 19 unități medicale/spitale publice, cel puțin trei proiecte vor fi finalizate prin intermediul nou-înființatei Agenții Naționale pentru Dezvoltarea Infrastructurii în Sănătate (ANDIS), creată în cadrul reformei 2.</w:t>
            </w:r>
          </w:p>
          <w:p w14:paraId="31B243E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Investițiile vor consta în:</w:t>
            </w:r>
          </w:p>
          <w:p w14:paraId="1EE30CB2" w14:textId="4A5582F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investiții în infrastructura spitalicească publică nouă pentru: (i) a furniza noi servicii medicale; (ii) a îmbunătăți calitatea serviciilor de sănătate existente;</w:t>
            </w:r>
            <w:r w:rsidR="004C4C72">
              <w:rPr>
                <w:rFonts w:ascii="Times New Roman" w:hAnsi="Times New Roman"/>
                <w:noProof/>
                <w:sz w:val="24"/>
              </w:rPr>
              <w:t xml:space="preserve"> </w:t>
            </w:r>
          </w:p>
          <w:p w14:paraId="076AC91B" w14:textId="7C8467C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investiții în echipamente medicale și aparatură pentru infrastructura sanitară nou construită, precum: paturi, unități de decontaminare, echipamente IT (cel puțin 42,51 de milioane EUR), cărucioare de urgență, defibrilatoare, pompe de perfuzie, sisteme de monitorizare fiziologică (inclusiv consolă centrală), sisteme de monitorizare fiziologică pentru îngrijiri acute, ventilatoare pentru unități de terapie intensivă, sisteme de scanare de uz general.</w:t>
            </w:r>
          </w:p>
          <w:p w14:paraId="26B1CC61" w14:textId="194E5D98"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346 de milioane EUR din alocarea de 661,41 milioane EUR sau clădirile nou-construite vor respecta obiectivul privind necesarul de energie primară cu cel puțin 20 % mai mic decât cerința pentru clădirile al căror consum de energie este aproape egal cu zero (NZEB) conform orientărilor naționale, ceea ce se va asigura prin certificate de performanță energetică. </w:t>
            </w:r>
          </w:p>
          <w:p w14:paraId="0DFA683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Această cerință nu se aplică proiectelor în care investiția constă doar în achiziționarea de echipamente noi. </w:t>
            </w:r>
          </w:p>
          <w:p w14:paraId="5A7D3B6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Pentru a asigura coerența cu informațiile privind calcularea costurilor furnizate pentru această investiție și în completarea criteriilor deja menționate, ar trebui atinse, de asemenea, următoarele ținte:</w:t>
            </w:r>
          </w:p>
          <w:p w14:paraId="115BEEEE" w14:textId="6E69438B"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cel puțin 900 de paturi în clădirile NZEB; </w:t>
            </w:r>
          </w:p>
          <w:p w14:paraId="0EE9C926" w14:textId="5CB649D9"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cel puțin 780 de paturi în clădirile NZEB+ [clădirile care înregistrează o cerere de energie primară cu cel puțin 20 % mai mică decât cerința privind clădirile al căror consum de energie este aproape egal cu zero (NZEB)];</w:t>
            </w:r>
          </w:p>
          <w:p w14:paraId="39D6827C" w14:textId="107F8249"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cel puțin 3 300 de paturi trebuie să fie dotate;</w:t>
            </w:r>
          </w:p>
          <w:p w14:paraId="7558940E" w14:textId="086BC453"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cel puțin 3 300 de paturi trebuie să aibă echipament IT nou.</w:t>
            </w:r>
          </w:p>
          <w:p w14:paraId="6234C216" w14:textId="1584BBC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Cele 19 spitale și unități sanitare vor fi selectate din următoarea listă [inclusiv cele trei proiecte care vor fi finalizate prin intermediul nou-înființatei Agenții Naționale pentru Dezvoltarea Infrastructurii în Sănătate (ANDIS) – creată în cadrul reformei 2]:</w:t>
            </w:r>
          </w:p>
          <w:p w14:paraId="1D06C08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 Spitalul Județean de Urgență Alba Iulia – relocarea și modernizarea activității secției de oncologie și înființarea compartimentului de cardiologie intervențională</w:t>
            </w:r>
          </w:p>
          <w:p w14:paraId="2713C7AB"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 Spitalul Județean de Urgență Alba Iulia – construcția și dotarea secției de boli infecțioase</w:t>
            </w:r>
          </w:p>
          <w:p w14:paraId="3CDFA47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 Spitalul Județean de Urgență Pitești – Laboratorul de radioterapie</w:t>
            </w:r>
          </w:p>
          <w:p w14:paraId="6AB45B2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 Spitalul Clinic Municipal „Dr. G. Curteanu” Oradea – construcția și dotarea secțiilor de boli infecțioase și pneumologie</w:t>
            </w:r>
          </w:p>
          <w:p w14:paraId="241A4B7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5. Spitalul Județean de Urgență Bistrița – extinderea pavilionului spitalului prin construirea unei noi clădiri</w:t>
            </w:r>
          </w:p>
          <w:p w14:paraId="1FCE4C6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6. Institutul de Urgență pentru Boli Cardiovasculare „Prof. Dr. C.C. Iliescu” București – construirea de noi clădiri</w:t>
            </w:r>
          </w:p>
          <w:p w14:paraId="4855F76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7. Spitalul de Obstetrică și Ginecologie</w:t>
            </w:r>
          </w:p>
          <w:p w14:paraId="2500875A"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„Filantropia” București – extinderea spitalului </w:t>
            </w:r>
          </w:p>
          <w:p w14:paraId="2055613D"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8. Spitalul Clinic de Psihiatrie „Prof. Dr. Alexandru Obregia” București – construirea unui centru de psihiatrie pediatrică</w:t>
            </w:r>
          </w:p>
          <w:p w14:paraId="068016F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9. Spitalul Clinic „Sfânta Maria” București – construirea Centrului de transplant multi-organ</w:t>
            </w:r>
          </w:p>
          <w:p w14:paraId="7AFD9EE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10. Spitalul Clinic de Pneumologie Constanța – construirea pavilionului clinic de pneumologie </w:t>
            </w:r>
          </w:p>
          <w:p w14:paraId="6EC4EA7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11. Spitalul Județean de Urgență Sibiu – spital nou</w:t>
            </w:r>
          </w:p>
          <w:p w14:paraId="1363B11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12. Spitalul Municipal de Urgență Timișoara – construirea și dotarea unei noi maternități</w:t>
            </w:r>
          </w:p>
          <w:p w14:paraId="728CD14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13. Spitalul de Urgență pentru Copii</w:t>
            </w:r>
          </w:p>
          <w:p w14:paraId="1F45BDE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„Louis Țurcanu”, Timișoara – dotarea noului spital cu echipamente medicale</w:t>
            </w:r>
          </w:p>
          <w:p w14:paraId="51922AFE" w14:textId="202479A4"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14. Spitalul nr. 2 Vaslui – construirea de noi secții: de boli infecțioase, psihiatrie, boli cronice</w:t>
            </w:r>
          </w:p>
          <w:p w14:paraId="6F882C5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15 Spitalul Județean de Urgență Focșani, Vrancea – spital nou</w:t>
            </w:r>
          </w:p>
          <w:p w14:paraId="5619C5D1" w14:textId="325B52D5"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16. Spitalul Clinic Județean, Cluj – spital nou</w:t>
            </w:r>
          </w:p>
          <w:p w14:paraId="35C6D66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17. Spitalul de Obstetrică-Ginecologie Buftea – extindere și dotare; demolarea clădirilor existente</w:t>
            </w:r>
          </w:p>
          <w:p w14:paraId="281B90A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18. Pavilion politraumă nou, Brașov</w:t>
            </w:r>
          </w:p>
          <w:p w14:paraId="4488ED5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19. Pavilion politraumă nou, Craiova</w:t>
            </w:r>
          </w:p>
          <w:p w14:paraId="540730C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20. Pavilion nou de chirurgie posttraumatică, Pitești</w:t>
            </w:r>
          </w:p>
          <w:p w14:paraId="32E6FEE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21. Pavilion politraumă nou, Sibiu</w:t>
            </w:r>
          </w:p>
          <w:p w14:paraId="62CE087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22. Spitalul Județean de Urgență Alba Iulia – construcția și dotarea secției de psihiatrie cronică</w:t>
            </w:r>
          </w:p>
          <w:p w14:paraId="15276C3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23. Spitalul Clinic de Boli Infecțioase și Pneumoftiziologie, Brașov – un nou corp de clădiri</w:t>
            </w:r>
          </w:p>
          <w:p w14:paraId="246F293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24. Centrul de transplant multiorgan, Cluj – spital nou</w:t>
            </w:r>
          </w:p>
          <w:p w14:paraId="578BDA8C"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25. Institutul Regional de Oncologie Timișoara – spital nou</w:t>
            </w:r>
          </w:p>
          <w:p w14:paraId="2B4C0AF9"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26. Policlinica Municipală, specializarea cardiologie și oncologie, Constanța – spital nou</w:t>
            </w:r>
          </w:p>
          <w:p w14:paraId="1F4DAB5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27. Construcția de secții de obstetrică și ginecologie, neonatologie, chirurgie pediatrică și pediatrie, Arad – unități noi</w:t>
            </w:r>
          </w:p>
          <w:p w14:paraId="01B28A3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28. Institutul de Urgență pentru Boli Cardiovasculare „Niculae Stăncioiu” Cluj-Napoca – secție nouă </w:t>
            </w:r>
          </w:p>
          <w:p w14:paraId="396C10A8" w14:textId="77777777" w:rsidR="00981B4A" w:rsidRPr="000A27B3" w:rsidRDefault="00981B4A">
            <w:pPr>
              <w:spacing w:after="0" w:line="240" w:lineRule="auto"/>
              <w:jc w:val="both"/>
              <w:rPr>
                <w:rFonts w:ascii="Times New Roman" w:hAnsi="Times New Roman" w:cs="Times New Roman"/>
                <w:noProof/>
                <w:sz w:val="24"/>
                <w:szCs w:val="24"/>
              </w:rPr>
            </w:pPr>
          </w:p>
          <w:p w14:paraId="01C7BFE0"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29. Spitalul Județean de Urgență Miercurea Ciuc – construcția unei noi clădiri pentru secțiile de pneumologie și boli infecțioase</w:t>
            </w:r>
          </w:p>
          <w:p w14:paraId="6718996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30. Spitalul Regional de Urgență Brașov – spital nou</w:t>
            </w:r>
          </w:p>
          <w:p w14:paraId="35C160D5"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31. Spitalul Universitar de Urgență București – modernizare, construcție, reabilitarea infrastructurii</w:t>
            </w:r>
          </w:p>
          <w:p w14:paraId="56AC8B2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32. Spitalul „Prof. Dr. Agrippa Ionescu” Balotești – modernizarea infrastructurii</w:t>
            </w:r>
          </w:p>
          <w:p w14:paraId="3462D40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33. Spitalul de Urgență „Prof. Dr. Dimitrie Gerota” București – spital nou</w:t>
            </w:r>
          </w:p>
          <w:p w14:paraId="4E6CABE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34. Spitalul Municipal „Dr. Teodor Andrei”, Lugoj – spital nou</w:t>
            </w:r>
          </w:p>
          <w:p w14:paraId="3A0B2F22"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35. Pavilion medical, Constanța – unitate nouă</w:t>
            </w:r>
          </w:p>
          <w:p w14:paraId="5A1BF50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36. Institutul Regional de Medicină Cardiovasculară, Miroslava – spital nou</w:t>
            </w:r>
          </w:p>
          <w:p w14:paraId="7D93166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37. Spitalul Județean de Urgență Piatra Neamț – spital nou</w:t>
            </w:r>
          </w:p>
          <w:p w14:paraId="0ECF74F7"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38. Centrul de Diagnostic și Tratament al Tuberculozei Zerlendi, București – spital nou</w:t>
            </w:r>
          </w:p>
          <w:p w14:paraId="47C6F1D6"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39. Spitalul de Copii „Dr. Victor Gomoiu”, București – un nou centru de excelență în oncopediatrie</w:t>
            </w:r>
          </w:p>
          <w:p w14:paraId="36386AD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40. Spitalul Pediatric Monobloc, Cluj – spital nou</w:t>
            </w:r>
          </w:p>
          <w:p w14:paraId="2D68B57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41. Spitalul Județean de Urgență Târgu Mureș – unitate spitalicească nouă</w:t>
            </w:r>
          </w:p>
          <w:p w14:paraId="250688DF"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42. Spitalul Județean de Urgență Arad – reabilitarea serviciilor spitalicești de medicină cardiovasculară</w:t>
            </w:r>
          </w:p>
          <w:p w14:paraId="06BDA968"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43. Spitalul Județean de Urgență Arad – secție de radioterapie nouă</w:t>
            </w:r>
          </w:p>
          <w:p w14:paraId="3518BED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44. Spitalul Județean de Urgență „Sf. Apostol Andrei”, Constanța – extinderea secției externe de pediatrie și neonatologie</w:t>
            </w:r>
          </w:p>
          <w:p w14:paraId="115D2F12" w14:textId="5720CB98"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45. Spitalul de Urgență Ilfov, Ilfov – bloc operator și saloane de neurochirurgie și bloc de chirurgie generală multifuncțional </w:t>
            </w:r>
          </w:p>
          <w:p w14:paraId="3EE38288" w14:textId="74858F71"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46. Spitalul Județean de Urgență, Giurgiu – spital nou, prima etapă (secții de oncologie și neurologie) </w:t>
            </w:r>
          </w:p>
          <w:p w14:paraId="39136FB4"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47. Centrul Medical de Urgență, Voluntari – unitate nouă</w:t>
            </w:r>
          </w:p>
          <w:p w14:paraId="39B10D21"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48. Institutul de Urgență pentru Boli Cardiovasculare și Transplant, Târgu Mureș – unitate nouă</w:t>
            </w:r>
          </w:p>
          <w:p w14:paraId="5851826E" w14:textId="42DCC8A1"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49. Spitalul Municipal și Județean de Urgență, Bacău – finalizare și integrare</w:t>
            </w:r>
          </w:p>
          <w:p w14:paraId="4A058ED3" w14:textId="77777777" w:rsidR="00981B4A" w:rsidRPr="000A27B3" w:rsidRDefault="00981B4A">
            <w:pPr>
              <w:spacing w:after="0" w:line="240" w:lineRule="auto"/>
              <w:jc w:val="both"/>
              <w:rPr>
                <w:rFonts w:ascii="Times New Roman" w:hAnsi="Times New Roman" w:cs="Times New Roman"/>
                <w:noProof/>
                <w:sz w:val="24"/>
                <w:szCs w:val="24"/>
              </w:rPr>
            </w:pPr>
            <w:r>
              <w:rPr>
                <w:rFonts w:ascii="Times New Roman" w:hAnsi="Times New Roman"/>
                <w:noProof/>
                <w:sz w:val="24"/>
              </w:rPr>
              <w:t>Lista finală a spitalelor și a unităților sanitare va depinde și de metodologia de prioritizare a investițiilor în infrastructură.</w:t>
            </w:r>
          </w:p>
        </w:tc>
      </w:tr>
    </w:tbl>
    <w:p w14:paraId="40BC6D41" w14:textId="77777777" w:rsidR="00981B4A" w:rsidRPr="000A27B3" w:rsidRDefault="00981B4A">
      <w:pPr>
        <w:spacing w:before="120" w:after="120" w:line="240" w:lineRule="auto"/>
        <w:jc w:val="both"/>
        <w:rPr>
          <w:rFonts w:ascii="Times New Roman" w:eastAsia="Arial" w:hAnsi="Times New Roman" w:cs="Times New Roman"/>
          <w:noProof/>
          <w:sz w:val="20"/>
          <w:szCs w:val="20"/>
        </w:rPr>
      </w:pPr>
      <w:r>
        <w:rPr>
          <w:noProof/>
        </w:rPr>
        <w:br w:type="textWrapping" w:clear="all"/>
      </w:r>
    </w:p>
    <w:p w14:paraId="17B81FF9" w14:textId="77777777" w:rsidR="00981B4A" w:rsidRPr="008F1E27" w:rsidRDefault="00981B4A">
      <w:pPr>
        <w:spacing w:before="120" w:after="120" w:line="240" w:lineRule="auto"/>
        <w:jc w:val="both"/>
        <w:rPr>
          <w:rFonts w:ascii="Times New Roman" w:eastAsia="Arial" w:hAnsi="Times New Roman" w:cs="Times New Roman"/>
          <w:noProof/>
          <w:sz w:val="20"/>
          <w:szCs w:val="20"/>
        </w:rPr>
      </w:pPr>
    </w:p>
    <w:p w14:paraId="0DAF4044" w14:textId="77777777" w:rsidR="00981B4A" w:rsidRPr="008F1E27" w:rsidRDefault="00981B4A">
      <w:pPr>
        <w:spacing w:before="120" w:after="120" w:line="240" w:lineRule="auto"/>
        <w:jc w:val="both"/>
        <w:rPr>
          <w:rFonts w:ascii="Times New Roman" w:eastAsia="Arial" w:hAnsi="Times New Roman" w:cs="Times New Roman"/>
          <w:noProof/>
          <w:sz w:val="20"/>
          <w:szCs w:val="20"/>
        </w:rPr>
      </w:pPr>
    </w:p>
    <w:p w14:paraId="17413C02" w14:textId="77777777" w:rsidR="00981B4A" w:rsidRPr="008F1E27" w:rsidRDefault="00981B4A">
      <w:pPr>
        <w:spacing w:before="120" w:after="120" w:line="240" w:lineRule="auto"/>
        <w:jc w:val="both"/>
        <w:rPr>
          <w:rFonts w:ascii="Times New Roman" w:eastAsia="Arial" w:hAnsi="Times New Roman" w:cs="Times New Roman"/>
          <w:noProof/>
          <w:sz w:val="20"/>
          <w:szCs w:val="20"/>
        </w:rPr>
        <w:sectPr w:rsidR="00981B4A" w:rsidRPr="008F1E27">
          <w:headerReference w:type="even" r:id="rId259"/>
          <w:headerReference w:type="default" r:id="rId260"/>
          <w:footerReference w:type="even" r:id="rId261"/>
          <w:footerReference w:type="default" r:id="rId262"/>
          <w:headerReference w:type="first" r:id="rId263"/>
          <w:footerReference w:type="first" r:id="rId264"/>
          <w:pgSz w:w="16839" w:h="11907" w:orient="landscape"/>
          <w:pgMar w:top="1417" w:right="1134" w:bottom="1417" w:left="1134" w:header="709" w:footer="709" w:gutter="0"/>
          <w:cols w:space="720"/>
          <w:docGrid w:linePitch="360"/>
        </w:sectPr>
      </w:pPr>
    </w:p>
    <w:p w14:paraId="36B57D89" w14:textId="77777777" w:rsidR="00151654" w:rsidRPr="000A27B3" w:rsidRDefault="00151654">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13: Reforme sociale</w:t>
      </w:r>
    </w:p>
    <w:p w14:paraId="6B9DC8A8"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include o serie de reforme și investiții menite să consolideze securitatea socială în România. </w:t>
      </w:r>
    </w:p>
    <w:p w14:paraId="1F27D7B5"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componentei este de a sprijini persoanele cele mai vulnerabile, inclusiv lucrătorii, copiii, persoanele cu dizabilități, persoanele inactive și persoanele în vârstă, prin sporirea accesului la serviciile sociale. Reformele care sprijină investițiile includ modificări legislative menite să prevină separarea copiilor de familie, să abordeze procesul de dezinstituționalizare pentru persoanele cu dizabilități, să înceapă implementarea venitului minim de incluziune, să reducă munca nedeclarată și să le permită persoanelor inactive să își găsească un loc de muncă. Măsurile vor sprijini, de asemenea, reforma serviciilor de îngrijire pe termen lung pentru persoanele în vârstă, precum și instituirea unui mecanism obiectiv de stabilire a salariului minim. Investițiile complementare sunt legate de crearea unei rețele de centre de zi pentru copiii expuși riscului de separare de familie, reabilitarea și renovarea infrastructurii de servicii sociale pentru persoanele cu dizabilități, crearea unei platforme digitale pentru introducerea sistemului de tichete de muncă pentru lucrătorii casnici și crearea de centre de îngrijire de zi și de reabilitare pentru persoanele în vârstă. </w:t>
      </w:r>
    </w:p>
    <w:p w14:paraId="568B0C33"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Aceste investiții și reforme vor contribui la punerea în aplicare a recomandărilor specifice adresate României în ultimii doi ani, și anume „să sporească acoperirea și calitatea serviciilor sociale și să finalizeze reforma venitului minim de incluziune” (recomandarea specifică 3, 2019), „să asigure stabilirea salariului minim pe baza unor criterii obiective, compatibile cu crearea de locuri de muncă și cu competitivitatea” (recomandarea specifică 3, 2019) și „să extindă măsurile de protecție socială și accesul la serviciile esențiale pentru toți” (recomandarea specifică 2, 2020). </w:t>
      </w:r>
    </w:p>
    <w:p w14:paraId="2F5FEB60"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0DD59C77" w14:textId="77777777" w:rsidR="00151654" w:rsidRPr="000A27B3" w:rsidRDefault="00151654">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M.1. </w:t>
      </w:r>
      <w:r>
        <w:rPr>
          <w:noProof/>
        </w:rPr>
        <w:tab/>
      </w:r>
      <w:r>
        <w:rPr>
          <w:rFonts w:ascii="Times New Roman" w:hAnsi="Times New Roman"/>
          <w:b/>
          <w:noProof/>
          <w:sz w:val="24"/>
        </w:rPr>
        <w:t>Descrierea reformelor și a investițiilor pentru care se prevede acordarea sprijinului financiar nerambursabil</w:t>
      </w:r>
    </w:p>
    <w:p w14:paraId="56E04BDC"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 xml:space="preserve">Reforma 1. Crearea unui nou cadru juridic pentru a preveni separarea copiilor de familie </w:t>
      </w:r>
    </w:p>
    <w:p w14:paraId="75CB0D76"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de a preveni separarea copiilor de familie, în special în cazul familiilor vulnerabile. Reforma va fi realizată prin intrarea în vigoare a unui nou act legislativ care va crea un cadru pentru punerea în aplicare a măsurilor (inclusiv, de exemplu, consiliere și sprijin pentru părinți și copii, centre de zi pentru copiii expuși riscului de separare de părinți, centre de zi pentru copiii cu dizabilități) astfel încât să se prevină în mod eficace separarea copilului de familie și sprijinirea familiei în ceea ce privește creșterea și îngrijirea copilului expus riscului de separare. Actul legislativ va cuprinde: o sursă stabilă identificată de finanțare a măsurilor, un mecanism de guvernanță cu responsabilități clare atribuite autorităților publice la nivel național și local și un mecanism de plată a fondurilor condiționat de realizarea indicatorilor-cheie de performanță asociați obiectivelor de politică.</w:t>
      </w:r>
    </w:p>
    <w:p w14:paraId="09D06035"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iunie 2026.</w:t>
      </w:r>
    </w:p>
    <w:p w14:paraId="1A0779F1"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Reforma 2. Reforma sistemului de protecție a persoanelor adulte cu dizabilități</w:t>
      </w:r>
    </w:p>
    <w:p w14:paraId="2BDDDE3B"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accelera procesul de dezinstituționalizare a persoanelor cu dizabilități și de a preveni instituționalizarea acestora. </w:t>
      </w:r>
    </w:p>
    <w:p w14:paraId="79A34270" w14:textId="5459D30F"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va fi realizată prin intrarea în vigoare a unui act legislativ pentru aprobarea Ghidului privind accelerarea procesului de dezinstituționalizare a tuturor persoanelor cu dizabilități care în prezent sunt instituționalizate, astfel încât să fie definit un „parcurs de trai independent” pentru fiecare persoană. Actul legislativ va include o sursă stabilă de finanțare identificată pentru măsurile planificate în ghid, împreună cu un mecanism de plată condiționat de realizarea indicatorilor-cheie de performanță asociați obiectivelor de politică și o structură de guvernanță cu responsabilități clare atribuite autorităților publice la nivel național și local. Actul normativ se bazează, de asemenea, pe o cartografiere completă a situației individuale a tuturor persoanelor cu dizabilități care sunt în prezent instituționalizate în România, cu obiectivul de a defini un „parcurs de trai independent” pentru fiecare dintre acestea, realizat în conformitate cu principiile managementului de caz de către o autoritate/entitate independentă. </w:t>
      </w:r>
    </w:p>
    <w:p w14:paraId="0738CE0F"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privind prevenirea procesului de instituționalizare pentru persoanele cu dizabilități va fi pusă în aplicare prin intrarea în vigoare a actului legislativ de punere în aplicare a Strategiei naționale adoptate pentru prevenirea instituționalizării, precum și a măsurilor privind un „parcurs de trai independent” pentru o majoritate cât mai largă a persoanelor cu dizabilități.</w:t>
      </w:r>
    </w:p>
    <w:p w14:paraId="2945C33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iunie 2026.</w:t>
      </w:r>
    </w:p>
    <w:p w14:paraId="745F8798"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Reforma 3. Implementarea venitului minim de incluziune (VMI)</w:t>
      </w:r>
    </w:p>
    <w:p w14:paraId="0FE1D845"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de a îmbunătăți asistența socială și de a reduce sărăcia în rândul persoanelor celor mai vulnerabile, reducând, în același timp, sarcinile administrative pentru Agenția Națională de Plăți și Inspecție Socială, pentru administrațiile publice locale și pentru beneficiari.</w:t>
      </w:r>
    </w:p>
    <w:p w14:paraId="663280E4" w14:textId="29BC982D"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fi realizată prin intrarea în vigoare a legislației care stabilește normele metodologice de aplicare a legii privind VMI, menținând, în același timp, cel puțin același nivel de adecvare pentru prestațiile și condițiile de eligibilitate prevăzute în Legea 196/2016, legislația aplicabilă în prezent, cu scopul de a reduce sărăcia, de a stimula ocuparea forței de muncă prin măsuri de activare și de a crește nivelul de educație. Plata venitului minim de incluziune va fi finanțată de la bugetul de stat al României. Platforma digitală care sprijină această reformă va fi dezvoltată în cadrul pilonului II – componenta 7. Transformarea digitală.</w:t>
      </w:r>
    </w:p>
    <w:p w14:paraId="3A87A30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iunie 2025.</w:t>
      </w:r>
    </w:p>
    <w:p w14:paraId="0085916C"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Reforma 4. Introducerea tichetelor de muncă și formalizarea muncii în domeniul lucrătorilor casnici</w:t>
      </w:r>
    </w:p>
    <w:p w14:paraId="1F287BDB"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de a reduce munca nedeclarată, de a oferi stimulente pentru formalizarea muncii și de le a permite persoanelor inactive să își găsească un loc de muncă.</w:t>
      </w:r>
    </w:p>
    <w:p w14:paraId="6F244D0F"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fi realizată prin intrarea în vigoare a unui act legislativ de instituire a sistemului de tichete de muncă în scopul de a stimula formalizarea muncii. Acest sistem de tichete ar trebui să stimuleze crearea locuri de muncă formale pentru lucrătorii casnici care sunt în prezent înregistrați ca șomeri sau inactivi. Reforma vizează instituirea unui sistem de plată și evidență a persoanelor care desfășoară activități casnice în baza unor tichete de muncă, cumpărate de utilizator și preschimbate ulterior în bani de către beneficiar, după reținerea contribuțiilor aferente, în acest fel persoana respectivă dobândind calitatea de asigurat în sistemul de asigurări sociale și de sănătate.</w:t>
      </w:r>
    </w:p>
    <w:p w14:paraId="5EAD2F3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martie 2026.</w:t>
      </w:r>
    </w:p>
    <w:p w14:paraId="34FA709C"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Reforma 5. Asigurarea stabilirii unui salariu minim</w:t>
      </w:r>
    </w:p>
    <w:p w14:paraId="06BED9A8"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institui un mecanism de stabilire a salariului minim care să se bazeze pe criterii obiective și să susțină crearea de locuri de muncă și competitivitatea țării.</w:t>
      </w:r>
    </w:p>
    <w:p w14:paraId="62B0B25C"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va fi realizată prin intrarea în vigoare a unui act legislativ de instituire a unui nou mecanism și a unei formule pentru a stabili nivelul salariului minim în mod obiectiv și sistematic, în consultare cu partenerii sociali și ținând seama de acțiunile Uniunii. </w:t>
      </w:r>
    </w:p>
    <w:p w14:paraId="2FB75355"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martie 2024.</w:t>
      </w:r>
    </w:p>
    <w:p w14:paraId="2704AA8A" w14:textId="77777777" w:rsidR="00151654" w:rsidRPr="000A27B3" w:rsidRDefault="00151654">
      <w:pPr>
        <w:pStyle w:val="Standard"/>
        <w:spacing w:before="240"/>
        <w:jc w:val="both"/>
        <w:rPr>
          <w:rFonts w:ascii="Times New Roman" w:eastAsiaTheme="majorEastAsia" w:hAnsi="Times New Roman" w:cs="Times New Roman"/>
          <w:bCs/>
          <w:i/>
          <w:noProof/>
          <w:u w:val="single"/>
        </w:rPr>
      </w:pPr>
      <w:r>
        <w:rPr>
          <w:noProof/>
          <w:u w:val="single"/>
        </w:rPr>
        <w:t xml:space="preserve">Investiția 1. Crearea unei rețele de centre de zi pentru copiii expuși riscului de a fi separați de familie </w:t>
      </w:r>
    </w:p>
    <w:p w14:paraId="790F2E9F"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preveni separarea copiilor de familie. Înainte de realizarea investiției, se va cartografia situația copiilor și a nevoilor familiilor în raport cu serviciile și infrastructurile disponibile pentru copiii expuși riscului de separare de familie, în special în comunitățile vulnerabile. Investiția va consta în crearea unei rețele de 150 de centre de zi, dintre care cel puțin 10 % să se afle în comunitățile cu o populație romă semnificativă, pentru a preveni separarea copiilor de familie. Din cele 150 de centre de zi, 145 vor îndeplini cerința privind clădirile al căror consum de energie este aproape egal cu zero, în conformitate cu orientările naționale. 5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567C7655"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31 decembrie 2024. </w:t>
      </w:r>
    </w:p>
    <w:p w14:paraId="7FD47C5B"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Investiția 2. Reabilitarea, renovarea și dezvoltarea infrastructurii sociale pentru persoanele cu dizabilități</w:t>
      </w:r>
    </w:p>
    <w:p w14:paraId="15B3BB54" w14:textId="36602B31"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îmbunătăți serviciile sociale oferite persoanelor cu dizabilități pentru a sprijini dezinstituționalizarea acestora. Investițiile trebuie să permită intrarea în funcțiune a 55 de noi servicii comunitare pentru persoanele cu dizabilități (centre de zi, servicii de asistență și sprijin, precum și centre de recuperare neuromotorie) care să ofere activități pentru cel puțin 4 870 de persoane cu dizabilități într-un interval de 4 ani, pentru a le asigura un trai independent. Din cele 55 de centre comunitare, 45 vor fi clădiri noi al căror consum de energie este aproape egal cu zero, în conformitate cu orientările naționale. 10 vor respecta obiectivul privind necesarul de energie primară cu cel puțin 20 % mai mic decât cerința pentru clădirile al căror consum de energie este aproape egal cu zero conform orientărilor naționale, ceea ce se va asigura prin certificate de performanță energetică. De asemenea, investiția va permite modernizarea altor 50 de centre comunitare (centre de zi și centre de recuperare neuromotorie pentru persoanele cu dizabilități) prin intermediul unui program național de finanțare a investițiilor pentru reabilitare, consolidare, modernizare și furnizarea de servicii la nivelul comunității. Ulterior, 25 de centre de zi și 25 de centre de servicii de recuperare neuromotorie ambulatorii vor intra în funcțiune prin intermediul unei cereri deschise de oferte pentru furnizarea de servicii sociale publice, care să respecte criteriile de eligibilitate pentru aceste investiții, inclusiv condiția de a găzdui cel puțin 1 000 de persoane cu dizabilități pe an.</w:t>
      </w:r>
    </w:p>
    <w:p w14:paraId="2B263A31"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31 decembrie 2025. </w:t>
      </w:r>
    </w:p>
    <w:p w14:paraId="749337E0"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 xml:space="preserve">Investiția 3. Operaționalizarea introducerii tichetelor de muncă pentru activitățile casnice </w:t>
      </w:r>
    </w:p>
    <w:p w14:paraId="4ED3708E"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operaționaliza sistemul de tichete de muncă prin asigurarea unui acces simplu și digital pentru toți utilizatorii: lucrători și beneficiarii serviciilor.</w:t>
      </w:r>
    </w:p>
    <w:p w14:paraId="2091CBE2"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Investiția va permite Agenției Naționale pentru Ocuparea Forței de Muncă din România (ANOFM) să dezvolte și să gestioneze o platformă digitală funcțională pentru tichetele de muncă destinate activităților casnice, care ar trebui să permită, printre altele: efectuarea în format digital a tuturor tranzacțiilor legate de tichete (precum achiziționarea, înregistrarea orelor de lucru), înregistrarea detaliilor privind activitatea lucrătorilor casnici (precum numărul de ore, tipul de activitate domestică desfășurată) și asigurarea interoperabilității cu alte baze de date relevante (precum cele ale Ministerului Finanțelor, ale Ministerului Muncii și Protecției Sociale, ale serviciului public de ocupare a forței de muncă). </w:t>
      </w:r>
    </w:p>
    <w:p w14:paraId="14475DD8"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2023.</w:t>
      </w:r>
    </w:p>
    <w:p w14:paraId="10E7D88D" w14:textId="77777777" w:rsidR="00151654" w:rsidRPr="009F1DC7" w:rsidRDefault="00151654">
      <w:pPr>
        <w:spacing w:before="120" w:after="120" w:line="240" w:lineRule="auto"/>
        <w:jc w:val="both"/>
        <w:rPr>
          <w:rFonts w:ascii="Times New Roman" w:hAnsi="Times New Roman" w:cs="Times New Roman"/>
          <w:noProof/>
          <w:sz w:val="24"/>
          <w:szCs w:val="24"/>
          <w:lang w:val="fr-FR"/>
        </w:rPr>
      </w:pPr>
    </w:p>
    <w:p w14:paraId="296B4BBA" w14:textId="77777777" w:rsidR="00151654" w:rsidRPr="009F1DC7" w:rsidRDefault="00151654">
      <w:pPr>
        <w:spacing w:before="120" w:after="120" w:line="240" w:lineRule="auto"/>
        <w:jc w:val="both"/>
        <w:rPr>
          <w:rFonts w:ascii="Times New Roman" w:hAnsi="Times New Roman" w:cs="Times New Roman"/>
          <w:noProof/>
          <w:sz w:val="24"/>
          <w:szCs w:val="24"/>
          <w:lang w:val="fr-FR"/>
        </w:rPr>
        <w:sectPr w:rsidR="00151654" w:rsidRPr="009F1DC7" w:rsidSect="00ED6412">
          <w:headerReference w:type="even" r:id="rId265"/>
          <w:headerReference w:type="default" r:id="rId266"/>
          <w:footerReference w:type="even" r:id="rId267"/>
          <w:footerReference w:type="default" r:id="rId268"/>
          <w:headerReference w:type="first" r:id="rId269"/>
          <w:footerReference w:type="first" r:id="rId270"/>
          <w:pgSz w:w="11906" w:h="16838"/>
          <w:pgMar w:top="1440" w:right="1440" w:bottom="1440" w:left="1440" w:header="708" w:footer="708" w:gutter="0"/>
          <w:cols w:space="708"/>
          <w:docGrid w:linePitch="360"/>
        </w:sectPr>
      </w:pPr>
    </w:p>
    <w:p w14:paraId="1444E262" w14:textId="77777777" w:rsidR="00151654" w:rsidRPr="000A27B3" w:rsidRDefault="00151654">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M.2. </w:t>
      </w:r>
      <w:r>
        <w:rPr>
          <w:noProof/>
        </w:rPr>
        <w:tab/>
      </w:r>
      <w:r>
        <w:rPr>
          <w:rFonts w:ascii="Times New Roman" w:hAnsi="Times New Roman"/>
          <w:b/>
          <w:noProof/>
          <w:sz w:val="24"/>
        </w:rPr>
        <w:t>Jaloane, ținte, indicatori și calendarul de monitorizare și implementare aplicabile sprijinului financiar nerambursabil</w:t>
      </w:r>
    </w:p>
    <w:tbl>
      <w:tblPr>
        <w:tblW w:w="15387" w:type="dxa"/>
        <w:jc w:val="center"/>
        <w:tblLayout w:type="fixed"/>
        <w:tblLook w:val="04A0" w:firstRow="1" w:lastRow="0" w:firstColumn="1" w:lastColumn="0" w:noHBand="0" w:noVBand="1"/>
      </w:tblPr>
      <w:tblGrid>
        <w:gridCol w:w="988"/>
        <w:gridCol w:w="1842"/>
        <w:gridCol w:w="1216"/>
        <w:gridCol w:w="1619"/>
        <w:gridCol w:w="1843"/>
        <w:gridCol w:w="1123"/>
        <w:gridCol w:w="1145"/>
        <w:gridCol w:w="1139"/>
        <w:gridCol w:w="954"/>
        <w:gridCol w:w="825"/>
        <w:gridCol w:w="2693"/>
      </w:tblGrid>
      <w:tr w:rsidR="000A27B3" w:rsidRPr="000A27B3" w14:paraId="3BC0FB8B" w14:textId="77777777" w:rsidTr="00506E69">
        <w:trPr>
          <w:trHeight w:val="774"/>
          <w:tblHeade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1AD8BD7"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DA8075"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7F0209" w14:textId="6F1FA63E"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506E69">
              <w:rPr>
                <w:rFonts w:ascii="Times New Roman" w:hAnsi="Times New Roman"/>
                <w:b/>
                <w:noProof/>
                <w:sz w:val="24"/>
              </w:rPr>
              <w:br/>
            </w:r>
            <w:r>
              <w:rPr>
                <w:rFonts w:ascii="Times New Roman" w:hAnsi="Times New Roman"/>
                <w:b/>
                <w:noProof/>
                <w:sz w:val="24"/>
              </w:rPr>
              <w:t>țintă</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7E04EF"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29033CC" w14:textId="290A20DA"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40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11FCCF7" w14:textId="49A4A5A1"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779" w:type="dxa"/>
            <w:gridSpan w:val="2"/>
            <w:tcBorders>
              <w:top w:val="single" w:sz="4" w:space="0" w:color="auto"/>
              <w:left w:val="nil"/>
              <w:bottom w:val="single" w:sz="4" w:space="0" w:color="auto"/>
              <w:right w:val="single" w:sz="4" w:space="0" w:color="auto"/>
            </w:tcBorders>
            <w:shd w:val="clear" w:color="auto" w:fill="BDD7EE"/>
            <w:vAlign w:val="center"/>
            <w:hideMark/>
          </w:tcPr>
          <w:p w14:paraId="0C06C785" w14:textId="164A547A"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506E69">
              <w:rPr>
                <w:rFonts w:ascii="Times New Roman" w:hAnsi="Times New Roman"/>
                <w:b/>
                <w:noProof/>
                <w:sz w:val="24"/>
              </w:rPr>
              <w:br/>
            </w:r>
            <w:r>
              <w:rPr>
                <w:rFonts w:ascii="Times New Roman" w:hAnsi="Times New Roman"/>
                <w:b/>
                <w:noProof/>
                <w:sz w:val="24"/>
              </w:rPr>
              <w:t>țintelor</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B20FE19"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3560533A" w14:textId="77777777" w:rsidTr="00506E69">
        <w:trPr>
          <w:trHeight w:val="404"/>
          <w:tblHeader/>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57EE413"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000B247"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55C40D8E"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5D48F087"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40531E"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123" w:type="dxa"/>
            <w:tcBorders>
              <w:top w:val="nil"/>
              <w:left w:val="single" w:sz="4" w:space="0" w:color="auto"/>
              <w:bottom w:val="single" w:sz="4" w:space="0" w:color="auto"/>
              <w:right w:val="single" w:sz="4" w:space="0" w:color="auto"/>
            </w:tcBorders>
            <w:shd w:val="clear" w:color="auto" w:fill="BDD7EE"/>
            <w:vAlign w:val="center"/>
            <w:hideMark/>
          </w:tcPr>
          <w:p w14:paraId="08C18B35" w14:textId="77777777" w:rsidR="00151654" w:rsidRPr="000A27B3" w:rsidRDefault="00151654" w:rsidP="00506E6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145" w:type="dxa"/>
            <w:tcBorders>
              <w:top w:val="nil"/>
              <w:left w:val="nil"/>
              <w:bottom w:val="single" w:sz="4" w:space="0" w:color="auto"/>
              <w:right w:val="single" w:sz="4" w:space="0" w:color="auto"/>
            </w:tcBorders>
            <w:shd w:val="clear" w:color="auto" w:fill="BDD7EE"/>
            <w:vAlign w:val="center"/>
            <w:hideMark/>
          </w:tcPr>
          <w:p w14:paraId="0406138D" w14:textId="2C39791C" w:rsidR="00151654" w:rsidRPr="000A27B3" w:rsidRDefault="00151654" w:rsidP="00506E69">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139" w:type="dxa"/>
            <w:tcBorders>
              <w:top w:val="nil"/>
              <w:left w:val="nil"/>
              <w:bottom w:val="single" w:sz="4" w:space="0" w:color="auto"/>
              <w:right w:val="single" w:sz="4" w:space="0" w:color="auto"/>
            </w:tcBorders>
            <w:shd w:val="clear" w:color="auto" w:fill="BDD7EE"/>
            <w:vAlign w:val="center"/>
            <w:hideMark/>
          </w:tcPr>
          <w:p w14:paraId="7828AA89"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954" w:type="dxa"/>
            <w:tcBorders>
              <w:top w:val="nil"/>
              <w:left w:val="nil"/>
              <w:bottom w:val="single" w:sz="4" w:space="0" w:color="auto"/>
              <w:right w:val="single" w:sz="4" w:space="0" w:color="auto"/>
            </w:tcBorders>
            <w:shd w:val="clear" w:color="auto" w:fill="BDD7EE"/>
            <w:vAlign w:val="center"/>
            <w:hideMark/>
          </w:tcPr>
          <w:p w14:paraId="4B235151" w14:textId="77777777" w:rsidR="00151654" w:rsidRPr="000A27B3" w:rsidRDefault="00151654">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Trimestru</w:t>
            </w:r>
          </w:p>
        </w:tc>
        <w:tc>
          <w:tcPr>
            <w:tcW w:w="825" w:type="dxa"/>
            <w:tcBorders>
              <w:top w:val="nil"/>
              <w:left w:val="nil"/>
              <w:bottom w:val="single" w:sz="4" w:space="0" w:color="auto"/>
              <w:right w:val="single" w:sz="4" w:space="0" w:color="auto"/>
            </w:tcBorders>
            <w:shd w:val="clear" w:color="auto" w:fill="BDD7EE"/>
            <w:vAlign w:val="center"/>
            <w:hideMark/>
          </w:tcPr>
          <w:p w14:paraId="24F35A88" w14:textId="77777777" w:rsidR="00151654" w:rsidRPr="000A27B3" w:rsidRDefault="00151654">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An</w:t>
            </w:r>
          </w:p>
        </w:tc>
        <w:tc>
          <w:tcPr>
            <w:tcW w:w="2693" w:type="dxa"/>
            <w:vMerge/>
            <w:tcBorders>
              <w:top w:val="single" w:sz="4" w:space="0" w:color="auto"/>
              <w:bottom w:val="single" w:sz="4" w:space="0" w:color="auto"/>
              <w:right w:val="single" w:sz="4" w:space="0" w:color="auto"/>
            </w:tcBorders>
            <w:vAlign w:val="center"/>
            <w:hideMark/>
          </w:tcPr>
          <w:p w14:paraId="26E4DF89" w14:textId="77777777" w:rsidR="00151654" w:rsidRPr="000A27B3" w:rsidRDefault="00151654">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67437DB3" w14:textId="77777777" w:rsidTr="00506E69">
        <w:trPr>
          <w:trHeight w:val="309"/>
          <w:jc w:val="center"/>
        </w:trPr>
        <w:tc>
          <w:tcPr>
            <w:tcW w:w="988" w:type="dxa"/>
            <w:tcBorders>
              <w:top w:val="single" w:sz="4" w:space="0" w:color="auto"/>
              <w:left w:val="single" w:sz="4" w:space="0" w:color="auto"/>
              <w:bottom w:val="single" w:sz="4" w:space="0" w:color="auto"/>
              <w:right w:val="single" w:sz="4" w:space="0" w:color="auto"/>
            </w:tcBorders>
            <w:shd w:val="clear" w:color="auto" w:fill="C6EFCE"/>
            <w:noWrap/>
            <w:hideMark/>
          </w:tcPr>
          <w:p w14:paraId="4B65A459" w14:textId="77777777" w:rsidR="00151654" w:rsidRPr="000A27B3" w:rsidRDefault="00151654">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378</w:t>
            </w:r>
          </w:p>
        </w:tc>
        <w:tc>
          <w:tcPr>
            <w:tcW w:w="1842" w:type="dxa"/>
            <w:tcBorders>
              <w:top w:val="single" w:sz="4" w:space="0" w:color="auto"/>
              <w:left w:val="nil"/>
              <w:bottom w:val="single" w:sz="4" w:space="0" w:color="auto"/>
              <w:right w:val="single" w:sz="4" w:space="0" w:color="auto"/>
            </w:tcBorders>
            <w:shd w:val="clear" w:color="auto" w:fill="C6EFCE"/>
            <w:noWrap/>
            <w:hideMark/>
          </w:tcPr>
          <w:p w14:paraId="155EC0BA"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Crearea unui nou cadru juridic pentru a preveni separarea copiilor de familie</w:t>
            </w:r>
          </w:p>
        </w:tc>
        <w:tc>
          <w:tcPr>
            <w:tcW w:w="1216" w:type="dxa"/>
            <w:tcBorders>
              <w:top w:val="single" w:sz="4" w:space="0" w:color="auto"/>
              <w:left w:val="nil"/>
              <w:bottom w:val="single" w:sz="4" w:space="0" w:color="auto"/>
              <w:right w:val="single" w:sz="4" w:space="0" w:color="auto"/>
            </w:tcBorders>
            <w:shd w:val="clear" w:color="auto" w:fill="C6EFCE"/>
            <w:noWrap/>
            <w:hideMark/>
          </w:tcPr>
          <w:p w14:paraId="6F14639A"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19" w:type="dxa"/>
            <w:tcBorders>
              <w:top w:val="single" w:sz="4" w:space="0" w:color="auto"/>
              <w:left w:val="nil"/>
              <w:bottom w:val="single" w:sz="4" w:space="0" w:color="auto"/>
              <w:right w:val="single" w:sz="4" w:space="0" w:color="auto"/>
            </w:tcBorders>
            <w:shd w:val="clear" w:color="auto" w:fill="C6EFCE"/>
            <w:noWrap/>
            <w:hideMark/>
          </w:tcPr>
          <w:p w14:paraId="7C3E0872"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unui act legislativ necesar pentru a preveni separarea copiilor de familie și sprijinirea familiilor vulnerabile</w:t>
            </w:r>
          </w:p>
        </w:tc>
        <w:tc>
          <w:tcPr>
            <w:tcW w:w="1843" w:type="dxa"/>
            <w:tcBorders>
              <w:top w:val="single" w:sz="4" w:space="0" w:color="auto"/>
              <w:left w:val="nil"/>
              <w:bottom w:val="single" w:sz="4" w:space="0" w:color="auto"/>
              <w:right w:val="single" w:sz="4" w:space="0" w:color="auto"/>
            </w:tcBorders>
            <w:shd w:val="clear" w:color="auto" w:fill="C6EFCE"/>
            <w:noWrap/>
            <w:hideMark/>
          </w:tcPr>
          <w:p w14:paraId="72D70734"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actului legislativ necesar pentru a preveni separarea copiilor de familie și sprijinirea familiilor vulnerabile</w:t>
            </w:r>
          </w:p>
        </w:tc>
        <w:tc>
          <w:tcPr>
            <w:tcW w:w="1123" w:type="dxa"/>
            <w:tcBorders>
              <w:top w:val="nil"/>
              <w:left w:val="nil"/>
              <w:bottom w:val="single" w:sz="4" w:space="0" w:color="auto"/>
              <w:right w:val="single" w:sz="4" w:space="0" w:color="auto"/>
            </w:tcBorders>
            <w:shd w:val="clear" w:color="auto" w:fill="C6EFCE"/>
            <w:noWrap/>
            <w:hideMark/>
          </w:tcPr>
          <w:p w14:paraId="3E3C5798"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45" w:type="dxa"/>
            <w:tcBorders>
              <w:top w:val="nil"/>
              <w:left w:val="nil"/>
              <w:bottom w:val="single" w:sz="4" w:space="0" w:color="auto"/>
              <w:right w:val="single" w:sz="4" w:space="0" w:color="auto"/>
            </w:tcBorders>
            <w:shd w:val="clear" w:color="auto" w:fill="C6EFCE"/>
            <w:noWrap/>
            <w:hideMark/>
          </w:tcPr>
          <w:p w14:paraId="2BF925E1"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39" w:type="dxa"/>
            <w:tcBorders>
              <w:top w:val="nil"/>
              <w:left w:val="nil"/>
              <w:bottom w:val="single" w:sz="4" w:space="0" w:color="auto"/>
              <w:right w:val="single" w:sz="4" w:space="0" w:color="auto"/>
            </w:tcBorders>
            <w:shd w:val="clear" w:color="auto" w:fill="C6EFCE"/>
            <w:noWrap/>
            <w:hideMark/>
          </w:tcPr>
          <w:p w14:paraId="102F0368"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54" w:type="dxa"/>
            <w:tcBorders>
              <w:top w:val="nil"/>
              <w:left w:val="nil"/>
              <w:bottom w:val="single" w:sz="4" w:space="0" w:color="auto"/>
              <w:right w:val="single" w:sz="4" w:space="0" w:color="auto"/>
            </w:tcBorders>
            <w:shd w:val="clear" w:color="auto" w:fill="C6EFCE"/>
            <w:noWrap/>
            <w:hideMark/>
          </w:tcPr>
          <w:p w14:paraId="76A25803"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hideMark/>
          </w:tcPr>
          <w:p w14:paraId="4D1763E0"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2693" w:type="dxa"/>
            <w:tcBorders>
              <w:top w:val="single" w:sz="4" w:space="0" w:color="auto"/>
              <w:left w:val="nil"/>
              <w:bottom w:val="single" w:sz="4" w:space="0" w:color="auto"/>
              <w:right w:val="single" w:sz="4" w:space="0" w:color="auto"/>
            </w:tcBorders>
            <w:shd w:val="clear" w:color="auto" w:fill="C6EFCE"/>
            <w:noWrap/>
            <w:hideMark/>
          </w:tcPr>
          <w:p w14:paraId="155F5AB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Legea va crea un cadru pentru punerea în aplicare a măsurilor (inclusiv, de exemplu, consiliere și sprijin pentru părinți și copii, centre de zi pentru copiii expuși riscului de separare de părinți, centre de zi pentru copiii cu dizabilități) astfel încât să se prevină în mod eficace separarea copilului de familie și sprijinirea familiei în ceea ce privește creșterea și îngrijirea copilului expus riscului de separare. Actul legislativ va cuprinde: </w:t>
            </w:r>
          </w:p>
          <w:p w14:paraId="06283697" w14:textId="77777777" w:rsidR="00151654" w:rsidRPr="000A27B3" w:rsidRDefault="00151654" w:rsidP="00151654">
            <w:pPr>
              <w:numPr>
                <w:ilvl w:val="0"/>
                <w:numId w:val="95"/>
              </w:numPr>
              <w:spacing w:before="120" w:after="0" w:line="240" w:lineRule="auto"/>
              <w:ind w:left="230" w:hanging="218"/>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o sursă stabilă identificată de finanțare a măsurilor </w:t>
            </w:r>
          </w:p>
          <w:p w14:paraId="4FC2E7FE" w14:textId="77777777" w:rsidR="00151654" w:rsidRPr="000A27B3" w:rsidRDefault="00151654" w:rsidP="00151654">
            <w:pPr>
              <w:numPr>
                <w:ilvl w:val="0"/>
                <w:numId w:val="95"/>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un mecanism de guvernanță cu responsabilități clare atribuite autorităților publice la nivel național și local;</w:t>
            </w:r>
          </w:p>
          <w:p w14:paraId="034ACA67" w14:textId="77777777" w:rsidR="00151654" w:rsidRPr="000A27B3" w:rsidRDefault="00151654" w:rsidP="00151654">
            <w:pPr>
              <w:numPr>
                <w:ilvl w:val="0"/>
                <w:numId w:val="95"/>
              </w:numPr>
              <w:spacing w:before="120" w:after="0" w:line="240" w:lineRule="auto"/>
              <w:ind w:left="230" w:hanging="218"/>
              <w:contextualSpacing/>
              <w:jc w:val="both"/>
              <w:rPr>
                <w:rFonts w:ascii="Times New Roman" w:eastAsia="Times New Roman" w:hAnsi="Times New Roman" w:cs="Times New Roman"/>
                <w:noProof/>
                <w:sz w:val="24"/>
                <w:szCs w:val="24"/>
              </w:rPr>
            </w:pPr>
            <w:r>
              <w:rPr>
                <w:rFonts w:ascii="Times New Roman" w:hAnsi="Times New Roman"/>
                <w:noProof/>
                <w:sz w:val="24"/>
              </w:rPr>
              <w:t>un mecanism de plată a fondurilor condiționat de realizarea indicatorilor-cheie de performanță asociați obiectivelor de politică.</w:t>
            </w:r>
          </w:p>
        </w:tc>
      </w:tr>
      <w:tr w:rsidR="000A27B3" w:rsidRPr="000A27B3" w14:paraId="1DD21E4E"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hideMark/>
          </w:tcPr>
          <w:p w14:paraId="233A2348" w14:textId="77777777" w:rsidR="00151654" w:rsidRPr="000A27B3" w:rsidRDefault="00151654">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379</w:t>
            </w:r>
          </w:p>
        </w:tc>
        <w:tc>
          <w:tcPr>
            <w:tcW w:w="1842" w:type="dxa"/>
            <w:tcBorders>
              <w:top w:val="nil"/>
              <w:left w:val="nil"/>
              <w:bottom w:val="single" w:sz="4" w:space="0" w:color="auto"/>
              <w:right w:val="single" w:sz="4" w:space="0" w:color="auto"/>
            </w:tcBorders>
            <w:shd w:val="clear" w:color="auto" w:fill="C6EFCE"/>
            <w:noWrap/>
            <w:hideMark/>
          </w:tcPr>
          <w:p w14:paraId="0868572D"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Crearea unui nou cadru juridic pentru a preveni separarea copiilor de familie</w:t>
            </w:r>
          </w:p>
        </w:tc>
        <w:tc>
          <w:tcPr>
            <w:tcW w:w="1216" w:type="dxa"/>
            <w:tcBorders>
              <w:top w:val="nil"/>
              <w:left w:val="nil"/>
              <w:bottom w:val="single" w:sz="4" w:space="0" w:color="auto"/>
              <w:right w:val="single" w:sz="4" w:space="0" w:color="auto"/>
            </w:tcBorders>
            <w:shd w:val="clear" w:color="auto" w:fill="C6EFCE"/>
            <w:noWrap/>
            <w:hideMark/>
          </w:tcPr>
          <w:p w14:paraId="25E520E8"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hideMark/>
          </w:tcPr>
          <w:p w14:paraId="622C29AA"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Reducerea numărului de copii separați de familie care intră în sistemul de protecție socială </w:t>
            </w:r>
          </w:p>
        </w:tc>
        <w:tc>
          <w:tcPr>
            <w:tcW w:w="1843" w:type="dxa"/>
            <w:tcBorders>
              <w:top w:val="nil"/>
              <w:left w:val="nil"/>
              <w:bottom w:val="single" w:sz="4" w:space="0" w:color="auto"/>
              <w:right w:val="single" w:sz="4" w:space="0" w:color="auto"/>
            </w:tcBorders>
            <w:shd w:val="clear" w:color="auto" w:fill="C6EFCE"/>
            <w:noWrap/>
            <w:hideMark/>
          </w:tcPr>
          <w:p w14:paraId="5347403D" w14:textId="77777777" w:rsidR="00151654" w:rsidRPr="009F1DC7" w:rsidRDefault="00151654">
            <w:pPr>
              <w:spacing w:after="0" w:line="240" w:lineRule="auto"/>
              <w:jc w:val="both"/>
              <w:rPr>
                <w:rFonts w:ascii="Times New Roman" w:eastAsia="Times New Roman" w:hAnsi="Times New Roman" w:cs="Times New Roman"/>
                <w:noProof/>
                <w:sz w:val="24"/>
                <w:szCs w:val="24"/>
                <w:lang w:val="fr-FR" w:eastAsia="en-GB"/>
              </w:rPr>
            </w:pPr>
          </w:p>
        </w:tc>
        <w:tc>
          <w:tcPr>
            <w:tcW w:w="1123" w:type="dxa"/>
            <w:tcBorders>
              <w:top w:val="nil"/>
              <w:left w:val="nil"/>
              <w:bottom w:val="single" w:sz="4" w:space="0" w:color="auto"/>
              <w:right w:val="single" w:sz="4" w:space="0" w:color="auto"/>
            </w:tcBorders>
            <w:shd w:val="clear" w:color="auto" w:fill="C6EFCE"/>
            <w:noWrap/>
            <w:hideMark/>
          </w:tcPr>
          <w:p w14:paraId="6F784A0F"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hideMark/>
          </w:tcPr>
          <w:p w14:paraId="74BE22D9"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12 139</w:t>
            </w:r>
          </w:p>
        </w:tc>
        <w:tc>
          <w:tcPr>
            <w:tcW w:w="1139" w:type="dxa"/>
            <w:tcBorders>
              <w:top w:val="nil"/>
              <w:left w:val="nil"/>
              <w:bottom w:val="single" w:sz="4" w:space="0" w:color="auto"/>
              <w:right w:val="single" w:sz="4" w:space="0" w:color="auto"/>
            </w:tcBorders>
            <w:shd w:val="clear" w:color="auto" w:fill="C6EFCE"/>
            <w:noWrap/>
            <w:hideMark/>
          </w:tcPr>
          <w:p w14:paraId="3D4BD359"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6 100 </w:t>
            </w:r>
          </w:p>
        </w:tc>
        <w:tc>
          <w:tcPr>
            <w:tcW w:w="954" w:type="dxa"/>
            <w:tcBorders>
              <w:top w:val="nil"/>
              <w:left w:val="nil"/>
              <w:bottom w:val="single" w:sz="4" w:space="0" w:color="auto"/>
              <w:right w:val="single" w:sz="4" w:space="0" w:color="auto"/>
            </w:tcBorders>
            <w:shd w:val="clear" w:color="auto" w:fill="C6EFCE"/>
            <w:noWrap/>
            <w:hideMark/>
          </w:tcPr>
          <w:p w14:paraId="20F7C231"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825" w:type="dxa"/>
            <w:tcBorders>
              <w:top w:val="nil"/>
              <w:left w:val="nil"/>
              <w:bottom w:val="single" w:sz="4" w:space="0" w:color="auto"/>
              <w:right w:val="single" w:sz="4" w:space="0" w:color="auto"/>
            </w:tcBorders>
            <w:shd w:val="clear" w:color="auto" w:fill="C6EFCE"/>
            <w:noWrap/>
            <w:hideMark/>
          </w:tcPr>
          <w:p w14:paraId="5BE1A8DE"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2693" w:type="dxa"/>
            <w:tcBorders>
              <w:top w:val="nil"/>
              <w:left w:val="nil"/>
              <w:bottom w:val="single" w:sz="4" w:space="0" w:color="auto"/>
              <w:right w:val="single" w:sz="4" w:space="0" w:color="auto"/>
            </w:tcBorders>
            <w:shd w:val="clear" w:color="auto" w:fill="C6EFCE"/>
            <w:noWrap/>
            <w:hideMark/>
          </w:tcPr>
          <w:p w14:paraId="7B182908" w14:textId="4CAA8C9E"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Reducerea numărului de copii separați de familie și care intră în sistemul de protecție socială față de 31.12.2020.</w:t>
            </w:r>
          </w:p>
          <w:p w14:paraId="68EB16AF" w14:textId="77777777" w:rsidR="00151654" w:rsidRPr="009F1DC7" w:rsidRDefault="00151654">
            <w:pPr>
              <w:spacing w:after="0" w:line="240" w:lineRule="auto"/>
              <w:jc w:val="both"/>
              <w:rPr>
                <w:rFonts w:ascii="Times New Roman" w:eastAsia="Times New Roman" w:hAnsi="Times New Roman" w:cs="Times New Roman"/>
                <w:noProof/>
                <w:sz w:val="24"/>
                <w:szCs w:val="24"/>
                <w:lang w:val="fr-FR" w:eastAsia="en-GB"/>
              </w:rPr>
            </w:pPr>
          </w:p>
        </w:tc>
      </w:tr>
      <w:tr w:rsidR="000A27B3" w:rsidRPr="000A27B3" w14:paraId="133C60A5"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20E14AF0" w14:textId="77777777" w:rsidR="00151654" w:rsidRPr="000A27B3" w:rsidRDefault="00151654">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380</w:t>
            </w:r>
          </w:p>
        </w:tc>
        <w:tc>
          <w:tcPr>
            <w:tcW w:w="1842" w:type="dxa"/>
            <w:tcBorders>
              <w:top w:val="nil"/>
              <w:left w:val="nil"/>
              <w:bottom w:val="single" w:sz="4" w:space="0" w:color="auto"/>
              <w:right w:val="single" w:sz="4" w:space="0" w:color="auto"/>
            </w:tcBorders>
            <w:shd w:val="clear" w:color="auto" w:fill="C6EFCE"/>
            <w:noWrap/>
          </w:tcPr>
          <w:p w14:paraId="7E04A04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Reforma sistemului de protecție a persoanelor adulte cu dizabilități </w:t>
            </w:r>
          </w:p>
        </w:tc>
        <w:tc>
          <w:tcPr>
            <w:tcW w:w="1216" w:type="dxa"/>
            <w:tcBorders>
              <w:top w:val="nil"/>
              <w:left w:val="nil"/>
              <w:bottom w:val="single" w:sz="4" w:space="0" w:color="auto"/>
              <w:right w:val="single" w:sz="4" w:space="0" w:color="auto"/>
            </w:tcBorders>
            <w:shd w:val="clear" w:color="auto" w:fill="C6EFCE"/>
            <w:noWrap/>
          </w:tcPr>
          <w:p w14:paraId="1286458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tcPr>
          <w:p w14:paraId="4426DFB4" w14:textId="250C8DCB"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actului legislativ pentru punerea în aplicare și operaționalizarea Ghidului privind accelerarea procesului de dezinstituționalizare </w:t>
            </w:r>
          </w:p>
        </w:tc>
        <w:tc>
          <w:tcPr>
            <w:tcW w:w="1843" w:type="dxa"/>
            <w:tcBorders>
              <w:top w:val="nil"/>
              <w:left w:val="nil"/>
              <w:bottom w:val="single" w:sz="4" w:space="0" w:color="auto"/>
              <w:right w:val="single" w:sz="4" w:space="0" w:color="auto"/>
            </w:tcBorders>
            <w:shd w:val="clear" w:color="auto" w:fill="C6EFCE"/>
            <w:noWrap/>
          </w:tcPr>
          <w:p w14:paraId="2260E00C"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Dispoziție legală care indică intrarea în vigoare a actului normativ </w:t>
            </w:r>
          </w:p>
        </w:tc>
        <w:tc>
          <w:tcPr>
            <w:tcW w:w="1123" w:type="dxa"/>
            <w:tcBorders>
              <w:top w:val="nil"/>
              <w:left w:val="nil"/>
              <w:bottom w:val="single" w:sz="4" w:space="0" w:color="auto"/>
              <w:right w:val="single" w:sz="4" w:space="0" w:color="auto"/>
            </w:tcBorders>
            <w:shd w:val="clear" w:color="auto" w:fill="C6EFCE"/>
            <w:noWrap/>
          </w:tcPr>
          <w:p w14:paraId="797FF62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45" w:type="dxa"/>
            <w:tcBorders>
              <w:top w:val="nil"/>
              <w:left w:val="nil"/>
              <w:bottom w:val="single" w:sz="4" w:space="0" w:color="auto"/>
              <w:right w:val="single" w:sz="4" w:space="0" w:color="auto"/>
            </w:tcBorders>
            <w:shd w:val="clear" w:color="auto" w:fill="C6EFCE"/>
            <w:noWrap/>
          </w:tcPr>
          <w:p w14:paraId="3D137FE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39" w:type="dxa"/>
            <w:tcBorders>
              <w:top w:val="nil"/>
              <w:left w:val="nil"/>
              <w:bottom w:val="single" w:sz="4" w:space="0" w:color="auto"/>
              <w:right w:val="single" w:sz="4" w:space="0" w:color="auto"/>
            </w:tcBorders>
            <w:shd w:val="clear" w:color="auto" w:fill="C6EFCE"/>
            <w:noWrap/>
          </w:tcPr>
          <w:p w14:paraId="301D8D5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54" w:type="dxa"/>
            <w:tcBorders>
              <w:top w:val="nil"/>
              <w:left w:val="nil"/>
              <w:bottom w:val="single" w:sz="4" w:space="0" w:color="auto"/>
              <w:right w:val="single" w:sz="4" w:space="0" w:color="auto"/>
            </w:tcBorders>
            <w:shd w:val="clear" w:color="auto" w:fill="C6EFCE"/>
            <w:noWrap/>
          </w:tcPr>
          <w:p w14:paraId="78C3273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71C3DA5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2693" w:type="dxa"/>
            <w:tcBorders>
              <w:top w:val="nil"/>
              <w:left w:val="nil"/>
              <w:bottom w:val="single" w:sz="4" w:space="0" w:color="auto"/>
              <w:right w:val="single" w:sz="4" w:space="0" w:color="auto"/>
            </w:tcBorders>
            <w:shd w:val="clear" w:color="auto" w:fill="C6EFCE"/>
            <w:noWrap/>
          </w:tcPr>
          <w:p w14:paraId="019D3852" w14:textId="77777777" w:rsidR="00151654" w:rsidRPr="000A27B3" w:rsidRDefault="00151654">
            <w:pPr>
              <w:spacing w:after="0" w:line="240" w:lineRule="auto"/>
              <w:jc w:val="both"/>
              <w:rPr>
                <w:rFonts w:ascii="Times New Roman" w:hAnsi="Times New Roman" w:cs="Times New Roman"/>
                <w:noProof/>
                <w:sz w:val="24"/>
              </w:rPr>
            </w:pPr>
            <w:r>
              <w:rPr>
                <w:rFonts w:ascii="Times New Roman" w:hAnsi="Times New Roman"/>
                <w:noProof/>
                <w:sz w:val="24"/>
              </w:rPr>
              <w:t>Intrarea în vigoare a actului legislativ pentru punerea în aplicare și operaționalizarea Ghidului privind accelerarea procesului de dezinstituționalizare a tuturor persoanelor cu dizabilități care în prezent sunt instituționalizate, astfel încât să fie definit un „parcurs de trai independent” pentru fiecare persoană, realizat în conformitate cu principiile managementului de caz. Ghidul privind accelerarea procesului de dezinstituționalizare va fi anexat la Strategia națională, ambele fiind aprobate printr-o hotărâre a guvernului.</w:t>
            </w:r>
          </w:p>
          <w:p w14:paraId="0786521F" w14:textId="77777777" w:rsidR="00151654" w:rsidRPr="009F1DC7" w:rsidRDefault="00151654">
            <w:pPr>
              <w:spacing w:after="0" w:line="240" w:lineRule="auto"/>
              <w:jc w:val="both"/>
              <w:rPr>
                <w:rFonts w:ascii="Times New Roman" w:hAnsi="Times New Roman" w:cs="Times New Roman"/>
                <w:noProof/>
                <w:sz w:val="24"/>
                <w:szCs w:val="24"/>
              </w:rPr>
            </w:pPr>
          </w:p>
          <w:p w14:paraId="470928C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Actul legislativ va cuprinde, de asemenea: </w:t>
            </w:r>
          </w:p>
          <w:p w14:paraId="456F5F5C" w14:textId="77777777" w:rsidR="00151654" w:rsidRPr="000A27B3" w:rsidRDefault="00151654" w:rsidP="00151654">
            <w:pPr>
              <w:numPr>
                <w:ilvl w:val="0"/>
                <w:numId w:val="95"/>
              </w:numPr>
              <w:spacing w:before="120" w:after="0" w:line="240" w:lineRule="auto"/>
              <w:ind w:left="230" w:hanging="218"/>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o sursă stabilă identificată de finanțare a măsurilor planificate în ghid </w:t>
            </w:r>
          </w:p>
          <w:p w14:paraId="5CAA1999" w14:textId="77777777" w:rsidR="00151654" w:rsidRPr="000A27B3" w:rsidRDefault="00151654" w:rsidP="00151654">
            <w:pPr>
              <w:numPr>
                <w:ilvl w:val="0"/>
                <w:numId w:val="95"/>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un mecanism de guvernanță cu responsabilități clare atribuite autorităților publice la nivel național și local;</w:t>
            </w:r>
          </w:p>
          <w:p w14:paraId="04A4DFDF" w14:textId="77777777" w:rsidR="00151654" w:rsidRPr="000A27B3" w:rsidRDefault="00151654" w:rsidP="00151654">
            <w:pPr>
              <w:numPr>
                <w:ilvl w:val="0"/>
                <w:numId w:val="95"/>
              </w:numPr>
              <w:spacing w:before="120" w:after="0" w:line="240" w:lineRule="auto"/>
              <w:ind w:left="230" w:hanging="218"/>
              <w:contextualSpacing/>
              <w:jc w:val="both"/>
              <w:rPr>
                <w:rFonts w:ascii="Times New Roman" w:eastAsia="Times New Roman" w:hAnsi="Times New Roman" w:cs="Times New Roman"/>
                <w:noProof/>
                <w:sz w:val="24"/>
                <w:szCs w:val="24"/>
              </w:rPr>
            </w:pPr>
            <w:r>
              <w:rPr>
                <w:rFonts w:ascii="Times New Roman" w:hAnsi="Times New Roman"/>
                <w:noProof/>
                <w:sz w:val="24"/>
              </w:rPr>
              <w:t xml:space="preserve">un mecanism de plată a fondurilor condiționat de realizarea indicatorilor-cheie de performanță asociați obiectivelor de politică. </w:t>
            </w:r>
          </w:p>
          <w:p w14:paraId="442D26F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Actul normativ se va baza pe o cartografiere completă a situației individuale a tuturor persoanelor cu dizabilități care în prezent sunt instituționalizate în România.</w:t>
            </w:r>
          </w:p>
        </w:tc>
      </w:tr>
      <w:tr w:rsidR="000A27B3" w:rsidRPr="000A27B3" w14:paraId="78B9D479"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E54530A"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381</w:t>
            </w:r>
          </w:p>
        </w:tc>
        <w:tc>
          <w:tcPr>
            <w:tcW w:w="1842" w:type="dxa"/>
            <w:tcBorders>
              <w:top w:val="nil"/>
              <w:left w:val="nil"/>
              <w:bottom w:val="single" w:sz="4" w:space="0" w:color="auto"/>
              <w:right w:val="single" w:sz="4" w:space="0" w:color="auto"/>
            </w:tcBorders>
            <w:shd w:val="clear" w:color="auto" w:fill="C6EFCE"/>
            <w:noWrap/>
          </w:tcPr>
          <w:p w14:paraId="540269D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Reforma sistemului de protecție a persoanelor adulte cu dizabilități </w:t>
            </w:r>
          </w:p>
        </w:tc>
        <w:tc>
          <w:tcPr>
            <w:tcW w:w="1216" w:type="dxa"/>
            <w:tcBorders>
              <w:top w:val="nil"/>
              <w:left w:val="nil"/>
              <w:bottom w:val="single" w:sz="4" w:space="0" w:color="auto"/>
              <w:right w:val="single" w:sz="4" w:space="0" w:color="auto"/>
            </w:tcBorders>
            <w:shd w:val="clear" w:color="auto" w:fill="C6EFCE"/>
            <w:noWrap/>
          </w:tcPr>
          <w:p w14:paraId="7BA35AA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tcPr>
          <w:p w14:paraId="44DAD5E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legii de sprijinire a punerii în aplicare a strategiei naționale adoptate pentru prevenirea instituționalizării </w:t>
            </w:r>
          </w:p>
        </w:tc>
        <w:tc>
          <w:tcPr>
            <w:tcW w:w="1843" w:type="dxa"/>
            <w:tcBorders>
              <w:top w:val="nil"/>
              <w:left w:val="nil"/>
              <w:bottom w:val="single" w:sz="4" w:space="0" w:color="auto"/>
              <w:right w:val="single" w:sz="4" w:space="0" w:color="auto"/>
            </w:tcBorders>
            <w:shd w:val="clear" w:color="auto" w:fill="C6EFCE"/>
            <w:noWrap/>
          </w:tcPr>
          <w:p w14:paraId="1A4CA8C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actului legislativ pentru sprijinirea punerii în aplicare a strategiei naționale adoptate pentru prevenirea instituționalizării</w:t>
            </w:r>
          </w:p>
        </w:tc>
        <w:tc>
          <w:tcPr>
            <w:tcW w:w="1123" w:type="dxa"/>
            <w:tcBorders>
              <w:top w:val="nil"/>
              <w:left w:val="nil"/>
              <w:bottom w:val="single" w:sz="4" w:space="0" w:color="auto"/>
              <w:right w:val="single" w:sz="4" w:space="0" w:color="auto"/>
            </w:tcBorders>
            <w:shd w:val="clear" w:color="auto" w:fill="C6EFCE"/>
            <w:noWrap/>
          </w:tcPr>
          <w:p w14:paraId="09F4AEE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45" w:type="dxa"/>
            <w:tcBorders>
              <w:top w:val="nil"/>
              <w:left w:val="nil"/>
              <w:bottom w:val="single" w:sz="4" w:space="0" w:color="auto"/>
              <w:right w:val="single" w:sz="4" w:space="0" w:color="auto"/>
            </w:tcBorders>
            <w:shd w:val="clear" w:color="auto" w:fill="C6EFCE"/>
            <w:noWrap/>
          </w:tcPr>
          <w:p w14:paraId="0AE73D2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39" w:type="dxa"/>
            <w:tcBorders>
              <w:top w:val="nil"/>
              <w:left w:val="nil"/>
              <w:bottom w:val="single" w:sz="4" w:space="0" w:color="auto"/>
              <w:right w:val="single" w:sz="4" w:space="0" w:color="auto"/>
            </w:tcBorders>
            <w:shd w:val="clear" w:color="auto" w:fill="C6EFCE"/>
            <w:noWrap/>
          </w:tcPr>
          <w:p w14:paraId="6422859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54" w:type="dxa"/>
            <w:tcBorders>
              <w:top w:val="nil"/>
              <w:left w:val="nil"/>
              <w:bottom w:val="single" w:sz="4" w:space="0" w:color="auto"/>
              <w:right w:val="single" w:sz="4" w:space="0" w:color="auto"/>
            </w:tcBorders>
            <w:shd w:val="clear" w:color="auto" w:fill="C6EFCE"/>
            <w:noWrap/>
          </w:tcPr>
          <w:p w14:paraId="1B6CE6E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3BE3D47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2693" w:type="dxa"/>
            <w:tcBorders>
              <w:top w:val="nil"/>
              <w:left w:val="nil"/>
              <w:bottom w:val="single" w:sz="4" w:space="0" w:color="auto"/>
              <w:right w:val="single" w:sz="4" w:space="0" w:color="auto"/>
            </w:tcBorders>
            <w:shd w:val="clear" w:color="auto" w:fill="C6EFCE"/>
            <w:noWrap/>
          </w:tcPr>
          <w:p w14:paraId="2E5B705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legii de sprijinire a punerii în aplicare a strategiei naționale adoptate pentru prevenirea instituționalizării, care prevede măsuri privind definirea unui „parcurs de trai independent” pentru majoritatea persoanelor cu dizabilități care sunt în prezent instituționalizate. Actul legislativ va cuprinde: </w:t>
            </w:r>
          </w:p>
          <w:p w14:paraId="04F1848A" w14:textId="77777777" w:rsidR="00151654" w:rsidRPr="000A27B3" w:rsidRDefault="00151654" w:rsidP="00151654">
            <w:pPr>
              <w:numPr>
                <w:ilvl w:val="0"/>
                <w:numId w:val="95"/>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o sursă stabilă identificată de finanțare a măsurilor planificate;</w:t>
            </w:r>
          </w:p>
          <w:p w14:paraId="407647D2" w14:textId="77777777" w:rsidR="00151654" w:rsidRPr="000A27B3" w:rsidRDefault="00151654" w:rsidP="00151654">
            <w:pPr>
              <w:numPr>
                <w:ilvl w:val="0"/>
                <w:numId w:val="95"/>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un mecanism de guvernanță cu responsabilități clare atribuite autorităților publice la nivel național și local;</w:t>
            </w:r>
          </w:p>
          <w:p w14:paraId="14AE2B25" w14:textId="77777777" w:rsidR="00151654" w:rsidRPr="000A27B3" w:rsidRDefault="00151654" w:rsidP="00151654">
            <w:pPr>
              <w:numPr>
                <w:ilvl w:val="0"/>
                <w:numId w:val="95"/>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un mecanism de plată a fondurilor condiționat de realizarea indicatorilor-cheie de performanță asociați obiectivelor de politică.</w:t>
            </w:r>
          </w:p>
        </w:tc>
      </w:tr>
      <w:tr w:rsidR="000A27B3" w:rsidRPr="000A27B3" w14:paraId="37F4F95F"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C192257"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382</w:t>
            </w:r>
          </w:p>
        </w:tc>
        <w:tc>
          <w:tcPr>
            <w:tcW w:w="1842" w:type="dxa"/>
            <w:tcBorders>
              <w:top w:val="nil"/>
              <w:left w:val="nil"/>
              <w:bottom w:val="single" w:sz="4" w:space="0" w:color="auto"/>
              <w:right w:val="single" w:sz="4" w:space="0" w:color="auto"/>
            </w:tcBorders>
            <w:shd w:val="clear" w:color="auto" w:fill="C6EFCE"/>
            <w:noWrap/>
          </w:tcPr>
          <w:p w14:paraId="3B472B2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2. Reforma sistemului de protecție a persoanelor adulte cu dizabilități</w:t>
            </w:r>
          </w:p>
        </w:tc>
        <w:tc>
          <w:tcPr>
            <w:tcW w:w="1216" w:type="dxa"/>
            <w:tcBorders>
              <w:top w:val="nil"/>
              <w:left w:val="nil"/>
              <w:bottom w:val="single" w:sz="4" w:space="0" w:color="auto"/>
              <w:right w:val="single" w:sz="4" w:space="0" w:color="auto"/>
            </w:tcBorders>
            <w:shd w:val="clear" w:color="auto" w:fill="C6EFCE"/>
            <w:noWrap/>
          </w:tcPr>
          <w:p w14:paraId="344FAFA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7012080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Persoanele cu dizabilități instituționalizate beneficiază de sprijin personalizat pentru dezinstituționalizare și implementarea deprinderilor de trai independent</w:t>
            </w:r>
          </w:p>
        </w:tc>
        <w:tc>
          <w:tcPr>
            <w:tcW w:w="1843" w:type="dxa"/>
            <w:tcBorders>
              <w:top w:val="nil"/>
              <w:left w:val="nil"/>
              <w:bottom w:val="single" w:sz="4" w:space="0" w:color="auto"/>
              <w:right w:val="single" w:sz="4" w:space="0" w:color="auto"/>
            </w:tcBorders>
            <w:shd w:val="clear" w:color="auto" w:fill="C6EFCE"/>
            <w:noWrap/>
          </w:tcPr>
          <w:p w14:paraId="7ECC0D59" w14:textId="77777777" w:rsidR="00151654" w:rsidRPr="000A27B3" w:rsidRDefault="00151654">
            <w:pPr>
              <w:spacing w:after="0" w:line="240" w:lineRule="auto"/>
              <w:jc w:val="both"/>
              <w:rPr>
                <w:rFonts w:ascii="Times New Roman" w:hAnsi="Times New Roman" w:cs="Times New Roman"/>
                <w:noProof/>
                <w:sz w:val="24"/>
                <w:szCs w:val="24"/>
                <w:lang w:val="en-GB"/>
              </w:rPr>
            </w:pPr>
          </w:p>
        </w:tc>
        <w:tc>
          <w:tcPr>
            <w:tcW w:w="1123" w:type="dxa"/>
            <w:tcBorders>
              <w:top w:val="nil"/>
              <w:left w:val="nil"/>
              <w:bottom w:val="single" w:sz="4" w:space="0" w:color="auto"/>
              <w:right w:val="single" w:sz="4" w:space="0" w:color="auto"/>
            </w:tcBorders>
            <w:shd w:val="clear" w:color="auto" w:fill="C6EFCE"/>
            <w:noWrap/>
          </w:tcPr>
          <w:p w14:paraId="752910B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4373CA7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tcPr>
          <w:p w14:paraId="4C2A62A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8 455</w:t>
            </w:r>
          </w:p>
        </w:tc>
        <w:tc>
          <w:tcPr>
            <w:tcW w:w="954" w:type="dxa"/>
            <w:tcBorders>
              <w:top w:val="nil"/>
              <w:left w:val="nil"/>
              <w:bottom w:val="single" w:sz="4" w:space="0" w:color="auto"/>
              <w:right w:val="single" w:sz="4" w:space="0" w:color="auto"/>
            </w:tcBorders>
            <w:shd w:val="clear" w:color="auto" w:fill="C6EFCE"/>
            <w:noWrap/>
          </w:tcPr>
          <w:p w14:paraId="1116DE4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25" w:type="dxa"/>
            <w:tcBorders>
              <w:top w:val="nil"/>
              <w:left w:val="nil"/>
              <w:bottom w:val="single" w:sz="4" w:space="0" w:color="auto"/>
              <w:right w:val="single" w:sz="4" w:space="0" w:color="auto"/>
            </w:tcBorders>
            <w:shd w:val="clear" w:color="auto" w:fill="C6EFCE"/>
            <w:noWrap/>
          </w:tcPr>
          <w:p w14:paraId="355A4C8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693" w:type="dxa"/>
            <w:tcBorders>
              <w:top w:val="nil"/>
              <w:left w:val="nil"/>
              <w:bottom w:val="single" w:sz="4" w:space="0" w:color="auto"/>
              <w:right w:val="single" w:sz="4" w:space="0" w:color="auto"/>
            </w:tcBorders>
            <w:shd w:val="clear" w:color="auto" w:fill="C6EFCE"/>
            <w:noWrap/>
          </w:tcPr>
          <w:p w14:paraId="643748E9" w14:textId="7C1095A0"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 puțin 8 455 (50 % din numărul din decembrie 2020) de persoane cu dizabilități instituționalizate să beneficieze de sprijin în vederea dezinstituționalizării și a punerii în aplicare a „parcursului de trai independent”</w:t>
            </w:r>
          </w:p>
        </w:tc>
      </w:tr>
      <w:tr w:rsidR="000A27B3" w:rsidRPr="000A27B3" w14:paraId="610A6B4C"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4C0F8C79"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383</w:t>
            </w:r>
          </w:p>
        </w:tc>
        <w:tc>
          <w:tcPr>
            <w:tcW w:w="1842" w:type="dxa"/>
            <w:tcBorders>
              <w:top w:val="nil"/>
              <w:left w:val="nil"/>
              <w:bottom w:val="single" w:sz="4" w:space="0" w:color="auto"/>
              <w:right w:val="single" w:sz="4" w:space="0" w:color="auto"/>
            </w:tcBorders>
            <w:shd w:val="clear" w:color="auto" w:fill="C6EFCE"/>
            <w:noWrap/>
          </w:tcPr>
          <w:p w14:paraId="0B8CEB6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Reforma sistemului de protecție a persoanelor adulte cu dizabilități </w:t>
            </w:r>
          </w:p>
        </w:tc>
        <w:tc>
          <w:tcPr>
            <w:tcW w:w="1216" w:type="dxa"/>
            <w:tcBorders>
              <w:top w:val="nil"/>
              <w:left w:val="nil"/>
              <w:bottom w:val="single" w:sz="4" w:space="0" w:color="auto"/>
              <w:right w:val="single" w:sz="4" w:space="0" w:color="auto"/>
            </w:tcBorders>
            <w:shd w:val="clear" w:color="auto" w:fill="C6EFCE"/>
            <w:noWrap/>
          </w:tcPr>
          <w:p w14:paraId="38309CE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3BFFF76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Reducerea numărului total de persoane cu dizabilități instituționalizate (comparativ cu numărul înregistrat la data de 31.12.2020) </w:t>
            </w:r>
          </w:p>
        </w:tc>
        <w:tc>
          <w:tcPr>
            <w:tcW w:w="1843" w:type="dxa"/>
            <w:tcBorders>
              <w:top w:val="nil"/>
              <w:left w:val="nil"/>
              <w:bottom w:val="single" w:sz="4" w:space="0" w:color="auto"/>
              <w:right w:val="single" w:sz="4" w:space="0" w:color="auto"/>
            </w:tcBorders>
            <w:shd w:val="clear" w:color="auto" w:fill="C6EFCE"/>
            <w:noWrap/>
          </w:tcPr>
          <w:p w14:paraId="65C2E7B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013FFAE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0E8A065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16 911</w:t>
            </w:r>
          </w:p>
        </w:tc>
        <w:tc>
          <w:tcPr>
            <w:tcW w:w="1139" w:type="dxa"/>
            <w:tcBorders>
              <w:top w:val="nil"/>
              <w:left w:val="nil"/>
              <w:bottom w:val="single" w:sz="4" w:space="0" w:color="auto"/>
              <w:right w:val="single" w:sz="4" w:space="0" w:color="auto"/>
            </w:tcBorders>
            <w:shd w:val="clear" w:color="auto" w:fill="C6EFCE"/>
            <w:noWrap/>
          </w:tcPr>
          <w:p w14:paraId="602283A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11 500</w:t>
            </w:r>
          </w:p>
        </w:tc>
        <w:tc>
          <w:tcPr>
            <w:tcW w:w="954" w:type="dxa"/>
            <w:tcBorders>
              <w:top w:val="nil"/>
              <w:left w:val="nil"/>
              <w:bottom w:val="single" w:sz="4" w:space="0" w:color="auto"/>
              <w:right w:val="single" w:sz="4" w:space="0" w:color="auto"/>
            </w:tcBorders>
            <w:shd w:val="clear" w:color="auto" w:fill="C6EFCE"/>
            <w:noWrap/>
          </w:tcPr>
          <w:p w14:paraId="2720DA7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25" w:type="dxa"/>
            <w:tcBorders>
              <w:top w:val="nil"/>
              <w:left w:val="nil"/>
              <w:bottom w:val="single" w:sz="4" w:space="0" w:color="auto"/>
              <w:right w:val="single" w:sz="4" w:space="0" w:color="auto"/>
            </w:tcBorders>
            <w:shd w:val="clear" w:color="auto" w:fill="C6EFCE"/>
            <w:noWrap/>
          </w:tcPr>
          <w:p w14:paraId="326B06D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693" w:type="dxa"/>
            <w:tcBorders>
              <w:top w:val="nil"/>
              <w:left w:val="nil"/>
              <w:bottom w:val="single" w:sz="4" w:space="0" w:color="auto"/>
              <w:right w:val="single" w:sz="4" w:space="0" w:color="auto"/>
            </w:tcBorders>
            <w:shd w:val="clear" w:color="auto" w:fill="C6EFCE"/>
            <w:noWrap/>
          </w:tcPr>
          <w:p w14:paraId="4EF3262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Reducerea numărului de persoane cu dizabilități instituționalizate, după primirea sprijinului relevant, în conformitate cu principiile managementului de caz, pentru a spori „parcursul de trai independent” pentru 11 500 din numărul total de 16 911.</w:t>
            </w:r>
          </w:p>
        </w:tc>
      </w:tr>
      <w:tr w:rsidR="000A27B3" w:rsidRPr="000A27B3" w14:paraId="230E4AF6"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7C31BFF"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384</w:t>
            </w:r>
          </w:p>
        </w:tc>
        <w:tc>
          <w:tcPr>
            <w:tcW w:w="1842" w:type="dxa"/>
            <w:tcBorders>
              <w:top w:val="nil"/>
              <w:left w:val="nil"/>
              <w:bottom w:val="single" w:sz="4" w:space="0" w:color="auto"/>
              <w:right w:val="single" w:sz="4" w:space="0" w:color="auto"/>
            </w:tcBorders>
            <w:shd w:val="clear" w:color="auto" w:fill="C6EFCE"/>
            <w:noWrap/>
          </w:tcPr>
          <w:p w14:paraId="4315FA3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3. Implementarea venitului minim de incluziune (VMI)</w:t>
            </w:r>
          </w:p>
        </w:tc>
        <w:tc>
          <w:tcPr>
            <w:tcW w:w="1216" w:type="dxa"/>
            <w:tcBorders>
              <w:top w:val="nil"/>
              <w:left w:val="nil"/>
              <w:bottom w:val="single" w:sz="4" w:space="0" w:color="auto"/>
              <w:right w:val="single" w:sz="4" w:space="0" w:color="auto"/>
            </w:tcBorders>
            <w:shd w:val="clear" w:color="auto" w:fill="C6EFCE"/>
            <w:noWrap/>
          </w:tcPr>
          <w:p w14:paraId="3D2D4ED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tcPr>
          <w:p w14:paraId="0E35C0A2" w14:textId="4326B36A"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legislației de aprobare a normelor de punere în aplicare a VMI </w:t>
            </w:r>
          </w:p>
        </w:tc>
        <w:tc>
          <w:tcPr>
            <w:tcW w:w="1843" w:type="dxa"/>
            <w:tcBorders>
              <w:top w:val="nil"/>
              <w:left w:val="nil"/>
              <w:bottom w:val="single" w:sz="4" w:space="0" w:color="auto"/>
              <w:right w:val="single" w:sz="4" w:space="0" w:color="auto"/>
            </w:tcBorders>
            <w:shd w:val="clear" w:color="auto" w:fill="C6EFCE"/>
            <w:noWrap/>
          </w:tcPr>
          <w:p w14:paraId="3F2BC15F" w14:textId="3EBDC4C5"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legislativă care indică normele de punere în aplicare a VMI</w:t>
            </w:r>
          </w:p>
        </w:tc>
        <w:tc>
          <w:tcPr>
            <w:tcW w:w="1123" w:type="dxa"/>
            <w:tcBorders>
              <w:top w:val="nil"/>
              <w:left w:val="nil"/>
              <w:bottom w:val="single" w:sz="4" w:space="0" w:color="auto"/>
              <w:right w:val="single" w:sz="4" w:space="0" w:color="auto"/>
            </w:tcBorders>
            <w:shd w:val="clear" w:color="auto" w:fill="C6EFCE"/>
            <w:noWrap/>
          </w:tcPr>
          <w:p w14:paraId="0CA62E0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45" w:type="dxa"/>
            <w:tcBorders>
              <w:top w:val="nil"/>
              <w:left w:val="nil"/>
              <w:bottom w:val="single" w:sz="4" w:space="0" w:color="auto"/>
              <w:right w:val="single" w:sz="4" w:space="0" w:color="auto"/>
            </w:tcBorders>
            <w:shd w:val="clear" w:color="auto" w:fill="C6EFCE"/>
            <w:noWrap/>
          </w:tcPr>
          <w:p w14:paraId="5E40BE8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39" w:type="dxa"/>
            <w:tcBorders>
              <w:top w:val="nil"/>
              <w:left w:val="nil"/>
              <w:bottom w:val="single" w:sz="4" w:space="0" w:color="auto"/>
              <w:right w:val="single" w:sz="4" w:space="0" w:color="auto"/>
            </w:tcBorders>
            <w:shd w:val="clear" w:color="auto" w:fill="C6EFCE"/>
            <w:noWrap/>
          </w:tcPr>
          <w:p w14:paraId="74DAF24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54" w:type="dxa"/>
            <w:tcBorders>
              <w:top w:val="nil"/>
              <w:left w:val="nil"/>
              <w:bottom w:val="single" w:sz="4" w:space="0" w:color="auto"/>
              <w:right w:val="single" w:sz="4" w:space="0" w:color="auto"/>
            </w:tcBorders>
            <w:shd w:val="clear" w:color="auto" w:fill="C6EFCE"/>
            <w:noWrap/>
          </w:tcPr>
          <w:p w14:paraId="0E8E4DF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25" w:type="dxa"/>
            <w:tcBorders>
              <w:top w:val="nil"/>
              <w:left w:val="nil"/>
              <w:bottom w:val="single" w:sz="4" w:space="0" w:color="auto"/>
              <w:right w:val="single" w:sz="4" w:space="0" w:color="auto"/>
            </w:tcBorders>
            <w:shd w:val="clear" w:color="auto" w:fill="C6EFCE"/>
            <w:noWrap/>
          </w:tcPr>
          <w:p w14:paraId="0451B60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2693" w:type="dxa"/>
            <w:tcBorders>
              <w:top w:val="nil"/>
              <w:left w:val="nil"/>
              <w:bottom w:val="single" w:sz="4" w:space="0" w:color="auto"/>
              <w:right w:val="single" w:sz="4" w:space="0" w:color="auto"/>
            </w:tcBorders>
            <w:shd w:val="clear" w:color="auto" w:fill="C6EFCE"/>
            <w:noWrap/>
          </w:tcPr>
          <w:p w14:paraId="4DC1E8D6" w14:textId="5DAC7EAD"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Legislația va stabili normele metodologice de aplicare a legii privind VMI, menținând, în același timp, cel puțin același nivel de adecvare pentru prestațiile și condițiile de eligibilitate prevăzute în legislația aplicabilă în prezent (Legea 196/2016), cu scopul de a reduce sărăcia, de a stimula ocuparea forței de muncă prin măsuri de activare și de a crește nivelul de educație. </w:t>
            </w:r>
          </w:p>
        </w:tc>
      </w:tr>
      <w:tr w:rsidR="000A27B3" w:rsidRPr="000A27B3" w14:paraId="25677CA0"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765E8473"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385</w:t>
            </w:r>
          </w:p>
        </w:tc>
        <w:tc>
          <w:tcPr>
            <w:tcW w:w="1842" w:type="dxa"/>
            <w:tcBorders>
              <w:top w:val="nil"/>
              <w:left w:val="nil"/>
              <w:bottom w:val="single" w:sz="4" w:space="0" w:color="auto"/>
              <w:right w:val="single" w:sz="4" w:space="0" w:color="auto"/>
            </w:tcBorders>
            <w:shd w:val="clear" w:color="auto" w:fill="C6EFCE"/>
            <w:noWrap/>
          </w:tcPr>
          <w:p w14:paraId="230C1BC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3. Implementarea venitului minim de incluziune (VMI)</w:t>
            </w:r>
          </w:p>
        </w:tc>
        <w:tc>
          <w:tcPr>
            <w:tcW w:w="1216" w:type="dxa"/>
            <w:tcBorders>
              <w:top w:val="nil"/>
              <w:left w:val="nil"/>
              <w:bottom w:val="single" w:sz="4" w:space="0" w:color="auto"/>
              <w:right w:val="single" w:sz="4" w:space="0" w:color="auto"/>
            </w:tcBorders>
            <w:shd w:val="clear" w:color="auto" w:fill="C6EFCE"/>
            <w:noWrap/>
          </w:tcPr>
          <w:p w14:paraId="229164D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3ED6B95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Numărul de familii suplimentare eligibile pentru a beneficia de schema îmbunătățită </w:t>
            </w:r>
          </w:p>
        </w:tc>
        <w:tc>
          <w:tcPr>
            <w:tcW w:w="1843" w:type="dxa"/>
            <w:tcBorders>
              <w:top w:val="nil"/>
              <w:left w:val="nil"/>
              <w:bottom w:val="single" w:sz="4" w:space="0" w:color="auto"/>
              <w:right w:val="single" w:sz="4" w:space="0" w:color="auto"/>
            </w:tcBorders>
            <w:shd w:val="clear" w:color="auto" w:fill="C6EFCE"/>
            <w:noWrap/>
          </w:tcPr>
          <w:p w14:paraId="4E9116A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2F1EA23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 </w:t>
            </w:r>
          </w:p>
        </w:tc>
        <w:tc>
          <w:tcPr>
            <w:tcW w:w="1145" w:type="dxa"/>
            <w:tcBorders>
              <w:top w:val="nil"/>
              <w:left w:val="nil"/>
              <w:bottom w:val="single" w:sz="4" w:space="0" w:color="auto"/>
              <w:right w:val="single" w:sz="4" w:space="0" w:color="auto"/>
            </w:tcBorders>
            <w:shd w:val="clear" w:color="auto" w:fill="C6EFCE"/>
            <w:noWrap/>
          </w:tcPr>
          <w:p w14:paraId="4540FB01" w14:textId="1A3CFCA6"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189 000</w:t>
            </w:r>
          </w:p>
        </w:tc>
        <w:tc>
          <w:tcPr>
            <w:tcW w:w="1139" w:type="dxa"/>
            <w:tcBorders>
              <w:top w:val="nil"/>
              <w:left w:val="nil"/>
              <w:bottom w:val="single" w:sz="4" w:space="0" w:color="auto"/>
              <w:right w:val="single" w:sz="4" w:space="0" w:color="auto"/>
            </w:tcBorders>
            <w:shd w:val="clear" w:color="auto" w:fill="C6EFCE"/>
            <w:noWrap/>
          </w:tcPr>
          <w:p w14:paraId="68EA40F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245 700</w:t>
            </w:r>
          </w:p>
        </w:tc>
        <w:tc>
          <w:tcPr>
            <w:tcW w:w="954" w:type="dxa"/>
            <w:tcBorders>
              <w:top w:val="nil"/>
              <w:left w:val="nil"/>
              <w:bottom w:val="single" w:sz="4" w:space="0" w:color="auto"/>
              <w:right w:val="single" w:sz="4" w:space="0" w:color="auto"/>
            </w:tcBorders>
            <w:shd w:val="clear" w:color="auto" w:fill="C6EFCE"/>
            <w:noWrap/>
          </w:tcPr>
          <w:p w14:paraId="7DCAF0E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25" w:type="dxa"/>
            <w:tcBorders>
              <w:top w:val="nil"/>
              <w:left w:val="nil"/>
              <w:bottom w:val="single" w:sz="4" w:space="0" w:color="auto"/>
              <w:right w:val="single" w:sz="4" w:space="0" w:color="auto"/>
            </w:tcBorders>
            <w:shd w:val="clear" w:color="auto" w:fill="C6EFCE"/>
            <w:noWrap/>
          </w:tcPr>
          <w:p w14:paraId="6D8908C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693" w:type="dxa"/>
            <w:tcBorders>
              <w:top w:val="nil"/>
              <w:left w:val="nil"/>
              <w:bottom w:val="single" w:sz="4" w:space="0" w:color="auto"/>
              <w:right w:val="single" w:sz="4" w:space="0" w:color="auto"/>
            </w:tcBorders>
            <w:shd w:val="clear" w:color="auto" w:fill="C6EFCE"/>
            <w:noWrap/>
          </w:tcPr>
          <w:p w14:paraId="3D2307D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Familii suplimentare eligibile pentru a beneficia de schema îmbunătățită (calculate pe baza estimării numărului de familii beneficiare în temeiul legii actualizate), pe lângă beneficiarii eligibili actuali ai venitului minim garantat, și anume 189 000 de familii la 31 decembrie 2020.</w:t>
            </w:r>
          </w:p>
          <w:p w14:paraId="03EFE66C" w14:textId="6F3F2CBF"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Plata venitului minim/a venitului de sprijin familial va fi finanțată de la bugetul de stat.</w:t>
            </w:r>
            <w:r w:rsidR="004C4C72">
              <w:rPr>
                <w:rFonts w:ascii="Times New Roman" w:hAnsi="Times New Roman"/>
                <w:noProof/>
                <w:sz w:val="24"/>
              </w:rPr>
              <w:t xml:space="preserve"> </w:t>
            </w:r>
          </w:p>
        </w:tc>
      </w:tr>
      <w:tr w:rsidR="000A27B3" w:rsidRPr="000A27B3" w14:paraId="14D422A0"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E24D33B"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386</w:t>
            </w:r>
          </w:p>
        </w:tc>
        <w:tc>
          <w:tcPr>
            <w:tcW w:w="1842" w:type="dxa"/>
            <w:tcBorders>
              <w:top w:val="nil"/>
              <w:left w:val="nil"/>
              <w:bottom w:val="single" w:sz="4" w:space="0" w:color="auto"/>
              <w:right w:val="single" w:sz="4" w:space="0" w:color="auto"/>
            </w:tcBorders>
            <w:shd w:val="clear" w:color="auto" w:fill="C6EFCE"/>
            <w:noWrap/>
          </w:tcPr>
          <w:p w14:paraId="35C82E6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3. Implementarea venitului minim de incluziune (VMI)</w:t>
            </w:r>
          </w:p>
        </w:tc>
        <w:tc>
          <w:tcPr>
            <w:tcW w:w="1216" w:type="dxa"/>
            <w:tcBorders>
              <w:top w:val="nil"/>
              <w:left w:val="nil"/>
              <w:bottom w:val="single" w:sz="4" w:space="0" w:color="auto"/>
              <w:right w:val="single" w:sz="4" w:space="0" w:color="auto"/>
            </w:tcBorders>
            <w:shd w:val="clear" w:color="auto" w:fill="C6EFCE"/>
            <w:noWrap/>
          </w:tcPr>
          <w:p w14:paraId="5BA86F6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67C650F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Beneficiarul venitului minim de incluziune face obiectul a cel puțin unei măsuri de activare </w:t>
            </w:r>
          </w:p>
        </w:tc>
        <w:tc>
          <w:tcPr>
            <w:tcW w:w="1843" w:type="dxa"/>
            <w:tcBorders>
              <w:top w:val="nil"/>
              <w:left w:val="nil"/>
              <w:bottom w:val="single" w:sz="4" w:space="0" w:color="auto"/>
              <w:right w:val="single" w:sz="4" w:space="0" w:color="auto"/>
            </w:tcBorders>
            <w:shd w:val="clear" w:color="auto" w:fill="C6EFCE"/>
            <w:noWrap/>
          </w:tcPr>
          <w:p w14:paraId="3E1C839F" w14:textId="77777777" w:rsidR="00151654" w:rsidRPr="009F1DC7" w:rsidRDefault="00151654">
            <w:pPr>
              <w:spacing w:after="0" w:line="240" w:lineRule="auto"/>
              <w:jc w:val="both"/>
              <w:rPr>
                <w:rFonts w:ascii="Times New Roman" w:hAnsi="Times New Roman" w:cs="Times New Roman"/>
                <w:noProof/>
                <w:sz w:val="24"/>
                <w:szCs w:val="24"/>
                <w:lang w:val="fr-FR"/>
              </w:rPr>
            </w:pPr>
          </w:p>
        </w:tc>
        <w:tc>
          <w:tcPr>
            <w:tcW w:w="1123" w:type="dxa"/>
            <w:tcBorders>
              <w:top w:val="nil"/>
              <w:left w:val="nil"/>
              <w:bottom w:val="single" w:sz="4" w:space="0" w:color="auto"/>
              <w:right w:val="single" w:sz="4" w:space="0" w:color="auto"/>
            </w:tcBorders>
            <w:shd w:val="clear" w:color="auto" w:fill="C6EFCE"/>
            <w:noWrap/>
          </w:tcPr>
          <w:p w14:paraId="66F24293"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(procent)</w:t>
            </w:r>
          </w:p>
          <w:p w14:paraId="76F0FD1B" w14:textId="77777777" w:rsidR="00151654" w:rsidRPr="000A27B3" w:rsidRDefault="00151654">
            <w:pPr>
              <w:spacing w:after="0" w:line="240" w:lineRule="auto"/>
              <w:jc w:val="both"/>
              <w:rPr>
                <w:rFonts w:ascii="Times New Roman" w:hAnsi="Times New Roman" w:cs="Times New Roman"/>
                <w:noProof/>
                <w:sz w:val="24"/>
                <w:szCs w:val="24"/>
                <w:lang w:val="en-GB"/>
              </w:rPr>
            </w:pPr>
          </w:p>
        </w:tc>
        <w:tc>
          <w:tcPr>
            <w:tcW w:w="1145" w:type="dxa"/>
            <w:tcBorders>
              <w:top w:val="nil"/>
              <w:left w:val="nil"/>
              <w:bottom w:val="single" w:sz="4" w:space="0" w:color="auto"/>
              <w:right w:val="single" w:sz="4" w:space="0" w:color="auto"/>
            </w:tcBorders>
            <w:shd w:val="clear" w:color="auto" w:fill="C6EFCE"/>
            <w:noWrap/>
          </w:tcPr>
          <w:p w14:paraId="162AF0B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tcPr>
          <w:p w14:paraId="08626D4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60 %</w:t>
            </w:r>
          </w:p>
        </w:tc>
        <w:tc>
          <w:tcPr>
            <w:tcW w:w="954" w:type="dxa"/>
            <w:tcBorders>
              <w:top w:val="nil"/>
              <w:left w:val="nil"/>
              <w:bottom w:val="single" w:sz="4" w:space="0" w:color="auto"/>
              <w:right w:val="single" w:sz="4" w:space="0" w:color="auto"/>
            </w:tcBorders>
            <w:shd w:val="clear" w:color="auto" w:fill="C6EFCE"/>
            <w:noWrap/>
          </w:tcPr>
          <w:p w14:paraId="43074F3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25" w:type="dxa"/>
            <w:tcBorders>
              <w:top w:val="nil"/>
              <w:left w:val="nil"/>
              <w:bottom w:val="single" w:sz="4" w:space="0" w:color="auto"/>
              <w:right w:val="single" w:sz="4" w:space="0" w:color="auto"/>
            </w:tcBorders>
            <w:shd w:val="clear" w:color="auto" w:fill="C6EFCE"/>
            <w:noWrap/>
          </w:tcPr>
          <w:p w14:paraId="0A7654E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2693" w:type="dxa"/>
            <w:tcBorders>
              <w:top w:val="nil"/>
              <w:left w:val="nil"/>
              <w:bottom w:val="single" w:sz="4" w:space="0" w:color="auto"/>
              <w:right w:val="single" w:sz="4" w:space="0" w:color="auto"/>
            </w:tcBorders>
            <w:shd w:val="clear" w:color="auto" w:fill="C6EFCE"/>
            <w:noWrap/>
          </w:tcPr>
          <w:p w14:paraId="78A3378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 puțin 60 % dintre beneficiarii venitului minim de incluziune din ultimele 12 luni vor face obiectul a cel puțin o măsură de activare.</w:t>
            </w:r>
          </w:p>
          <w:p w14:paraId="2895C5D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Măsura de activare va consta în: propuneri de locuri de muncă, activități de formare în funcție de nevoile identificate pe baza principiilor managementului de caz (conform proiectului INTESPO finanțat de FSE);</w:t>
            </w:r>
          </w:p>
        </w:tc>
      </w:tr>
      <w:tr w:rsidR="000A27B3" w:rsidRPr="000A27B3" w14:paraId="0E5C3719"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29411337"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387</w:t>
            </w:r>
          </w:p>
        </w:tc>
        <w:tc>
          <w:tcPr>
            <w:tcW w:w="1842" w:type="dxa"/>
            <w:tcBorders>
              <w:top w:val="nil"/>
              <w:left w:val="nil"/>
              <w:bottom w:val="single" w:sz="4" w:space="0" w:color="auto"/>
              <w:right w:val="single" w:sz="4" w:space="0" w:color="auto"/>
            </w:tcBorders>
            <w:shd w:val="clear" w:color="auto" w:fill="C6EFCE"/>
            <w:noWrap/>
          </w:tcPr>
          <w:p w14:paraId="408AFC9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4. Introducerea tichetelor de muncă și formalizarea muncii în domeniul lucrătorilor casnici</w:t>
            </w:r>
          </w:p>
        </w:tc>
        <w:tc>
          <w:tcPr>
            <w:tcW w:w="1216" w:type="dxa"/>
            <w:tcBorders>
              <w:top w:val="nil"/>
              <w:left w:val="nil"/>
              <w:bottom w:val="single" w:sz="4" w:space="0" w:color="auto"/>
              <w:right w:val="single" w:sz="4" w:space="0" w:color="auto"/>
            </w:tcBorders>
            <w:shd w:val="clear" w:color="auto" w:fill="C6EFCE"/>
            <w:noWrap/>
          </w:tcPr>
          <w:p w14:paraId="2F0853D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tcPr>
          <w:p w14:paraId="6D85410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legislației și a normelor de aplicare privind sistemul de tichete pentru lucrătorii casnici </w:t>
            </w:r>
          </w:p>
        </w:tc>
        <w:tc>
          <w:tcPr>
            <w:tcW w:w="1843" w:type="dxa"/>
            <w:tcBorders>
              <w:top w:val="nil"/>
              <w:left w:val="nil"/>
              <w:bottom w:val="single" w:sz="4" w:space="0" w:color="auto"/>
              <w:right w:val="single" w:sz="4" w:space="0" w:color="auto"/>
            </w:tcBorders>
            <w:shd w:val="clear" w:color="auto" w:fill="C6EFCE"/>
            <w:noWrap/>
          </w:tcPr>
          <w:p w14:paraId="2C1CDF9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de aplicare a sistemului de tichete de muncă</w:t>
            </w:r>
          </w:p>
        </w:tc>
        <w:tc>
          <w:tcPr>
            <w:tcW w:w="1123" w:type="dxa"/>
            <w:tcBorders>
              <w:top w:val="nil"/>
              <w:left w:val="nil"/>
              <w:bottom w:val="single" w:sz="4" w:space="0" w:color="auto"/>
              <w:right w:val="single" w:sz="4" w:space="0" w:color="auto"/>
            </w:tcBorders>
            <w:shd w:val="clear" w:color="auto" w:fill="C6EFCE"/>
            <w:noWrap/>
          </w:tcPr>
          <w:p w14:paraId="6ABB993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45" w:type="dxa"/>
            <w:tcBorders>
              <w:top w:val="nil"/>
              <w:left w:val="nil"/>
              <w:bottom w:val="single" w:sz="4" w:space="0" w:color="auto"/>
              <w:right w:val="single" w:sz="4" w:space="0" w:color="auto"/>
            </w:tcBorders>
            <w:shd w:val="clear" w:color="auto" w:fill="C6EFCE"/>
            <w:noWrap/>
          </w:tcPr>
          <w:p w14:paraId="39F1FDF8" w14:textId="77777777" w:rsidR="00151654" w:rsidRPr="009F1DC7" w:rsidRDefault="00151654">
            <w:pPr>
              <w:spacing w:after="0" w:line="240" w:lineRule="auto"/>
              <w:jc w:val="both"/>
              <w:rPr>
                <w:rFonts w:ascii="Times New Roman" w:hAnsi="Times New Roman" w:cs="Times New Roman"/>
                <w:noProof/>
                <w:sz w:val="24"/>
                <w:szCs w:val="24"/>
                <w:lang w:val="fr-FR"/>
              </w:rPr>
            </w:pPr>
          </w:p>
        </w:tc>
        <w:tc>
          <w:tcPr>
            <w:tcW w:w="1139" w:type="dxa"/>
            <w:tcBorders>
              <w:top w:val="nil"/>
              <w:left w:val="nil"/>
              <w:bottom w:val="single" w:sz="4" w:space="0" w:color="auto"/>
              <w:right w:val="single" w:sz="4" w:space="0" w:color="auto"/>
            </w:tcBorders>
            <w:shd w:val="clear" w:color="auto" w:fill="C6EFCE"/>
            <w:noWrap/>
          </w:tcPr>
          <w:p w14:paraId="13A8D9E7" w14:textId="77777777" w:rsidR="00151654" w:rsidRPr="009F1DC7" w:rsidRDefault="00151654">
            <w:pPr>
              <w:spacing w:after="0" w:line="240" w:lineRule="auto"/>
              <w:jc w:val="both"/>
              <w:rPr>
                <w:rFonts w:ascii="Times New Roman" w:hAnsi="Times New Roman" w:cs="Times New Roman"/>
                <w:noProof/>
                <w:sz w:val="24"/>
                <w:szCs w:val="24"/>
                <w:lang w:val="fr-FR"/>
              </w:rPr>
            </w:pPr>
          </w:p>
        </w:tc>
        <w:tc>
          <w:tcPr>
            <w:tcW w:w="954" w:type="dxa"/>
            <w:tcBorders>
              <w:top w:val="nil"/>
              <w:left w:val="nil"/>
              <w:bottom w:val="single" w:sz="4" w:space="0" w:color="auto"/>
              <w:right w:val="single" w:sz="4" w:space="0" w:color="auto"/>
            </w:tcBorders>
            <w:shd w:val="clear" w:color="auto" w:fill="C6EFCE"/>
            <w:noWrap/>
          </w:tcPr>
          <w:p w14:paraId="4FBC3F5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25" w:type="dxa"/>
            <w:tcBorders>
              <w:top w:val="nil"/>
              <w:left w:val="nil"/>
              <w:bottom w:val="single" w:sz="4" w:space="0" w:color="auto"/>
              <w:right w:val="single" w:sz="4" w:space="0" w:color="auto"/>
            </w:tcBorders>
            <w:shd w:val="clear" w:color="auto" w:fill="C6EFCE"/>
            <w:noWrap/>
          </w:tcPr>
          <w:p w14:paraId="03D6F74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2693" w:type="dxa"/>
            <w:tcBorders>
              <w:top w:val="nil"/>
              <w:left w:val="nil"/>
              <w:bottom w:val="single" w:sz="4" w:space="0" w:color="auto"/>
              <w:right w:val="single" w:sz="4" w:space="0" w:color="auto"/>
            </w:tcBorders>
            <w:shd w:val="clear" w:color="auto" w:fill="C6EFCE"/>
            <w:noWrap/>
          </w:tcPr>
          <w:p w14:paraId="68DA00C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legii privind instituirea sistemului de tichete de muncă pentru a stimula angajarea formală a lucrătorilor casnici care sunt în prezent înregistrați ca șomeri sau inactivi.</w:t>
            </w:r>
          </w:p>
        </w:tc>
      </w:tr>
      <w:tr w:rsidR="000A27B3" w:rsidRPr="000A27B3" w14:paraId="662F6593"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02BA7009"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388</w:t>
            </w:r>
          </w:p>
        </w:tc>
        <w:tc>
          <w:tcPr>
            <w:tcW w:w="1842" w:type="dxa"/>
            <w:tcBorders>
              <w:top w:val="nil"/>
              <w:left w:val="nil"/>
              <w:bottom w:val="single" w:sz="4" w:space="0" w:color="auto"/>
              <w:right w:val="single" w:sz="4" w:space="0" w:color="auto"/>
            </w:tcBorders>
            <w:shd w:val="clear" w:color="auto" w:fill="C6EFCE"/>
            <w:noWrap/>
          </w:tcPr>
          <w:p w14:paraId="4568B45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4. Introducerea tichetelor de muncă și formalizarea muncii în domeniul lucrătorilor casnici</w:t>
            </w:r>
          </w:p>
        </w:tc>
        <w:tc>
          <w:tcPr>
            <w:tcW w:w="1216" w:type="dxa"/>
            <w:tcBorders>
              <w:top w:val="nil"/>
              <w:left w:val="nil"/>
              <w:bottom w:val="single" w:sz="4" w:space="0" w:color="auto"/>
              <w:right w:val="single" w:sz="4" w:space="0" w:color="auto"/>
            </w:tcBorders>
            <w:shd w:val="clear" w:color="auto" w:fill="C6EFCE"/>
            <w:noWrap/>
          </w:tcPr>
          <w:p w14:paraId="5CDBCB8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771C851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Beneficiari (care angajează lucrători casnici) </w:t>
            </w:r>
          </w:p>
        </w:tc>
        <w:tc>
          <w:tcPr>
            <w:tcW w:w="1843" w:type="dxa"/>
            <w:tcBorders>
              <w:top w:val="nil"/>
              <w:left w:val="nil"/>
              <w:bottom w:val="single" w:sz="4" w:space="0" w:color="auto"/>
              <w:right w:val="single" w:sz="4" w:space="0" w:color="auto"/>
            </w:tcBorders>
            <w:shd w:val="clear" w:color="auto" w:fill="C6EFCE"/>
            <w:noWrap/>
          </w:tcPr>
          <w:p w14:paraId="1C2A84E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263A02D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1A8ABE6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tcPr>
          <w:p w14:paraId="57B845C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10 000</w:t>
            </w:r>
          </w:p>
        </w:tc>
        <w:tc>
          <w:tcPr>
            <w:tcW w:w="954" w:type="dxa"/>
            <w:tcBorders>
              <w:top w:val="nil"/>
              <w:left w:val="nil"/>
              <w:bottom w:val="single" w:sz="4" w:space="0" w:color="auto"/>
              <w:right w:val="single" w:sz="4" w:space="0" w:color="auto"/>
            </w:tcBorders>
            <w:shd w:val="clear" w:color="auto" w:fill="C6EFCE"/>
            <w:noWrap/>
          </w:tcPr>
          <w:p w14:paraId="53597F2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2B705DF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693" w:type="dxa"/>
            <w:tcBorders>
              <w:top w:val="nil"/>
              <w:left w:val="nil"/>
              <w:bottom w:val="single" w:sz="4" w:space="0" w:color="auto"/>
              <w:right w:val="single" w:sz="4" w:space="0" w:color="auto"/>
            </w:tcBorders>
            <w:shd w:val="clear" w:color="auto" w:fill="C6EFCE"/>
            <w:noWrap/>
          </w:tcPr>
          <w:p w14:paraId="10D212F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 puțin 10 000 de beneficiari vor angaja lucrători casnici prin intermediul sistemului de tichete.</w:t>
            </w:r>
            <w:r>
              <w:rPr>
                <w:noProof/>
              </w:rPr>
              <w:t xml:space="preserve"> </w:t>
            </w:r>
            <w:r>
              <w:rPr>
                <w:noProof/>
              </w:rPr>
              <w:br/>
            </w:r>
          </w:p>
        </w:tc>
      </w:tr>
      <w:tr w:rsidR="000A27B3" w:rsidRPr="000A27B3" w14:paraId="625EDF63"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4358A74C"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389</w:t>
            </w:r>
          </w:p>
        </w:tc>
        <w:tc>
          <w:tcPr>
            <w:tcW w:w="1842" w:type="dxa"/>
            <w:tcBorders>
              <w:top w:val="nil"/>
              <w:left w:val="nil"/>
              <w:bottom w:val="single" w:sz="4" w:space="0" w:color="auto"/>
              <w:right w:val="single" w:sz="4" w:space="0" w:color="auto"/>
            </w:tcBorders>
            <w:shd w:val="clear" w:color="auto" w:fill="C6EFCE"/>
            <w:noWrap/>
          </w:tcPr>
          <w:p w14:paraId="3B16E1D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4. Introducerea tichetelor de muncă și formalizarea muncii în domeniul lucrătorilor casnici</w:t>
            </w:r>
          </w:p>
        </w:tc>
        <w:tc>
          <w:tcPr>
            <w:tcW w:w="1216" w:type="dxa"/>
            <w:tcBorders>
              <w:top w:val="nil"/>
              <w:left w:val="nil"/>
              <w:bottom w:val="single" w:sz="4" w:space="0" w:color="auto"/>
              <w:right w:val="single" w:sz="4" w:space="0" w:color="auto"/>
            </w:tcBorders>
            <w:shd w:val="clear" w:color="auto" w:fill="C6EFCE"/>
            <w:noWrap/>
          </w:tcPr>
          <w:p w14:paraId="77E360D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69068FC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Beneficiari (care angajează lucrători casnici) </w:t>
            </w:r>
          </w:p>
        </w:tc>
        <w:tc>
          <w:tcPr>
            <w:tcW w:w="1843" w:type="dxa"/>
            <w:tcBorders>
              <w:top w:val="nil"/>
              <w:left w:val="nil"/>
              <w:bottom w:val="single" w:sz="4" w:space="0" w:color="auto"/>
              <w:right w:val="single" w:sz="4" w:space="0" w:color="auto"/>
            </w:tcBorders>
            <w:shd w:val="clear" w:color="auto" w:fill="C6EFCE"/>
            <w:noWrap/>
          </w:tcPr>
          <w:p w14:paraId="3BC70C1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5E2730F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208F059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10 000</w:t>
            </w:r>
          </w:p>
        </w:tc>
        <w:tc>
          <w:tcPr>
            <w:tcW w:w="1139" w:type="dxa"/>
            <w:tcBorders>
              <w:top w:val="nil"/>
              <w:left w:val="nil"/>
              <w:bottom w:val="single" w:sz="4" w:space="0" w:color="auto"/>
              <w:right w:val="single" w:sz="4" w:space="0" w:color="auto"/>
            </w:tcBorders>
            <w:shd w:val="clear" w:color="auto" w:fill="C6EFCE"/>
            <w:noWrap/>
          </w:tcPr>
          <w:p w14:paraId="29D66E1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30 000</w:t>
            </w:r>
          </w:p>
        </w:tc>
        <w:tc>
          <w:tcPr>
            <w:tcW w:w="954" w:type="dxa"/>
            <w:tcBorders>
              <w:top w:val="nil"/>
              <w:left w:val="nil"/>
              <w:bottom w:val="single" w:sz="4" w:space="0" w:color="auto"/>
              <w:right w:val="single" w:sz="4" w:space="0" w:color="auto"/>
            </w:tcBorders>
            <w:shd w:val="clear" w:color="auto" w:fill="C6EFCE"/>
            <w:noWrap/>
          </w:tcPr>
          <w:p w14:paraId="224A21F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25" w:type="dxa"/>
            <w:tcBorders>
              <w:top w:val="nil"/>
              <w:left w:val="nil"/>
              <w:bottom w:val="single" w:sz="4" w:space="0" w:color="auto"/>
              <w:right w:val="single" w:sz="4" w:space="0" w:color="auto"/>
            </w:tcBorders>
            <w:shd w:val="clear" w:color="auto" w:fill="C6EFCE"/>
            <w:noWrap/>
          </w:tcPr>
          <w:p w14:paraId="1106417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693" w:type="dxa"/>
            <w:tcBorders>
              <w:top w:val="nil"/>
              <w:left w:val="nil"/>
              <w:bottom w:val="single" w:sz="4" w:space="0" w:color="auto"/>
              <w:right w:val="single" w:sz="4" w:space="0" w:color="auto"/>
            </w:tcBorders>
            <w:shd w:val="clear" w:color="auto" w:fill="C6EFCE"/>
            <w:noWrap/>
          </w:tcPr>
          <w:p w14:paraId="3809932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 puțin 30 000 de beneficiari vor angaja lucrători casnici prin intermediul sistemului de tichete.</w:t>
            </w:r>
            <w:r>
              <w:rPr>
                <w:noProof/>
              </w:rPr>
              <w:t xml:space="preserve"> </w:t>
            </w:r>
            <w:r>
              <w:rPr>
                <w:noProof/>
              </w:rPr>
              <w:br/>
            </w:r>
          </w:p>
        </w:tc>
      </w:tr>
      <w:tr w:rsidR="000A27B3" w:rsidRPr="000A27B3" w14:paraId="3881BC42"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CACB6D9"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390</w:t>
            </w:r>
          </w:p>
        </w:tc>
        <w:tc>
          <w:tcPr>
            <w:tcW w:w="1842" w:type="dxa"/>
            <w:tcBorders>
              <w:top w:val="nil"/>
              <w:left w:val="nil"/>
              <w:bottom w:val="single" w:sz="4" w:space="0" w:color="auto"/>
              <w:right w:val="single" w:sz="4" w:space="0" w:color="auto"/>
            </w:tcBorders>
            <w:shd w:val="clear" w:color="auto" w:fill="C6EFCE"/>
            <w:noWrap/>
          </w:tcPr>
          <w:p w14:paraId="38EF938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4. Introducerea tichetelor de muncă și formalizarea muncii în domeniul lucrătorilor casnici</w:t>
            </w:r>
          </w:p>
        </w:tc>
        <w:tc>
          <w:tcPr>
            <w:tcW w:w="1216" w:type="dxa"/>
            <w:tcBorders>
              <w:top w:val="nil"/>
              <w:left w:val="nil"/>
              <w:bottom w:val="single" w:sz="4" w:space="0" w:color="auto"/>
              <w:right w:val="single" w:sz="4" w:space="0" w:color="auto"/>
            </w:tcBorders>
            <w:shd w:val="clear" w:color="auto" w:fill="C6EFCE"/>
            <w:noWrap/>
          </w:tcPr>
          <w:p w14:paraId="59FB5CB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1B20949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Lucrătorii casnici/prestatorii casnici înregistrați anterior ca șomeri sau inactivi prestează servicii prin intermediul tichetelor de muncă</w:t>
            </w:r>
          </w:p>
        </w:tc>
        <w:tc>
          <w:tcPr>
            <w:tcW w:w="1843" w:type="dxa"/>
            <w:tcBorders>
              <w:top w:val="nil"/>
              <w:left w:val="nil"/>
              <w:bottom w:val="single" w:sz="4" w:space="0" w:color="auto"/>
              <w:right w:val="single" w:sz="4" w:space="0" w:color="auto"/>
            </w:tcBorders>
            <w:shd w:val="clear" w:color="auto" w:fill="C6EFCE"/>
            <w:noWrap/>
          </w:tcPr>
          <w:p w14:paraId="4BF098C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6822E2A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1D5E66B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tcPr>
          <w:p w14:paraId="4996E42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20 000</w:t>
            </w:r>
          </w:p>
        </w:tc>
        <w:tc>
          <w:tcPr>
            <w:tcW w:w="954" w:type="dxa"/>
            <w:tcBorders>
              <w:top w:val="nil"/>
              <w:left w:val="nil"/>
              <w:bottom w:val="single" w:sz="4" w:space="0" w:color="auto"/>
              <w:right w:val="single" w:sz="4" w:space="0" w:color="auto"/>
            </w:tcBorders>
            <w:shd w:val="clear" w:color="auto" w:fill="C6EFCE"/>
            <w:noWrap/>
          </w:tcPr>
          <w:p w14:paraId="3CBB811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005314F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693" w:type="dxa"/>
            <w:tcBorders>
              <w:top w:val="nil"/>
              <w:left w:val="nil"/>
              <w:bottom w:val="single" w:sz="4" w:space="0" w:color="auto"/>
              <w:right w:val="single" w:sz="4" w:space="0" w:color="auto"/>
            </w:tcBorders>
            <w:shd w:val="clear" w:color="auto" w:fill="C6EFCE"/>
            <w:noWrap/>
          </w:tcPr>
          <w:p w14:paraId="0E56F1A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 puțin 20 000 de lucrători/prestatori casnici înregistrați anterior ca șomeri sau inactivi prestează servicii prin intermediul tichetelor de muncă</w:t>
            </w:r>
          </w:p>
        </w:tc>
      </w:tr>
      <w:tr w:rsidR="000A27B3" w:rsidRPr="000A27B3" w14:paraId="361B440D"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4200C58"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391</w:t>
            </w:r>
          </w:p>
        </w:tc>
        <w:tc>
          <w:tcPr>
            <w:tcW w:w="1842" w:type="dxa"/>
            <w:tcBorders>
              <w:top w:val="nil"/>
              <w:left w:val="nil"/>
              <w:bottom w:val="single" w:sz="4" w:space="0" w:color="auto"/>
              <w:right w:val="single" w:sz="4" w:space="0" w:color="auto"/>
            </w:tcBorders>
            <w:shd w:val="clear" w:color="auto" w:fill="C6EFCE"/>
            <w:noWrap/>
          </w:tcPr>
          <w:p w14:paraId="3C866C4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Reforma 4. Introducerea tichetelor de muncă și formalizarea muncii în domeniul lucrătorilor casnici</w:t>
            </w:r>
          </w:p>
        </w:tc>
        <w:tc>
          <w:tcPr>
            <w:tcW w:w="1216" w:type="dxa"/>
            <w:tcBorders>
              <w:top w:val="nil"/>
              <w:left w:val="nil"/>
              <w:bottom w:val="single" w:sz="4" w:space="0" w:color="auto"/>
              <w:right w:val="single" w:sz="4" w:space="0" w:color="auto"/>
            </w:tcBorders>
            <w:shd w:val="clear" w:color="auto" w:fill="C6EFCE"/>
            <w:noWrap/>
          </w:tcPr>
          <w:p w14:paraId="0BF3BCC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209CE20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Lucrătorii casnici/prestatorii casnici înregistrați anterior ca șomeri sau inactivi prestează servicii prin intermediul tichetelor de muncă</w:t>
            </w:r>
          </w:p>
        </w:tc>
        <w:tc>
          <w:tcPr>
            <w:tcW w:w="1843" w:type="dxa"/>
            <w:tcBorders>
              <w:top w:val="nil"/>
              <w:left w:val="nil"/>
              <w:bottom w:val="single" w:sz="4" w:space="0" w:color="auto"/>
              <w:right w:val="single" w:sz="4" w:space="0" w:color="auto"/>
            </w:tcBorders>
            <w:shd w:val="clear" w:color="auto" w:fill="C6EFCE"/>
            <w:noWrap/>
          </w:tcPr>
          <w:p w14:paraId="3D96E21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606C0F6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2C98B39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20 000</w:t>
            </w:r>
          </w:p>
        </w:tc>
        <w:tc>
          <w:tcPr>
            <w:tcW w:w="1139" w:type="dxa"/>
            <w:tcBorders>
              <w:top w:val="nil"/>
              <w:left w:val="nil"/>
              <w:bottom w:val="single" w:sz="4" w:space="0" w:color="auto"/>
              <w:right w:val="single" w:sz="4" w:space="0" w:color="auto"/>
            </w:tcBorders>
            <w:shd w:val="clear" w:color="auto" w:fill="C6EFCE"/>
            <w:noWrap/>
          </w:tcPr>
          <w:p w14:paraId="792EB6B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60 000</w:t>
            </w:r>
          </w:p>
        </w:tc>
        <w:tc>
          <w:tcPr>
            <w:tcW w:w="954" w:type="dxa"/>
            <w:tcBorders>
              <w:top w:val="nil"/>
              <w:left w:val="nil"/>
              <w:bottom w:val="single" w:sz="4" w:space="0" w:color="auto"/>
              <w:right w:val="single" w:sz="4" w:space="0" w:color="auto"/>
            </w:tcBorders>
            <w:shd w:val="clear" w:color="auto" w:fill="C6EFCE"/>
            <w:noWrap/>
          </w:tcPr>
          <w:p w14:paraId="10257FC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25" w:type="dxa"/>
            <w:tcBorders>
              <w:top w:val="nil"/>
              <w:left w:val="nil"/>
              <w:bottom w:val="single" w:sz="4" w:space="0" w:color="auto"/>
              <w:right w:val="single" w:sz="4" w:space="0" w:color="auto"/>
            </w:tcBorders>
            <w:shd w:val="clear" w:color="auto" w:fill="C6EFCE"/>
            <w:noWrap/>
          </w:tcPr>
          <w:p w14:paraId="09A3A66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2693" w:type="dxa"/>
            <w:tcBorders>
              <w:top w:val="nil"/>
              <w:left w:val="nil"/>
              <w:bottom w:val="single" w:sz="4" w:space="0" w:color="auto"/>
              <w:right w:val="single" w:sz="4" w:space="0" w:color="auto"/>
            </w:tcBorders>
            <w:shd w:val="clear" w:color="auto" w:fill="C6EFCE"/>
            <w:noWrap/>
          </w:tcPr>
          <w:p w14:paraId="6632636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 puțin 60 000 de lucrători/prestatori casnici înregistrați anterior ca șomeri sau inactivi prestează servicii prin intermediul tichetelor de muncă</w:t>
            </w:r>
          </w:p>
        </w:tc>
      </w:tr>
      <w:tr w:rsidR="000A27B3" w:rsidRPr="000A27B3" w14:paraId="484D14D2"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4F0E68F5"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392</w:t>
            </w:r>
          </w:p>
        </w:tc>
        <w:tc>
          <w:tcPr>
            <w:tcW w:w="1842" w:type="dxa"/>
            <w:tcBorders>
              <w:top w:val="nil"/>
              <w:left w:val="nil"/>
              <w:bottom w:val="single" w:sz="4" w:space="0" w:color="auto"/>
              <w:right w:val="single" w:sz="4" w:space="0" w:color="auto"/>
            </w:tcBorders>
            <w:shd w:val="clear" w:color="auto" w:fill="C6EFCE"/>
            <w:noWrap/>
          </w:tcPr>
          <w:p w14:paraId="76DD6EB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5. Asigurarea stabilirii unui salariu minim </w:t>
            </w:r>
          </w:p>
        </w:tc>
        <w:tc>
          <w:tcPr>
            <w:tcW w:w="1216" w:type="dxa"/>
            <w:tcBorders>
              <w:top w:val="nil"/>
              <w:left w:val="nil"/>
              <w:bottom w:val="single" w:sz="4" w:space="0" w:color="auto"/>
              <w:right w:val="single" w:sz="4" w:space="0" w:color="auto"/>
            </w:tcBorders>
            <w:shd w:val="clear" w:color="auto" w:fill="C6EFCE"/>
            <w:noWrap/>
          </w:tcPr>
          <w:p w14:paraId="27ED826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tcPr>
          <w:p w14:paraId="5DAF8EB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actului care reglementează noul sistem de stabilire a salariului minim</w:t>
            </w:r>
          </w:p>
        </w:tc>
        <w:tc>
          <w:tcPr>
            <w:tcW w:w="1843" w:type="dxa"/>
            <w:tcBorders>
              <w:top w:val="nil"/>
              <w:left w:val="nil"/>
              <w:bottom w:val="single" w:sz="4" w:space="0" w:color="auto"/>
              <w:right w:val="single" w:sz="4" w:space="0" w:color="auto"/>
            </w:tcBorders>
            <w:shd w:val="clear" w:color="auto" w:fill="C6EFCE"/>
            <w:noWrap/>
          </w:tcPr>
          <w:p w14:paraId="3301F2C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care indică intrarea în vigoare a actului normativ </w:t>
            </w:r>
          </w:p>
        </w:tc>
        <w:tc>
          <w:tcPr>
            <w:tcW w:w="1123" w:type="dxa"/>
            <w:tcBorders>
              <w:top w:val="nil"/>
              <w:left w:val="nil"/>
              <w:bottom w:val="single" w:sz="4" w:space="0" w:color="auto"/>
              <w:right w:val="single" w:sz="4" w:space="0" w:color="auto"/>
            </w:tcBorders>
            <w:shd w:val="clear" w:color="auto" w:fill="C6EFCE"/>
            <w:noWrap/>
          </w:tcPr>
          <w:p w14:paraId="6CCB3A91" w14:textId="77777777" w:rsidR="00151654" w:rsidRPr="000A27B3" w:rsidRDefault="00151654">
            <w:pPr>
              <w:spacing w:after="0" w:line="240" w:lineRule="auto"/>
              <w:jc w:val="both"/>
              <w:rPr>
                <w:rFonts w:ascii="Times New Roman" w:hAnsi="Times New Roman" w:cs="Times New Roman"/>
                <w:noProof/>
                <w:sz w:val="24"/>
                <w:szCs w:val="24"/>
                <w:lang w:val="en-GB"/>
              </w:rPr>
            </w:pPr>
          </w:p>
        </w:tc>
        <w:tc>
          <w:tcPr>
            <w:tcW w:w="1145" w:type="dxa"/>
            <w:tcBorders>
              <w:top w:val="nil"/>
              <w:left w:val="nil"/>
              <w:bottom w:val="single" w:sz="4" w:space="0" w:color="auto"/>
              <w:right w:val="single" w:sz="4" w:space="0" w:color="auto"/>
            </w:tcBorders>
            <w:shd w:val="clear" w:color="auto" w:fill="C6EFCE"/>
            <w:noWrap/>
          </w:tcPr>
          <w:p w14:paraId="4B92C60F" w14:textId="77777777" w:rsidR="00151654" w:rsidRPr="000A27B3" w:rsidRDefault="00151654">
            <w:pPr>
              <w:spacing w:after="0" w:line="240" w:lineRule="auto"/>
              <w:jc w:val="both"/>
              <w:rPr>
                <w:rFonts w:ascii="Times New Roman" w:hAnsi="Times New Roman" w:cs="Times New Roman"/>
                <w:noProof/>
                <w:sz w:val="24"/>
                <w:szCs w:val="24"/>
                <w:lang w:val="en-GB"/>
              </w:rPr>
            </w:pPr>
          </w:p>
        </w:tc>
        <w:tc>
          <w:tcPr>
            <w:tcW w:w="1139" w:type="dxa"/>
            <w:tcBorders>
              <w:top w:val="nil"/>
              <w:left w:val="nil"/>
              <w:bottom w:val="single" w:sz="4" w:space="0" w:color="auto"/>
              <w:right w:val="single" w:sz="4" w:space="0" w:color="auto"/>
            </w:tcBorders>
            <w:shd w:val="clear" w:color="auto" w:fill="C6EFCE"/>
            <w:noWrap/>
          </w:tcPr>
          <w:p w14:paraId="58C5112D" w14:textId="77777777" w:rsidR="00151654" w:rsidRPr="000A27B3" w:rsidRDefault="00151654">
            <w:pPr>
              <w:spacing w:after="0" w:line="240" w:lineRule="auto"/>
              <w:jc w:val="both"/>
              <w:rPr>
                <w:rFonts w:ascii="Times New Roman" w:hAnsi="Times New Roman" w:cs="Times New Roman"/>
                <w:noProof/>
                <w:sz w:val="24"/>
                <w:szCs w:val="24"/>
                <w:lang w:val="en-GB"/>
              </w:rPr>
            </w:pPr>
          </w:p>
        </w:tc>
        <w:tc>
          <w:tcPr>
            <w:tcW w:w="954" w:type="dxa"/>
            <w:tcBorders>
              <w:top w:val="nil"/>
              <w:left w:val="nil"/>
              <w:bottom w:val="single" w:sz="4" w:space="0" w:color="auto"/>
              <w:right w:val="single" w:sz="4" w:space="0" w:color="auto"/>
            </w:tcBorders>
            <w:shd w:val="clear" w:color="auto" w:fill="C6EFCE"/>
            <w:noWrap/>
          </w:tcPr>
          <w:p w14:paraId="1B30E27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25" w:type="dxa"/>
            <w:tcBorders>
              <w:top w:val="nil"/>
              <w:left w:val="nil"/>
              <w:bottom w:val="single" w:sz="4" w:space="0" w:color="auto"/>
              <w:right w:val="single" w:sz="4" w:space="0" w:color="auto"/>
            </w:tcBorders>
            <w:shd w:val="clear" w:color="auto" w:fill="C6EFCE"/>
            <w:noWrap/>
          </w:tcPr>
          <w:p w14:paraId="3D6D818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693" w:type="dxa"/>
            <w:tcBorders>
              <w:top w:val="nil"/>
              <w:left w:val="nil"/>
              <w:bottom w:val="single" w:sz="4" w:space="0" w:color="auto"/>
              <w:right w:val="single" w:sz="4" w:space="0" w:color="auto"/>
            </w:tcBorders>
            <w:shd w:val="clear" w:color="auto" w:fill="C6EFCE"/>
            <w:noWrap/>
          </w:tcPr>
          <w:p w14:paraId="2D0F8AD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Actul legislativ va institui un nou mecanism și o formulă pentru a stabili nivelul salariului minim în mod obiectiv și sistematic, în consultare cu partenerii sociali și ținând seama de acțiunile Uniunii.</w:t>
            </w:r>
          </w:p>
        </w:tc>
      </w:tr>
      <w:tr w:rsidR="000A27B3" w:rsidRPr="000A27B3" w14:paraId="10586CB0"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hideMark/>
          </w:tcPr>
          <w:p w14:paraId="50248C29" w14:textId="77777777" w:rsidR="00151654" w:rsidRPr="000A27B3" w:rsidRDefault="00151654">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393</w:t>
            </w:r>
          </w:p>
        </w:tc>
        <w:tc>
          <w:tcPr>
            <w:tcW w:w="1842" w:type="dxa"/>
            <w:tcBorders>
              <w:top w:val="nil"/>
              <w:left w:val="nil"/>
              <w:bottom w:val="single" w:sz="4" w:space="0" w:color="auto"/>
              <w:right w:val="single" w:sz="4" w:space="0" w:color="auto"/>
            </w:tcBorders>
            <w:shd w:val="clear" w:color="auto" w:fill="C6EFCE"/>
            <w:noWrap/>
            <w:hideMark/>
          </w:tcPr>
          <w:p w14:paraId="2521F2DD" w14:textId="77777777" w:rsidR="00151654" w:rsidRPr="000A27B3" w:rsidRDefault="00151654">
            <w:pPr>
              <w:spacing w:after="0" w:line="240" w:lineRule="auto"/>
              <w:jc w:val="both"/>
              <w:rPr>
                <w:rFonts w:ascii="Times New Roman" w:hAnsi="Times New Roman" w:cs="Times New Roman"/>
                <w:noProof/>
                <w:sz w:val="24"/>
              </w:rPr>
            </w:pPr>
            <w:r>
              <w:rPr>
                <w:rFonts w:ascii="Times New Roman" w:hAnsi="Times New Roman"/>
                <w:noProof/>
                <w:sz w:val="24"/>
              </w:rPr>
              <w:t>Investiția 1. Crearea unei rețele de centre de zi pentru copiii expuși riscului de a fi separați de familie</w:t>
            </w:r>
          </w:p>
          <w:p w14:paraId="226EC654" w14:textId="77777777" w:rsidR="00151654" w:rsidRPr="009F1DC7" w:rsidRDefault="00151654">
            <w:pPr>
              <w:spacing w:after="0" w:line="240" w:lineRule="auto"/>
              <w:jc w:val="both"/>
              <w:rPr>
                <w:rFonts w:ascii="Times New Roman" w:eastAsia="Times New Roman" w:hAnsi="Times New Roman" w:cs="Times New Roman"/>
                <w:noProof/>
                <w:sz w:val="24"/>
                <w:lang w:val="fr-FR" w:eastAsia="en-GB"/>
              </w:rPr>
            </w:pPr>
          </w:p>
        </w:tc>
        <w:tc>
          <w:tcPr>
            <w:tcW w:w="1216" w:type="dxa"/>
            <w:tcBorders>
              <w:top w:val="nil"/>
              <w:left w:val="nil"/>
              <w:bottom w:val="single" w:sz="4" w:space="0" w:color="auto"/>
              <w:right w:val="single" w:sz="4" w:space="0" w:color="auto"/>
            </w:tcBorders>
            <w:shd w:val="clear" w:color="auto" w:fill="C6EFCE"/>
            <w:noWrap/>
            <w:hideMark/>
          </w:tcPr>
          <w:p w14:paraId="0EBB4748"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hideMark/>
          </w:tcPr>
          <w:p w14:paraId="41AA4290"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Cartografierea nevoilor, a serviciilor și infrastructurile disponibile pentru copiii expuși riscului de separare de familie, în special în comunitățile vulnerabile.</w:t>
            </w:r>
          </w:p>
        </w:tc>
        <w:tc>
          <w:tcPr>
            <w:tcW w:w="1843" w:type="dxa"/>
            <w:tcBorders>
              <w:top w:val="nil"/>
              <w:left w:val="nil"/>
              <w:bottom w:val="single" w:sz="4" w:space="0" w:color="auto"/>
              <w:right w:val="single" w:sz="4" w:space="0" w:color="auto"/>
            </w:tcBorders>
            <w:shd w:val="clear" w:color="auto" w:fill="C6EFCE"/>
            <w:noWrap/>
            <w:hideMark/>
          </w:tcPr>
          <w:p w14:paraId="3BC86B00"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Cartografierea nevoilor, a serviciilor disponibile și a infrastructurilor asigurate</w:t>
            </w:r>
          </w:p>
        </w:tc>
        <w:tc>
          <w:tcPr>
            <w:tcW w:w="1123" w:type="dxa"/>
            <w:tcBorders>
              <w:top w:val="nil"/>
              <w:left w:val="nil"/>
              <w:bottom w:val="single" w:sz="4" w:space="0" w:color="auto"/>
              <w:right w:val="single" w:sz="4" w:space="0" w:color="auto"/>
            </w:tcBorders>
            <w:shd w:val="clear" w:color="auto" w:fill="C6EFCE"/>
            <w:noWrap/>
            <w:hideMark/>
          </w:tcPr>
          <w:p w14:paraId="12BDACEE" w14:textId="77777777" w:rsidR="00151654" w:rsidRPr="000A27B3" w:rsidRDefault="00151654">
            <w:pPr>
              <w:spacing w:after="0" w:line="240" w:lineRule="auto"/>
              <w:jc w:val="both"/>
              <w:rPr>
                <w:rFonts w:ascii="Times New Roman" w:eastAsia="Times New Roman" w:hAnsi="Times New Roman" w:cs="Times New Roman"/>
                <w:noProof/>
                <w:sz w:val="24"/>
                <w:szCs w:val="24"/>
                <w:lang w:val="en-GB" w:eastAsia="en-GB"/>
              </w:rPr>
            </w:pPr>
          </w:p>
        </w:tc>
        <w:tc>
          <w:tcPr>
            <w:tcW w:w="1145" w:type="dxa"/>
            <w:tcBorders>
              <w:top w:val="nil"/>
              <w:left w:val="nil"/>
              <w:bottom w:val="single" w:sz="4" w:space="0" w:color="auto"/>
              <w:right w:val="single" w:sz="4" w:space="0" w:color="auto"/>
            </w:tcBorders>
            <w:shd w:val="clear" w:color="auto" w:fill="C6EFCE"/>
            <w:noWrap/>
            <w:hideMark/>
          </w:tcPr>
          <w:p w14:paraId="119FD658" w14:textId="77777777" w:rsidR="00151654" w:rsidRPr="000A27B3" w:rsidRDefault="00151654">
            <w:pPr>
              <w:spacing w:after="0" w:line="240" w:lineRule="auto"/>
              <w:jc w:val="both"/>
              <w:rPr>
                <w:rFonts w:ascii="Times New Roman" w:eastAsia="Times New Roman" w:hAnsi="Times New Roman" w:cs="Times New Roman"/>
                <w:noProof/>
                <w:sz w:val="24"/>
                <w:szCs w:val="24"/>
                <w:lang w:val="en-GB" w:eastAsia="en-GB"/>
              </w:rPr>
            </w:pPr>
          </w:p>
        </w:tc>
        <w:tc>
          <w:tcPr>
            <w:tcW w:w="1139" w:type="dxa"/>
            <w:tcBorders>
              <w:top w:val="nil"/>
              <w:left w:val="nil"/>
              <w:bottom w:val="single" w:sz="4" w:space="0" w:color="auto"/>
              <w:right w:val="single" w:sz="4" w:space="0" w:color="auto"/>
            </w:tcBorders>
            <w:shd w:val="clear" w:color="auto" w:fill="C6EFCE"/>
            <w:noWrap/>
            <w:hideMark/>
          </w:tcPr>
          <w:p w14:paraId="3BEEA411" w14:textId="77777777" w:rsidR="00151654" w:rsidRPr="000A27B3" w:rsidRDefault="00151654">
            <w:pPr>
              <w:spacing w:after="0" w:line="240" w:lineRule="auto"/>
              <w:jc w:val="both"/>
              <w:rPr>
                <w:rFonts w:ascii="Times New Roman" w:eastAsia="Times New Roman" w:hAnsi="Times New Roman" w:cs="Times New Roman"/>
                <w:noProof/>
                <w:sz w:val="24"/>
                <w:szCs w:val="24"/>
                <w:lang w:val="en-GB" w:eastAsia="en-GB"/>
              </w:rPr>
            </w:pPr>
          </w:p>
        </w:tc>
        <w:tc>
          <w:tcPr>
            <w:tcW w:w="954" w:type="dxa"/>
            <w:tcBorders>
              <w:top w:val="nil"/>
              <w:left w:val="nil"/>
              <w:bottom w:val="single" w:sz="4" w:space="0" w:color="auto"/>
              <w:right w:val="single" w:sz="4" w:space="0" w:color="auto"/>
            </w:tcBorders>
            <w:shd w:val="clear" w:color="auto" w:fill="C6EFCE"/>
            <w:noWrap/>
            <w:hideMark/>
          </w:tcPr>
          <w:p w14:paraId="4D18FF8F"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825" w:type="dxa"/>
            <w:tcBorders>
              <w:top w:val="nil"/>
              <w:left w:val="nil"/>
              <w:bottom w:val="single" w:sz="4" w:space="0" w:color="auto"/>
              <w:right w:val="single" w:sz="4" w:space="0" w:color="auto"/>
            </w:tcBorders>
            <w:shd w:val="clear" w:color="auto" w:fill="C6EFCE"/>
            <w:noWrap/>
            <w:hideMark/>
          </w:tcPr>
          <w:p w14:paraId="5310F38E"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2023</w:t>
            </w:r>
          </w:p>
        </w:tc>
        <w:tc>
          <w:tcPr>
            <w:tcW w:w="2693" w:type="dxa"/>
            <w:tcBorders>
              <w:top w:val="nil"/>
              <w:left w:val="nil"/>
              <w:bottom w:val="single" w:sz="4" w:space="0" w:color="auto"/>
              <w:right w:val="single" w:sz="4" w:space="0" w:color="auto"/>
            </w:tcBorders>
            <w:shd w:val="clear" w:color="auto" w:fill="C6EFCE"/>
            <w:noWrap/>
            <w:hideMark/>
          </w:tcPr>
          <w:p w14:paraId="4C5C69EC"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Se realizează o cartografiere a serviciilor și a infrastructurii disponibile pentru copiii expuși riscului de separare de familie, în special în comunitățile vulnerabile. Centrele de zi se vor construi pe baza rezultatelor acestei cartografieri pentru a răspunde nevoilor identificate, în special ale comunităților vulnerabile (precum persoanele cu venituri mici, persoanele cu dizabilități, persoanele din comunitățile marginalizate, inclusiv romii, persoanele care provin din familii de migranți). Cartografierea identifică, de asemenea, cartierele defavorizate/segregate pentru a răspunde nevoilor comunităților vulnerabile/marginalizate (cum ar fi nivelul scăzut al veniturilor, ratele ridicate ale șomajului, nivelul scăzut de educație).</w:t>
            </w:r>
          </w:p>
        </w:tc>
      </w:tr>
      <w:tr w:rsidR="000A27B3" w:rsidRPr="000A27B3" w14:paraId="71307D14"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hideMark/>
          </w:tcPr>
          <w:p w14:paraId="2B4E4945" w14:textId="77777777" w:rsidR="00151654" w:rsidRPr="000A27B3" w:rsidRDefault="00151654">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394</w:t>
            </w:r>
          </w:p>
        </w:tc>
        <w:tc>
          <w:tcPr>
            <w:tcW w:w="1842" w:type="dxa"/>
            <w:tcBorders>
              <w:top w:val="nil"/>
              <w:left w:val="nil"/>
              <w:bottom w:val="single" w:sz="4" w:space="0" w:color="auto"/>
              <w:right w:val="single" w:sz="4" w:space="0" w:color="auto"/>
            </w:tcBorders>
            <w:shd w:val="clear" w:color="auto" w:fill="C6EFCE"/>
            <w:noWrap/>
            <w:hideMark/>
          </w:tcPr>
          <w:p w14:paraId="755DB1C8" w14:textId="77777777" w:rsidR="00151654" w:rsidRPr="000A27B3" w:rsidRDefault="00151654">
            <w:pPr>
              <w:spacing w:after="0" w:line="240" w:lineRule="auto"/>
              <w:jc w:val="both"/>
              <w:rPr>
                <w:rFonts w:ascii="Times New Roman" w:hAnsi="Times New Roman" w:cs="Times New Roman"/>
                <w:noProof/>
                <w:sz w:val="24"/>
              </w:rPr>
            </w:pPr>
            <w:r>
              <w:rPr>
                <w:rFonts w:ascii="Times New Roman" w:hAnsi="Times New Roman"/>
                <w:noProof/>
                <w:sz w:val="24"/>
              </w:rPr>
              <w:t>Investiția 1. Crearea unei rețele de centre de zi pentru copiii expuși riscului de a fi separați de familie</w:t>
            </w:r>
          </w:p>
          <w:p w14:paraId="267A3E11" w14:textId="77777777" w:rsidR="00151654" w:rsidRPr="009F1DC7" w:rsidRDefault="00151654">
            <w:pPr>
              <w:spacing w:after="0" w:line="240" w:lineRule="auto"/>
              <w:jc w:val="both"/>
              <w:rPr>
                <w:rFonts w:ascii="Times New Roman" w:eastAsia="Times New Roman" w:hAnsi="Times New Roman" w:cs="Times New Roman"/>
                <w:noProof/>
                <w:sz w:val="24"/>
                <w:lang w:val="fr-FR" w:eastAsia="en-GB"/>
              </w:rPr>
            </w:pPr>
          </w:p>
        </w:tc>
        <w:tc>
          <w:tcPr>
            <w:tcW w:w="1216" w:type="dxa"/>
            <w:tcBorders>
              <w:top w:val="nil"/>
              <w:left w:val="nil"/>
              <w:bottom w:val="single" w:sz="4" w:space="0" w:color="auto"/>
              <w:right w:val="single" w:sz="4" w:space="0" w:color="auto"/>
            </w:tcBorders>
            <w:shd w:val="clear" w:color="auto" w:fill="C6EFCE"/>
            <w:noWrap/>
            <w:hideMark/>
          </w:tcPr>
          <w:p w14:paraId="3AABE81F"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hideMark/>
          </w:tcPr>
          <w:p w14:paraId="6FF4ADD9"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Centre de zi pentru a preveni separarea copiilor de familie</w:t>
            </w:r>
          </w:p>
        </w:tc>
        <w:tc>
          <w:tcPr>
            <w:tcW w:w="1843" w:type="dxa"/>
            <w:tcBorders>
              <w:top w:val="nil"/>
              <w:left w:val="nil"/>
              <w:bottom w:val="single" w:sz="4" w:space="0" w:color="auto"/>
              <w:right w:val="single" w:sz="4" w:space="0" w:color="auto"/>
            </w:tcBorders>
            <w:shd w:val="clear" w:color="auto" w:fill="C6EFCE"/>
            <w:noWrap/>
            <w:hideMark/>
          </w:tcPr>
          <w:p w14:paraId="18BE4DB4"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hideMark/>
          </w:tcPr>
          <w:p w14:paraId="57B7AD35"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hideMark/>
          </w:tcPr>
          <w:p w14:paraId="3C7CBAA6"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hideMark/>
          </w:tcPr>
          <w:p w14:paraId="18113777"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150</w:t>
            </w:r>
          </w:p>
        </w:tc>
        <w:tc>
          <w:tcPr>
            <w:tcW w:w="954" w:type="dxa"/>
            <w:tcBorders>
              <w:top w:val="nil"/>
              <w:left w:val="nil"/>
              <w:bottom w:val="single" w:sz="4" w:space="0" w:color="auto"/>
              <w:right w:val="single" w:sz="4" w:space="0" w:color="auto"/>
            </w:tcBorders>
            <w:shd w:val="clear" w:color="auto" w:fill="C6EFCE"/>
            <w:noWrap/>
            <w:hideMark/>
          </w:tcPr>
          <w:p w14:paraId="67899CCE"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hideMark/>
          </w:tcPr>
          <w:p w14:paraId="25517D1B"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2024</w:t>
            </w:r>
          </w:p>
        </w:tc>
        <w:tc>
          <w:tcPr>
            <w:tcW w:w="2693" w:type="dxa"/>
            <w:tcBorders>
              <w:top w:val="nil"/>
              <w:left w:val="nil"/>
              <w:bottom w:val="single" w:sz="4" w:space="0" w:color="auto"/>
              <w:right w:val="single" w:sz="4" w:space="0" w:color="auto"/>
            </w:tcBorders>
            <w:shd w:val="clear" w:color="auto" w:fill="C6EFCE"/>
            <w:noWrap/>
            <w:hideMark/>
          </w:tcPr>
          <w:p w14:paraId="4239285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funcțiune a unei rețele de 150 de centre de zi, dintre care cel puțin 10 % să se afle în comunitățile cu o populație romă semnificativă, pentru a preveni separarea copiilor de familie. </w:t>
            </w:r>
          </w:p>
          <w:p w14:paraId="25CE2A10" w14:textId="1B6A82A5"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145 dintre clădirile nou construite vor respecta cerința privind clădirile al căror consum de energie este aproape egal cu zero, în conformitate cu orientările naționale. 5</w:t>
            </w:r>
            <w:r w:rsidR="00506E69">
              <w:rPr>
                <w:rFonts w:ascii="Times New Roman" w:hAnsi="Times New Roman"/>
                <w:noProof/>
                <w:sz w:val="24"/>
              </w:rPr>
              <w:t> </w:t>
            </w:r>
            <w:r>
              <w:rPr>
                <w:rFonts w:ascii="Times New Roman" w:hAnsi="Times New Roman"/>
                <w:noProof/>
                <w:sz w:val="24"/>
              </w:rPr>
              <w:t xml:space="preserve">dintre 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tc>
      </w:tr>
      <w:tr w:rsidR="000A27B3" w:rsidRPr="000A27B3" w14:paraId="3BC2DA66"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6C3B5D3A"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395</w:t>
            </w:r>
          </w:p>
        </w:tc>
        <w:tc>
          <w:tcPr>
            <w:tcW w:w="1842" w:type="dxa"/>
            <w:tcBorders>
              <w:top w:val="nil"/>
              <w:left w:val="nil"/>
              <w:bottom w:val="single" w:sz="4" w:space="0" w:color="auto"/>
              <w:right w:val="single" w:sz="4" w:space="0" w:color="auto"/>
            </w:tcBorders>
            <w:shd w:val="clear" w:color="auto" w:fill="C6EFCE"/>
            <w:noWrap/>
          </w:tcPr>
          <w:p w14:paraId="3C7468B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Investiția 2. Reabilitarea, renovarea și dezvoltarea infrastructurii sociale pentru persoanele cu dizabilități</w:t>
            </w:r>
          </w:p>
        </w:tc>
        <w:tc>
          <w:tcPr>
            <w:tcW w:w="1216" w:type="dxa"/>
            <w:tcBorders>
              <w:top w:val="nil"/>
              <w:left w:val="nil"/>
              <w:bottom w:val="single" w:sz="4" w:space="0" w:color="auto"/>
              <w:right w:val="single" w:sz="4" w:space="0" w:color="auto"/>
            </w:tcBorders>
            <w:shd w:val="clear" w:color="auto" w:fill="C6EFCE"/>
            <w:noWrap/>
          </w:tcPr>
          <w:p w14:paraId="58E2FF7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176E514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Servicii comunitare modernizate pentru persoanele cu dizabilități </w:t>
            </w:r>
          </w:p>
        </w:tc>
        <w:tc>
          <w:tcPr>
            <w:tcW w:w="1843" w:type="dxa"/>
            <w:tcBorders>
              <w:top w:val="nil"/>
              <w:left w:val="nil"/>
              <w:bottom w:val="single" w:sz="4" w:space="0" w:color="auto"/>
              <w:right w:val="single" w:sz="4" w:space="0" w:color="auto"/>
            </w:tcBorders>
            <w:shd w:val="clear" w:color="auto" w:fill="C6EFCE"/>
            <w:noWrap/>
          </w:tcPr>
          <w:p w14:paraId="7E31696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48A5BFB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19B83F39" w14:textId="77777777" w:rsidR="00151654" w:rsidRPr="000A27B3" w:rsidRDefault="00151654">
            <w:pPr>
              <w:spacing w:after="0" w:line="240" w:lineRule="auto"/>
              <w:ind w:left="-102"/>
              <w:contextualSpacing/>
              <w:jc w:val="both"/>
              <w:rPr>
                <w:rFonts w:ascii="Times New Roman" w:hAnsi="Times New Roman" w:cs="Times New Roman"/>
                <w:noProof/>
                <w:sz w:val="24"/>
                <w:szCs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tcPr>
          <w:p w14:paraId="4C5E379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50</w:t>
            </w:r>
          </w:p>
        </w:tc>
        <w:tc>
          <w:tcPr>
            <w:tcW w:w="954" w:type="dxa"/>
            <w:tcBorders>
              <w:top w:val="nil"/>
              <w:left w:val="nil"/>
              <w:bottom w:val="single" w:sz="4" w:space="0" w:color="auto"/>
              <w:right w:val="single" w:sz="4" w:space="0" w:color="auto"/>
            </w:tcBorders>
            <w:shd w:val="clear" w:color="auto" w:fill="C6EFCE"/>
            <w:noWrap/>
          </w:tcPr>
          <w:p w14:paraId="5587531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438AFB16"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2693" w:type="dxa"/>
            <w:tcBorders>
              <w:top w:val="nil"/>
              <w:left w:val="nil"/>
              <w:bottom w:val="single" w:sz="4" w:space="0" w:color="auto"/>
              <w:right w:val="single" w:sz="4" w:space="0" w:color="auto"/>
            </w:tcBorders>
            <w:shd w:val="clear" w:color="auto" w:fill="C6EFCE"/>
            <w:noWrap/>
          </w:tcPr>
          <w:p w14:paraId="45CF4625" w14:textId="2FA82113"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Numărul de centre comunitare modernizate (centre de zi și centre de recuperare neuromotorie pentru persoanele cu dizabilități) prin intermediul unui program național de finanțare a investițiilor pentru reabilitare, consolidare, modernizare și furnizarea de servicii la nivelul comunității. Ulterior, 25</w:t>
            </w:r>
            <w:r w:rsidR="00506E69">
              <w:rPr>
                <w:rFonts w:ascii="Times New Roman" w:hAnsi="Times New Roman"/>
                <w:noProof/>
                <w:sz w:val="24"/>
              </w:rPr>
              <w:t> </w:t>
            </w:r>
            <w:r>
              <w:rPr>
                <w:rFonts w:ascii="Times New Roman" w:hAnsi="Times New Roman"/>
                <w:noProof/>
                <w:sz w:val="24"/>
              </w:rPr>
              <w:t>de centre de zi și 25 de centre de servicii de recuperare neuromotorie ambulatorii vor intra în funcțiune prin intermediul unei cereri deschise de oferte pentru furnizarea de servicii sociale publice, care să respecte criteriile de eligibilitate pentru aceste investiții, inclusiv condiția de a găzdui cel puțin 1 000 de persoane cu dizabilități pe an.</w:t>
            </w:r>
          </w:p>
        </w:tc>
      </w:tr>
      <w:tr w:rsidR="000A27B3" w:rsidRPr="000A27B3" w14:paraId="63A79B17"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3D41568B"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396</w:t>
            </w:r>
          </w:p>
        </w:tc>
        <w:tc>
          <w:tcPr>
            <w:tcW w:w="1842" w:type="dxa"/>
            <w:tcBorders>
              <w:top w:val="nil"/>
              <w:left w:val="nil"/>
              <w:bottom w:val="single" w:sz="4" w:space="0" w:color="auto"/>
              <w:right w:val="single" w:sz="4" w:space="0" w:color="auto"/>
            </w:tcBorders>
            <w:shd w:val="clear" w:color="auto" w:fill="C6EFCE"/>
            <w:noWrap/>
          </w:tcPr>
          <w:p w14:paraId="0EA1E40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Investiția 2. Reabilitarea, renovarea și dezvoltarea infrastructurii sociale pentru persoanele cu dizabilități</w:t>
            </w:r>
          </w:p>
        </w:tc>
        <w:tc>
          <w:tcPr>
            <w:tcW w:w="1216" w:type="dxa"/>
            <w:tcBorders>
              <w:top w:val="nil"/>
              <w:left w:val="nil"/>
              <w:bottom w:val="single" w:sz="4" w:space="0" w:color="auto"/>
              <w:right w:val="single" w:sz="4" w:space="0" w:color="auto"/>
            </w:tcBorders>
            <w:shd w:val="clear" w:color="auto" w:fill="C6EFCE"/>
            <w:noWrap/>
          </w:tcPr>
          <w:p w14:paraId="73B55F44"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619" w:type="dxa"/>
            <w:tcBorders>
              <w:top w:val="nil"/>
              <w:left w:val="nil"/>
              <w:bottom w:val="single" w:sz="4" w:space="0" w:color="auto"/>
              <w:right w:val="single" w:sz="4" w:space="0" w:color="auto"/>
            </w:tcBorders>
            <w:shd w:val="clear" w:color="auto" w:fill="C6EFCE"/>
            <w:noWrap/>
          </w:tcPr>
          <w:p w14:paraId="1014B089"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Noi servicii comunitare pentru persoanele cu dizabilități</w:t>
            </w:r>
          </w:p>
        </w:tc>
        <w:tc>
          <w:tcPr>
            <w:tcW w:w="1843" w:type="dxa"/>
            <w:tcBorders>
              <w:top w:val="nil"/>
              <w:left w:val="nil"/>
              <w:bottom w:val="single" w:sz="4" w:space="0" w:color="auto"/>
              <w:right w:val="single" w:sz="4" w:space="0" w:color="auto"/>
            </w:tcBorders>
            <w:shd w:val="clear" w:color="auto" w:fill="C6EFCE"/>
            <w:noWrap/>
          </w:tcPr>
          <w:p w14:paraId="04C542ED"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23" w:type="dxa"/>
            <w:tcBorders>
              <w:top w:val="nil"/>
              <w:left w:val="nil"/>
              <w:bottom w:val="single" w:sz="4" w:space="0" w:color="auto"/>
              <w:right w:val="single" w:sz="4" w:space="0" w:color="auto"/>
            </w:tcBorders>
            <w:shd w:val="clear" w:color="auto" w:fill="C6EFCE"/>
            <w:noWrap/>
          </w:tcPr>
          <w:p w14:paraId="1EA538B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145" w:type="dxa"/>
            <w:tcBorders>
              <w:top w:val="nil"/>
              <w:left w:val="nil"/>
              <w:bottom w:val="single" w:sz="4" w:space="0" w:color="auto"/>
              <w:right w:val="single" w:sz="4" w:space="0" w:color="auto"/>
            </w:tcBorders>
            <w:shd w:val="clear" w:color="auto" w:fill="C6EFCE"/>
            <w:noWrap/>
          </w:tcPr>
          <w:p w14:paraId="437CB9CA" w14:textId="77777777" w:rsidR="00151654" w:rsidRPr="000A27B3" w:rsidRDefault="00151654">
            <w:pPr>
              <w:spacing w:after="0" w:line="240" w:lineRule="auto"/>
              <w:ind w:left="-102"/>
              <w:contextualSpacing/>
              <w:jc w:val="both"/>
              <w:rPr>
                <w:rFonts w:ascii="Times New Roman" w:hAnsi="Times New Roman" w:cs="Times New Roman"/>
                <w:noProof/>
                <w:sz w:val="24"/>
                <w:szCs w:val="24"/>
              </w:rPr>
            </w:pPr>
            <w:r>
              <w:rPr>
                <w:rFonts w:ascii="Times New Roman" w:hAnsi="Times New Roman"/>
                <w:noProof/>
                <w:sz w:val="24"/>
              </w:rPr>
              <w:t>0</w:t>
            </w:r>
          </w:p>
        </w:tc>
        <w:tc>
          <w:tcPr>
            <w:tcW w:w="1139" w:type="dxa"/>
            <w:tcBorders>
              <w:top w:val="nil"/>
              <w:left w:val="nil"/>
              <w:bottom w:val="single" w:sz="4" w:space="0" w:color="auto"/>
              <w:right w:val="single" w:sz="4" w:space="0" w:color="auto"/>
            </w:tcBorders>
            <w:shd w:val="clear" w:color="auto" w:fill="C6EFCE"/>
            <w:noWrap/>
          </w:tcPr>
          <w:p w14:paraId="22F04BE8"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55</w:t>
            </w:r>
          </w:p>
        </w:tc>
        <w:tc>
          <w:tcPr>
            <w:tcW w:w="954" w:type="dxa"/>
            <w:tcBorders>
              <w:top w:val="nil"/>
              <w:left w:val="nil"/>
              <w:bottom w:val="single" w:sz="4" w:space="0" w:color="auto"/>
              <w:right w:val="single" w:sz="4" w:space="0" w:color="auto"/>
            </w:tcBorders>
            <w:shd w:val="clear" w:color="auto" w:fill="C6EFCE"/>
            <w:noWrap/>
          </w:tcPr>
          <w:p w14:paraId="779CCEB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55B3D8C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2693" w:type="dxa"/>
            <w:tcBorders>
              <w:top w:val="nil"/>
              <w:left w:val="nil"/>
              <w:bottom w:val="single" w:sz="4" w:space="0" w:color="auto"/>
              <w:right w:val="single" w:sz="4" w:space="0" w:color="auto"/>
            </w:tcBorders>
            <w:shd w:val="clear" w:color="auto" w:fill="C6EFCE"/>
            <w:noWrap/>
          </w:tcPr>
          <w:p w14:paraId="6F8FA25B" w14:textId="6CE771DE" w:rsidR="00151654" w:rsidRPr="000A27B3" w:rsidRDefault="00151654">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funcțiune a 55</w:t>
            </w:r>
            <w:r w:rsidR="00506E69">
              <w:rPr>
                <w:rFonts w:ascii="Times New Roman" w:hAnsi="Times New Roman"/>
                <w:noProof/>
                <w:sz w:val="24"/>
              </w:rPr>
              <w:t> </w:t>
            </w:r>
            <w:r>
              <w:rPr>
                <w:rFonts w:ascii="Times New Roman" w:hAnsi="Times New Roman"/>
                <w:noProof/>
                <w:sz w:val="24"/>
              </w:rPr>
              <w:t xml:space="preserve">de noi servicii comunitare (45 de clădiri noi al căror consum de energie este aproape egal cu zero și 10 clădiri al căror consum de energie este aproape egal cu zero +) pentru persoanele cu dizabilități (centre de zi, servicii de asistență și sprijin, precum și centre de recuperare neuromotorie), care să ofere activități pentru cel puțin 4 870 de persoane cu dizabilități într-un interval de 4 ani, pentru a le asigura un trai independent. </w:t>
            </w:r>
          </w:p>
          <w:p w14:paraId="74545E0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Cele 10 clădiri nou-construite al căror consum de energie este aproape egal cu zero + vor respecta obiectivul privind necesarul de energie primară cu cel puțin 20 % mai mic decât cerința pentru clădirile al căror consum de energie este aproape egal cu zero conform orientărilor naționale, lucru care se va asigura prin certificate de performanță energetică.</w:t>
            </w:r>
          </w:p>
        </w:tc>
      </w:tr>
      <w:tr w:rsidR="000A27B3" w:rsidRPr="000A27B3" w14:paraId="21DC9AE8" w14:textId="77777777" w:rsidTr="00506E69">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tcPr>
          <w:p w14:paraId="2FF5A0E4" w14:textId="77777777" w:rsidR="00151654" w:rsidRPr="000A27B3" w:rsidRDefault="00151654">
            <w:pPr>
              <w:spacing w:after="0" w:line="240" w:lineRule="auto"/>
              <w:jc w:val="center"/>
              <w:rPr>
                <w:rFonts w:ascii="Times New Roman" w:hAnsi="Times New Roman" w:cs="Times New Roman"/>
                <w:noProof/>
                <w:sz w:val="24"/>
                <w:szCs w:val="24"/>
              </w:rPr>
            </w:pPr>
            <w:r>
              <w:rPr>
                <w:rFonts w:ascii="Times New Roman" w:hAnsi="Times New Roman"/>
                <w:noProof/>
                <w:sz w:val="24"/>
              </w:rPr>
              <w:t>397</w:t>
            </w:r>
          </w:p>
        </w:tc>
        <w:tc>
          <w:tcPr>
            <w:tcW w:w="1842" w:type="dxa"/>
            <w:tcBorders>
              <w:top w:val="nil"/>
              <w:left w:val="nil"/>
              <w:bottom w:val="single" w:sz="4" w:space="0" w:color="auto"/>
              <w:right w:val="single" w:sz="4" w:space="0" w:color="auto"/>
            </w:tcBorders>
            <w:shd w:val="clear" w:color="auto" w:fill="C6EFCE"/>
            <w:noWrap/>
          </w:tcPr>
          <w:p w14:paraId="7D2A1501"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Investiția 3. Operaționalizarea introducerii tichetelor de muncă pentru activitățile casnice</w:t>
            </w:r>
          </w:p>
        </w:tc>
        <w:tc>
          <w:tcPr>
            <w:tcW w:w="1216" w:type="dxa"/>
            <w:tcBorders>
              <w:top w:val="nil"/>
              <w:left w:val="nil"/>
              <w:bottom w:val="single" w:sz="4" w:space="0" w:color="auto"/>
              <w:right w:val="single" w:sz="4" w:space="0" w:color="auto"/>
            </w:tcBorders>
            <w:shd w:val="clear" w:color="auto" w:fill="C6EFCE"/>
            <w:noWrap/>
          </w:tcPr>
          <w:p w14:paraId="5274C0D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619" w:type="dxa"/>
            <w:tcBorders>
              <w:top w:val="nil"/>
              <w:left w:val="nil"/>
              <w:bottom w:val="single" w:sz="4" w:space="0" w:color="auto"/>
              <w:right w:val="single" w:sz="4" w:space="0" w:color="auto"/>
            </w:tcBorders>
            <w:shd w:val="clear" w:color="auto" w:fill="C6EFCE"/>
            <w:noWrap/>
          </w:tcPr>
          <w:p w14:paraId="6416230F"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Punerea în funcțiune a unei platforme digitale de gestionare a tichetelor pentru lucrătorii casnici</w:t>
            </w:r>
          </w:p>
        </w:tc>
        <w:tc>
          <w:tcPr>
            <w:tcW w:w="1843" w:type="dxa"/>
            <w:tcBorders>
              <w:top w:val="nil"/>
              <w:left w:val="nil"/>
              <w:bottom w:val="single" w:sz="4" w:space="0" w:color="auto"/>
              <w:right w:val="single" w:sz="4" w:space="0" w:color="auto"/>
            </w:tcBorders>
            <w:shd w:val="clear" w:color="auto" w:fill="C6EFCE"/>
            <w:noWrap/>
          </w:tcPr>
          <w:p w14:paraId="404BF06F" w14:textId="30B520D5"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Platforma digitală operațională</w:t>
            </w:r>
          </w:p>
        </w:tc>
        <w:tc>
          <w:tcPr>
            <w:tcW w:w="1123" w:type="dxa"/>
            <w:tcBorders>
              <w:top w:val="nil"/>
              <w:left w:val="nil"/>
              <w:bottom w:val="single" w:sz="4" w:space="0" w:color="auto"/>
              <w:right w:val="single" w:sz="4" w:space="0" w:color="auto"/>
            </w:tcBorders>
            <w:shd w:val="clear" w:color="auto" w:fill="C6EFCE"/>
            <w:noWrap/>
          </w:tcPr>
          <w:p w14:paraId="3C53A113"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145" w:type="dxa"/>
            <w:tcBorders>
              <w:top w:val="nil"/>
              <w:left w:val="nil"/>
              <w:bottom w:val="single" w:sz="4" w:space="0" w:color="auto"/>
              <w:right w:val="single" w:sz="4" w:space="0" w:color="auto"/>
            </w:tcBorders>
            <w:shd w:val="clear" w:color="auto" w:fill="C6EFCE"/>
            <w:noWrap/>
          </w:tcPr>
          <w:p w14:paraId="6F572C11" w14:textId="77777777" w:rsidR="00151654" w:rsidRPr="000A27B3" w:rsidRDefault="00151654">
            <w:pPr>
              <w:spacing w:after="0" w:line="240" w:lineRule="auto"/>
              <w:ind w:left="720"/>
              <w:contextualSpacing/>
              <w:jc w:val="both"/>
              <w:rPr>
                <w:rFonts w:ascii="Times New Roman" w:hAnsi="Times New Roman" w:cs="Times New Roman"/>
                <w:noProof/>
                <w:sz w:val="24"/>
                <w:szCs w:val="24"/>
              </w:rPr>
            </w:pPr>
            <w:r>
              <w:rPr>
                <w:rFonts w:ascii="Times New Roman" w:hAnsi="Times New Roman"/>
                <w:noProof/>
                <w:sz w:val="24"/>
              </w:rPr>
              <w:t xml:space="preserve"> </w:t>
            </w:r>
          </w:p>
        </w:tc>
        <w:tc>
          <w:tcPr>
            <w:tcW w:w="1139" w:type="dxa"/>
            <w:tcBorders>
              <w:top w:val="nil"/>
              <w:left w:val="nil"/>
              <w:bottom w:val="single" w:sz="4" w:space="0" w:color="auto"/>
              <w:right w:val="single" w:sz="4" w:space="0" w:color="auto"/>
            </w:tcBorders>
            <w:shd w:val="clear" w:color="auto" w:fill="C6EFCE"/>
            <w:noWrap/>
          </w:tcPr>
          <w:p w14:paraId="7E428407"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954" w:type="dxa"/>
            <w:tcBorders>
              <w:top w:val="nil"/>
              <w:left w:val="nil"/>
              <w:bottom w:val="single" w:sz="4" w:space="0" w:color="auto"/>
              <w:right w:val="single" w:sz="4" w:space="0" w:color="auto"/>
            </w:tcBorders>
            <w:shd w:val="clear" w:color="auto" w:fill="C6EFCE"/>
            <w:noWrap/>
          </w:tcPr>
          <w:p w14:paraId="58D00A7C"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25" w:type="dxa"/>
            <w:tcBorders>
              <w:top w:val="nil"/>
              <w:left w:val="nil"/>
              <w:bottom w:val="single" w:sz="4" w:space="0" w:color="auto"/>
              <w:right w:val="single" w:sz="4" w:space="0" w:color="auto"/>
            </w:tcBorders>
            <w:shd w:val="clear" w:color="auto" w:fill="C6EFCE"/>
            <w:noWrap/>
          </w:tcPr>
          <w:p w14:paraId="402F2052"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2693" w:type="dxa"/>
            <w:tcBorders>
              <w:top w:val="nil"/>
              <w:left w:val="nil"/>
              <w:bottom w:val="single" w:sz="4" w:space="0" w:color="auto"/>
              <w:right w:val="single" w:sz="4" w:space="0" w:color="auto"/>
            </w:tcBorders>
            <w:shd w:val="clear" w:color="auto" w:fill="C6EFCE"/>
            <w:noWrap/>
          </w:tcPr>
          <w:p w14:paraId="6AF7CB7E"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Punerea în funcțiune a platformei digitale de gestionare a tichetelor pentru lucrătorii casnici, care ar trebui să permită, printre altele:</w:t>
            </w:r>
          </w:p>
          <w:p w14:paraId="3F469B95" w14:textId="77777777" w:rsidR="00151654" w:rsidRPr="000A27B3" w:rsidRDefault="00151654" w:rsidP="00151654">
            <w:pPr>
              <w:numPr>
                <w:ilvl w:val="0"/>
                <w:numId w:val="96"/>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efectuarea digitală a tuturor tranzacțiilor legate de vouchere (achiziționare, înregistrarea orelor de lucru);</w:t>
            </w:r>
          </w:p>
          <w:p w14:paraId="12CB71E2" w14:textId="77777777" w:rsidR="00151654" w:rsidRPr="000A27B3" w:rsidRDefault="00151654" w:rsidP="00151654">
            <w:pPr>
              <w:numPr>
                <w:ilvl w:val="0"/>
                <w:numId w:val="96"/>
              </w:numPr>
              <w:spacing w:before="120" w:after="0" w:line="240" w:lineRule="auto"/>
              <w:ind w:left="230" w:hanging="218"/>
              <w:contextualSpacing/>
              <w:jc w:val="both"/>
              <w:rPr>
                <w:rFonts w:ascii="Times New Roman" w:hAnsi="Times New Roman" w:cs="Times New Roman"/>
                <w:noProof/>
                <w:sz w:val="24"/>
                <w:szCs w:val="24"/>
              </w:rPr>
            </w:pPr>
            <w:r>
              <w:rPr>
                <w:rFonts w:ascii="Times New Roman" w:hAnsi="Times New Roman"/>
                <w:noProof/>
                <w:sz w:val="24"/>
              </w:rPr>
              <w:t xml:space="preserve">înregistrarea detaliilor privind activitatea lucrătorilor casnici (număr de ore, tip de activitate casnică desfășurată) interoperabilitatea digitală cu alte baze de date relevante (precum cele ale Ministerului Finanțelor, ale Ministerului Muncii și Protecției Sociale, ale serviciului public de ocupare a forței de muncă). </w:t>
            </w:r>
          </w:p>
        </w:tc>
      </w:tr>
    </w:tbl>
    <w:p w14:paraId="272F8BC7" w14:textId="77777777" w:rsidR="00151654" w:rsidRPr="009F1DC7" w:rsidRDefault="00151654">
      <w:pPr>
        <w:spacing w:before="120" w:after="120" w:line="240" w:lineRule="auto"/>
        <w:ind w:left="709"/>
        <w:jc w:val="both"/>
        <w:rPr>
          <w:rFonts w:ascii="Times New Roman" w:hAnsi="Times New Roman" w:cs="Times New Roman"/>
          <w:noProof/>
          <w:sz w:val="24"/>
          <w:szCs w:val="24"/>
        </w:rPr>
      </w:pPr>
    </w:p>
    <w:p w14:paraId="66120E6F" w14:textId="77777777" w:rsidR="00151654" w:rsidRPr="009F1DC7" w:rsidRDefault="00151654">
      <w:pPr>
        <w:spacing w:before="120" w:after="120" w:line="240" w:lineRule="auto"/>
        <w:ind w:left="709"/>
        <w:jc w:val="both"/>
        <w:rPr>
          <w:rFonts w:ascii="Times New Roman" w:hAnsi="Times New Roman" w:cs="Times New Roman"/>
          <w:noProof/>
          <w:sz w:val="24"/>
          <w:szCs w:val="24"/>
        </w:rPr>
        <w:sectPr w:rsidR="00151654" w:rsidRPr="009F1DC7">
          <w:headerReference w:type="even" r:id="rId271"/>
          <w:headerReference w:type="default" r:id="rId272"/>
          <w:footerReference w:type="even" r:id="rId273"/>
          <w:footerReference w:type="default" r:id="rId274"/>
          <w:headerReference w:type="first" r:id="rId275"/>
          <w:footerReference w:type="first" r:id="rId276"/>
          <w:pgSz w:w="16839" w:h="11907" w:orient="landscape"/>
          <w:pgMar w:top="720" w:right="720" w:bottom="720" w:left="720" w:header="709" w:footer="709" w:gutter="0"/>
          <w:cols w:space="720"/>
          <w:docGrid w:linePitch="360"/>
        </w:sectPr>
      </w:pPr>
    </w:p>
    <w:p w14:paraId="5DC09A8E" w14:textId="77777777" w:rsidR="00151654" w:rsidRPr="000A27B3" w:rsidRDefault="00151654">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M.3. </w:t>
      </w:r>
      <w:r>
        <w:rPr>
          <w:noProof/>
        </w:rPr>
        <w:tab/>
      </w:r>
      <w:r>
        <w:rPr>
          <w:rFonts w:ascii="Times New Roman" w:hAnsi="Times New Roman"/>
          <w:b/>
          <w:noProof/>
          <w:sz w:val="24"/>
        </w:rPr>
        <w:t xml:space="preserve">Descrierea reformelor și a investițiilor pentru care se prevede acordarea împrumutului </w:t>
      </w:r>
    </w:p>
    <w:p w14:paraId="40F61872"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Reforma 6. Îmbunătățirea legislației privind economia socială</w:t>
      </w:r>
      <w:r>
        <w:rPr>
          <w:rFonts w:ascii="Times New Roman" w:hAnsi="Times New Roman"/>
          <w:noProof/>
          <w:u w:val="single"/>
        </w:rPr>
        <w:t xml:space="preserve"> </w:t>
      </w:r>
    </w:p>
    <w:p w14:paraId="3C14A59B"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mobiliza într-o mai mare măsură potențialul întreprinderilor din cadrul economiei sociale de a inova și de a contribui la provocările sociale și de mediu. </w:t>
      </w:r>
    </w:p>
    <w:p w14:paraId="7F21FD20" w14:textId="74AFFBAB"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fi realizată prin modificarea Legii nr. 219/2015 privind economia socială și a normelor metodologice în vederea simplificării procedurii de înregistrare a întreprinderilor sociale, a asigurării integrării efective a acestora în politicile de ocupare a forței de muncă, precum și a măsurilor active de ocupare a forței de muncă, inclusiv prevederea unor măsuri de îmbunătățire a sustenabilității structurilor economiei sociale, de exemplu prin regimuri preferențiale de achiziții publice pentru bunuri și servicii furnizate de întreprinderile din economia socială.</w:t>
      </w:r>
      <w:r w:rsidR="004C4C72">
        <w:rPr>
          <w:rFonts w:ascii="Times New Roman" w:hAnsi="Times New Roman"/>
          <w:noProof/>
          <w:sz w:val="24"/>
        </w:rPr>
        <w:t xml:space="preserve"> </w:t>
      </w:r>
    </w:p>
    <w:p w14:paraId="55F8C25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iunie 2022.</w:t>
      </w:r>
    </w:p>
    <w:p w14:paraId="4343637C"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Reforma 7. Reforma serviciilor de îngrijire pe termen lung pentru persoanele în vârstă</w:t>
      </w:r>
    </w:p>
    <w:p w14:paraId="0B4C5F85"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îmbunătăți calitatea serviciilor de îngrijire pe termen lung pentru persoanele în vârstă. </w:t>
      </w:r>
    </w:p>
    <w:p w14:paraId="0BF93222" w14:textId="77777777" w:rsidR="00151654" w:rsidRPr="000A27B3" w:rsidRDefault="00151654">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va fi realizată printr-un act legislativ care va pune în aplicare strategia, inclusiv politicile de îmbătrânire activă, nevoile medicale de îngrijire pe termen lung și serviciile comunitare pentru persoanele în vârstă. Actul legislativ va cuprinde, printre altele: o sursă stabilă identificată de finanțare a măsurilor, un mecanism de guvernanță cu responsabilități clare atribuite autorităților publice la nivel național și local, un mecanism de plată a fondurilor condiționat de realizarea indicatorilor-cheie de performanță asociați obiectivelor de politică și revizuirea standardelor minime de calitate ale serviciilor de îngrijire pe termen lung. Actul normativ se va baza, de asemenea, pe o cartografiere completă la nivel comunitar (comunal/orășenesc/județean) a populației în vârstă potențial dependente sau în situații de risc (de exemplu, sărăcie, probleme de sănătate, izolare, grad ridicat de dependență) în vederea stabilirii tipului de servicii de îngrijire pe termen lung necesare. </w:t>
      </w:r>
    </w:p>
    <w:p w14:paraId="7204FA6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31 decembrie 2024.</w:t>
      </w:r>
    </w:p>
    <w:p w14:paraId="4406EFCC" w14:textId="77777777" w:rsidR="00151654" w:rsidRPr="000A27B3" w:rsidRDefault="00151654">
      <w:pPr>
        <w:pStyle w:val="Standard"/>
        <w:spacing w:before="240"/>
        <w:jc w:val="both"/>
        <w:rPr>
          <w:rFonts w:ascii="Times New Roman" w:eastAsiaTheme="majorEastAsia" w:hAnsi="Times New Roman" w:cs="Times New Roman"/>
          <w:bCs/>
          <w:noProof/>
          <w:u w:val="single"/>
        </w:rPr>
      </w:pPr>
      <w:r>
        <w:rPr>
          <w:noProof/>
          <w:u w:val="single"/>
        </w:rPr>
        <w:t xml:space="preserve">Investiția 4. Crearea unei rețele de centre de îngrijire de zi și de reabilitare pentru persoanele în vârstă </w:t>
      </w:r>
    </w:p>
    <w:p w14:paraId="592A4FBB"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Obiectivul investiției este de a oferi acces la servicii de îngrijire pe termen lung de calitate pentru persoanele în vârstă prin intermediul unei rețele de centre de îngrijire de zi și de reabilitare. Investiția va permite punerea în funcțiune a unei rețele de 71 de centre de servicii de zi. Centrele vor oferi asistență socială și servicii de reabilitare, iar fiecare va avea cel puțin o echipă mobilă de furnizori de servicii pentru persoanele în vârstă care nu se pot deplasa la centru. Acestea se vor baza pe cartografierea care urmează să fie efectuată în conformitate cu Strategia națională privind îngrijirea pe termen lung.</w:t>
      </w:r>
    </w:p>
    <w:p w14:paraId="4741A4FB" w14:textId="77777777" w:rsidR="00151654" w:rsidRPr="000A27B3" w:rsidRDefault="00151654">
      <w:pPr>
        <w:spacing w:after="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2026.</w:t>
      </w:r>
    </w:p>
    <w:p w14:paraId="3C63082D" w14:textId="77777777" w:rsidR="00151654" w:rsidRPr="009F1DC7" w:rsidRDefault="00151654">
      <w:pPr>
        <w:spacing w:after="0" w:line="240" w:lineRule="auto"/>
        <w:jc w:val="both"/>
        <w:rPr>
          <w:rFonts w:ascii="Times New Roman" w:hAnsi="Times New Roman" w:cs="Times New Roman"/>
          <w:noProof/>
          <w:sz w:val="24"/>
          <w:szCs w:val="24"/>
          <w:lang w:val="fr-FR"/>
        </w:rPr>
        <w:sectPr w:rsidR="00151654" w:rsidRPr="009F1DC7">
          <w:headerReference w:type="even" r:id="rId277"/>
          <w:headerReference w:type="default" r:id="rId278"/>
          <w:footerReference w:type="even" r:id="rId279"/>
          <w:footerReference w:type="default" r:id="rId280"/>
          <w:headerReference w:type="first" r:id="rId281"/>
          <w:footerReference w:type="first" r:id="rId282"/>
          <w:pgSz w:w="11907" w:h="16839"/>
          <w:pgMar w:top="1134" w:right="1417" w:bottom="1134" w:left="1417" w:header="709" w:footer="709" w:gutter="0"/>
          <w:cols w:space="720"/>
          <w:docGrid w:linePitch="360"/>
        </w:sectPr>
      </w:pPr>
    </w:p>
    <w:p w14:paraId="3E3D7BC4" w14:textId="77777777" w:rsidR="00151654" w:rsidRPr="000A27B3" w:rsidRDefault="00151654">
      <w:pPr>
        <w:keepNext/>
        <w:spacing w:before="120" w:after="120" w:line="240" w:lineRule="auto"/>
        <w:ind w:left="709"/>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M.4. </w:t>
      </w:r>
      <w:r>
        <w:rPr>
          <w:noProof/>
        </w:rPr>
        <w:tab/>
      </w:r>
      <w:r>
        <w:rPr>
          <w:rFonts w:ascii="Times New Roman" w:hAnsi="Times New Roman"/>
          <w:b/>
          <w:noProof/>
          <w:sz w:val="24"/>
        </w:rPr>
        <w:t xml:space="preserve">Jaloane, ținte, indicatori și calendarul de monitorizare și implementare aplicabile împrumutului </w:t>
      </w:r>
    </w:p>
    <w:tbl>
      <w:tblPr>
        <w:tblW w:w="15730" w:type="dxa"/>
        <w:jc w:val="center"/>
        <w:tblLayout w:type="fixed"/>
        <w:tblLook w:val="04A0" w:firstRow="1" w:lastRow="0" w:firstColumn="1" w:lastColumn="0" w:noHBand="0" w:noVBand="1"/>
      </w:tblPr>
      <w:tblGrid>
        <w:gridCol w:w="846"/>
        <w:gridCol w:w="1836"/>
        <w:gridCol w:w="1282"/>
        <w:gridCol w:w="1693"/>
        <w:gridCol w:w="1597"/>
        <w:gridCol w:w="1246"/>
        <w:gridCol w:w="1134"/>
        <w:gridCol w:w="920"/>
        <w:gridCol w:w="1065"/>
        <w:gridCol w:w="850"/>
        <w:gridCol w:w="3261"/>
      </w:tblGrid>
      <w:tr w:rsidR="000A27B3" w:rsidRPr="000A27B3" w14:paraId="28AA4C11" w14:textId="77777777">
        <w:trPr>
          <w:trHeight w:val="939"/>
          <w:tblHeader/>
          <w:jc w:val="center"/>
        </w:trPr>
        <w:tc>
          <w:tcPr>
            <w:tcW w:w="84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7C1EABD"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83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5573B03"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82"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E7FC093"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Jalon/țintă</w:t>
            </w:r>
          </w:p>
        </w:tc>
        <w:tc>
          <w:tcPr>
            <w:tcW w:w="1693"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60BA31D"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597"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77D75F6" w14:textId="32A7266F"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300" w:type="dxa"/>
            <w:gridSpan w:val="3"/>
            <w:tcBorders>
              <w:top w:val="single" w:sz="4" w:space="0" w:color="auto"/>
              <w:left w:val="nil"/>
              <w:bottom w:val="single" w:sz="4" w:space="0" w:color="auto"/>
              <w:right w:val="single" w:sz="4" w:space="0" w:color="auto"/>
            </w:tcBorders>
            <w:shd w:val="clear" w:color="auto" w:fill="BDD7EE"/>
            <w:vAlign w:val="center"/>
            <w:hideMark/>
          </w:tcPr>
          <w:p w14:paraId="332343D2" w14:textId="030918BB"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1915" w:type="dxa"/>
            <w:gridSpan w:val="2"/>
            <w:tcBorders>
              <w:top w:val="single" w:sz="4" w:space="0" w:color="auto"/>
              <w:left w:val="nil"/>
              <w:bottom w:val="single" w:sz="4" w:space="0" w:color="auto"/>
              <w:right w:val="single" w:sz="4" w:space="0" w:color="auto"/>
            </w:tcBorders>
            <w:shd w:val="clear" w:color="auto" w:fill="BDD7EE"/>
            <w:vAlign w:val="center"/>
            <w:hideMark/>
          </w:tcPr>
          <w:p w14:paraId="6AEDA6E1"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jaloanelor/țintelor</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27EC8A"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3F218879" w14:textId="77777777">
        <w:trPr>
          <w:trHeight w:val="122"/>
          <w:tblHeader/>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14:paraId="2834EB2A"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836" w:type="dxa"/>
            <w:vMerge/>
            <w:tcBorders>
              <w:top w:val="single" w:sz="4" w:space="0" w:color="auto"/>
              <w:left w:val="single" w:sz="4" w:space="0" w:color="auto"/>
              <w:bottom w:val="single" w:sz="4" w:space="0" w:color="000000"/>
              <w:right w:val="single" w:sz="4" w:space="0" w:color="auto"/>
            </w:tcBorders>
            <w:vAlign w:val="center"/>
            <w:hideMark/>
          </w:tcPr>
          <w:p w14:paraId="112E6C93"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282" w:type="dxa"/>
            <w:vMerge/>
            <w:tcBorders>
              <w:top w:val="single" w:sz="4" w:space="0" w:color="auto"/>
              <w:left w:val="single" w:sz="4" w:space="0" w:color="auto"/>
              <w:bottom w:val="single" w:sz="4" w:space="0" w:color="000000"/>
              <w:right w:val="single" w:sz="4" w:space="0" w:color="auto"/>
            </w:tcBorders>
            <w:vAlign w:val="center"/>
            <w:hideMark/>
          </w:tcPr>
          <w:p w14:paraId="3D07ED5D"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693" w:type="dxa"/>
            <w:vMerge/>
            <w:tcBorders>
              <w:top w:val="single" w:sz="4" w:space="0" w:color="auto"/>
              <w:left w:val="nil"/>
              <w:bottom w:val="single" w:sz="4" w:space="0" w:color="000000"/>
              <w:right w:val="single" w:sz="4" w:space="0" w:color="auto"/>
            </w:tcBorders>
            <w:vAlign w:val="center"/>
            <w:hideMark/>
          </w:tcPr>
          <w:p w14:paraId="7429D7D5"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597" w:type="dxa"/>
            <w:vMerge/>
            <w:tcBorders>
              <w:top w:val="single" w:sz="4" w:space="0" w:color="auto"/>
              <w:left w:val="single" w:sz="4" w:space="0" w:color="auto"/>
              <w:bottom w:val="single" w:sz="4" w:space="0" w:color="000000"/>
              <w:right w:val="single" w:sz="4" w:space="0" w:color="auto"/>
            </w:tcBorders>
            <w:vAlign w:val="center"/>
            <w:hideMark/>
          </w:tcPr>
          <w:p w14:paraId="0449F86C" w14:textId="77777777" w:rsidR="00151654" w:rsidRPr="009F1DC7" w:rsidRDefault="00151654">
            <w:pPr>
              <w:spacing w:after="0" w:line="240" w:lineRule="auto"/>
              <w:jc w:val="both"/>
              <w:rPr>
                <w:rFonts w:ascii="Times New Roman" w:eastAsia="Times New Roman" w:hAnsi="Times New Roman" w:cs="Times New Roman"/>
                <w:b/>
                <w:bCs/>
                <w:noProof/>
                <w:sz w:val="24"/>
                <w:szCs w:val="24"/>
                <w:lang w:eastAsia="en-GB"/>
              </w:rPr>
            </w:pPr>
          </w:p>
        </w:tc>
        <w:tc>
          <w:tcPr>
            <w:tcW w:w="1246" w:type="dxa"/>
            <w:tcBorders>
              <w:top w:val="nil"/>
              <w:left w:val="nil"/>
              <w:bottom w:val="single" w:sz="4" w:space="0" w:color="auto"/>
              <w:right w:val="single" w:sz="4" w:space="0" w:color="auto"/>
            </w:tcBorders>
            <w:shd w:val="clear" w:color="auto" w:fill="BDD7EE"/>
            <w:vAlign w:val="center"/>
            <w:hideMark/>
          </w:tcPr>
          <w:p w14:paraId="24CC0C65" w14:textId="77777777" w:rsidR="00151654" w:rsidRPr="000A27B3" w:rsidRDefault="00151654" w:rsidP="00984CFB">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134" w:type="dxa"/>
            <w:tcBorders>
              <w:top w:val="nil"/>
              <w:left w:val="nil"/>
              <w:bottom w:val="single" w:sz="4" w:space="0" w:color="auto"/>
              <w:right w:val="single" w:sz="4" w:space="0" w:color="auto"/>
            </w:tcBorders>
            <w:shd w:val="clear" w:color="auto" w:fill="BDD7EE"/>
            <w:vAlign w:val="center"/>
            <w:hideMark/>
          </w:tcPr>
          <w:p w14:paraId="43044B45"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920" w:type="dxa"/>
            <w:tcBorders>
              <w:top w:val="nil"/>
              <w:left w:val="nil"/>
              <w:bottom w:val="single" w:sz="4" w:space="0" w:color="auto"/>
              <w:right w:val="single" w:sz="4" w:space="0" w:color="auto"/>
            </w:tcBorders>
            <w:shd w:val="clear" w:color="auto" w:fill="BDD7EE"/>
            <w:vAlign w:val="center"/>
            <w:hideMark/>
          </w:tcPr>
          <w:p w14:paraId="16C861F9"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065" w:type="dxa"/>
            <w:tcBorders>
              <w:top w:val="nil"/>
              <w:left w:val="nil"/>
              <w:bottom w:val="single" w:sz="4" w:space="0" w:color="auto"/>
              <w:right w:val="single" w:sz="4" w:space="0" w:color="auto"/>
            </w:tcBorders>
            <w:shd w:val="clear" w:color="auto" w:fill="BDD7EE"/>
            <w:vAlign w:val="center"/>
            <w:hideMark/>
          </w:tcPr>
          <w:p w14:paraId="20634103" w14:textId="77777777" w:rsidR="00151654" w:rsidRPr="000A27B3" w:rsidRDefault="00151654">
            <w:pPr>
              <w:spacing w:after="0" w:line="240" w:lineRule="auto"/>
              <w:jc w:val="both"/>
              <w:rPr>
                <w:rFonts w:ascii="Times New Roman" w:eastAsia="Times New Roman" w:hAnsi="Times New Roman" w:cs="Times New Roman"/>
                <w:b/>
                <w:noProof/>
                <w:sz w:val="24"/>
              </w:rPr>
            </w:pPr>
            <w:r>
              <w:rPr>
                <w:rFonts w:ascii="Times New Roman" w:hAnsi="Times New Roman"/>
                <w:b/>
                <w:noProof/>
                <w:sz w:val="24"/>
              </w:rPr>
              <w:t>Trimestru</w:t>
            </w:r>
          </w:p>
        </w:tc>
        <w:tc>
          <w:tcPr>
            <w:tcW w:w="850" w:type="dxa"/>
            <w:tcBorders>
              <w:top w:val="nil"/>
              <w:left w:val="nil"/>
              <w:bottom w:val="single" w:sz="4" w:space="0" w:color="auto"/>
              <w:right w:val="single" w:sz="4" w:space="0" w:color="auto"/>
            </w:tcBorders>
            <w:shd w:val="clear" w:color="auto" w:fill="BDD7EE"/>
            <w:vAlign w:val="center"/>
            <w:hideMark/>
          </w:tcPr>
          <w:p w14:paraId="1AC1C25F" w14:textId="77777777" w:rsidR="00151654" w:rsidRPr="000A27B3" w:rsidRDefault="00151654">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64A656B" w14:textId="77777777" w:rsidR="00151654" w:rsidRPr="000A27B3" w:rsidRDefault="00151654">
            <w:pPr>
              <w:spacing w:after="0" w:line="240" w:lineRule="auto"/>
              <w:jc w:val="both"/>
              <w:rPr>
                <w:rFonts w:ascii="Times New Roman" w:eastAsia="Times New Roman" w:hAnsi="Times New Roman" w:cs="Times New Roman"/>
                <w:b/>
                <w:bCs/>
                <w:noProof/>
                <w:sz w:val="24"/>
                <w:szCs w:val="24"/>
                <w:lang w:val="en-GB" w:eastAsia="en-GB"/>
              </w:rPr>
            </w:pPr>
          </w:p>
        </w:tc>
      </w:tr>
      <w:tr w:rsidR="000A27B3" w:rsidRPr="000A27B3" w14:paraId="261E309E" w14:textId="77777777">
        <w:trPr>
          <w:trHeight w:val="313"/>
          <w:jc w:val="center"/>
        </w:trPr>
        <w:tc>
          <w:tcPr>
            <w:tcW w:w="846" w:type="dxa"/>
            <w:tcBorders>
              <w:top w:val="nil"/>
              <w:left w:val="single" w:sz="4" w:space="0" w:color="auto"/>
              <w:bottom w:val="single" w:sz="4" w:space="0" w:color="auto"/>
              <w:right w:val="single" w:sz="4" w:space="0" w:color="auto"/>
            </w:tcBorders>
            <w:shd w:val="clear" w:color="auto" w:fill="C6EFCE"/>
            <w:noWrap/>
            <w:hideMark/>
          </w:tcPr>
          <w:p w14:paraId="047D5231" w14:textId="77777777" w:rsidR="00151654" w:rsidRPr="000A27B3" w:rsidRDefault="00151654">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398</w:t>
            </w:r>
          </w:p>
        </w:tc>
        <w:tc>
          <w:tcPr>
            <w:tcW w:w="1836" w:type="dxa"/>
            <w:tcBorders>
              <w:top w:val="nil"/>
              <w:left w:val="nil"/>
              <w:bottom w:val="single" w:sz="4" w:space="0" w:color="auto"/>
              <w:right w:val="single" w:sz="4" w:space="0" w:color="auto"/>
            </w:tcBorders>
            <w:shd w:val="clear" w:color="auto" w:fill="C6EFCE"/>
            <w:noWrap/>
          </w:tcPr>
          <w:p w14:paraId="56C6D92C"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6. Îmbunătățirea legislației privind economia socială </w:t>
            </w:r>
          </w:p>
        </w:tc>
        <w:tc>
          <w:tcPr>
            <w:tcW w:w="1282" w:type="dxa"/>
            <w:tcBorders>
              <w:top w:val="nil"/>
              <w:left w:val="nil"/>
              <w:bottom w:val="single" w:sz="4" w:space="0" w:color="auto"/>
              <w:right w:val="single" w:sz="4" w:space="0" w:color="auto"/>
            </w:tcBorders>
            <w:shd w:val="clear" w:color="auto" w:fill="C6EFCE"/>
            <w:noWrap/>
            <w:hideMark/>
          </w:tcPr>
          <w:p w14:paraId="25864FBE"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93" w:type="dxa"/>
            <w:tcBorders>
              <w:top w:val="nil"/>
              <w:left w:val="nil"/>
              <w:bottom w:val="single" w:sz="4" w:space="0" w:color="auto"/>
              <w:right w:val="single" w:sz="4" w:space="0" w:color="auto"/>
            </w:tcBorders>
            <w:shd w:val="clear" w:color="auto" w:fill="C6EFCE"/>
            <w:noWrap/>
          </w:tcPr>
          <w:p w14:paraId="2CADEEF0"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modificării Legii nr. 219/2015 privind economia socială și a normelor de aplicare</w:t>
            </w:r>
          </w:p>
        </w:tc>
        <w:tc>
          <w:tcPr>
            <w:tcW w:w="1597" w:type="dxa"/>
            <w:tcBorders>
              <w:top w:val="nil"/>
              <w:left w:val="nil"/>
              <w:bottom w:val="single" w:sz="4" w:space="0" w:color="auto"/>
              <w:right w:val="single" w:sz="4" w:space="0" w:color="auto"/>
            </w:tcBorders>
            <w:shd w:val="clear" w:color="auto" w:fill="C6EFCE"/>
            <w:noWrap/>
            <w:hideMark/>
          </w:tcPr>
          <w:p w14:paraId="27B42888"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modificării Legii nr. 219/2015 privind economia socială și a normelor de aplicare</w:t>
            </w:r>
          </w:p>
        </w:tc>
        <w:tc>
          <w:tcPr>
            <w:tcW w:w="1246" w:type="dxa"/>
            <w:tcBorders>
              <w:top w:val="nil"/>
              <w:left w:val="nil"/>
              <w:bottom w:val="single" w:sz="4" w:space="0" w:color="auto"/>
              <w:right w:val="single" w:sz="4" w:space="0" w:color="auto"/>
            </w:tcBorders>
            <w:shd w:val="clear" w:color="auto" w:fill="C6EFCE"/>
            <w:noWrap/>
            <w:hideMark/>
          </w:tcPr>
          <w:p w14:paraId="4583BDDA" w14:textId="77777777" w:rsidR="00151654" w:rsidRPr="000A27B3" w:rsidRDefault="00151654">
            <w:pPr>
              <w:spacing w:after="0" w:line="240" w:lineRule="auto"/>
              <w:jc w:val="both"/>
              <w:rPr>
                <w:rFonts w:ascii="Times New Roman" w:eastAsia="Times New Roman" w:hAnsi="Times New Roman" w:cs="Times New Roman"/>
                <w:noProof/>
                <w:sz w:val="24"/>
                <w:szCs w:val="24"/>
                <w:lang w:val="en-GB" w:eastAsia="en-GB"/>
              </w:rPr>
            </w:pPr>
          </w:p>
        </w:tc>
        <w:tc>
          <w:tcPr>
            <w:tcW w:w="1134" w:type="dxa"/>
            <w:tcBorders>
              <w:top w:val="nil"/>
              <w:left w:val="nil"/>
              <w:bottom w:val="single" w:sz="4" w:space="0" w:color="auto"/>
              <w:right w:val="single" w:sz="4" w:space="0" w:color="auto"/>
            </w:tcBorders>
            <w:shd w:val="clear" w:color="auto" w:fill="C6EFCE"/>
            <w:noWrap/>
          </w:tcPr>
          <w:p w14:paraId="6A1722DE" w14:textId="77777777" w:rsidR="00151654" w:rsidRPr="000A27B3" w:rsidRDefault="00151654">
            <w:pPr>
              <w:spacing w:after="0" w:line="240" w:lineRule="auto"/>
              <w:jc w:val="both"/>
              <w:rPr>
                <w:rFonts w:ascii="Times New Roman" w:eastAsia="Times New Roman" w:hAnsi="Times New Roman" w:cs="Times New Roman"/>
                <w:noProof/>
                <w:sz w:val="24"/>
                <w:szCs w:val="24"/>
                <w:lang w:val="en-GB" w:eastAsia="en-GB"/>
              </w:rPr>
            </w:pPr>
          </w:p>
        </w:tc>
        <w:tc>
          <w:tcPr>
            <w:tcW w:w="920" w:type="dxa"/>
            <w:tcBorders>
              <w:top w:val="nil"/>
              <w:left w:val="nil"/>
              <w:bottom w:val="single" w:sz="4" w:space="0" w:color="auto"/>
              <w:right w:val="single" w:sz="4" w:space="0" w:color="auto"/>
            </w:tcBorders>
            <w:shd w:val="clear" w:color="auto" w:fill="C6EFCE"/>
            <w:noWrap/>
          </w:tcPr>
          <w:p w14:paraId="14A19437" w14:textId="77777777" w:rsidR="00151654" w:rsidRPr="000A27B3" w:rsidRDefault="00151654">
            <w:pPr>
              <w:spacing w:after="0" w:line="240" w:lineRule="auto"/>
              <w:jc w:val="both"/>
              <w:rPr>
                <w:rFonts w:ascii="Times New Roman" w:eastAsia="Times New Roman" w:hAnsi="Times New Roman" w:cs="Times New Roman"/>
                <w:noProof/>
                <w:sz w:val="24"/>
                <w:szCs w:val="24"/>
                <w:lang w:val="en-GB" w:eastAsia="en-GB"/>
              </w:rPr>
            </w:pPr>
          </w:p>
        </w:tc>
        <w:tc>
          <w:tcPr>
            <w:tcW w:w="1065" w:type="dxa"/>
            <w:tcBorders>
              <w:top w:val="nil"/>
              <w:left w:val="nil"/>
              <w:bottom w:val="single" w:sz="4" w:space="0" w:color="auto"/>
              <w:right w:val="single" w:sz="4" w:space="0" w:color="auto"/>
            </w:tcBorders>
            <w:shd w:val="clear" w:color="auto" w:fill="C6EFCE"/>
            <w:noWrap/>
            <w:hideMark/>
          </w:tcPr>
          <w:p w14:paraId="15BFB53C"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850" w:type="dxa"/>
            <w:tcBorders>
              <w:top w:val="nil"/>
              <w:left w:val="nil"/>
              <w:bottom w:val="single" w:sz="4" w:space="0" w:color="auto"/>
              <w:right w:val="single" w:sz="4" w:space="0" w:color="auto"/>
            </w:tcBorders>
            <w:shd w:val="clear" w:color="auto" w:fill="C6EFCE"/>
            <w:noWrap/>
            <w:hideMark/>
          </w:tcPr>
          <w:p w14:paraId="76987B90"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261" w:type="dxa"/>
            <w:tcBorders>
              <w:top w:val="nil"/>
              <w:left w:val="nil"/>
              <w:bottom w:val="single" w:sz="4" w:space="0" w:color="auto"/>
              <w:right w:val="single" w:sz="4" w:space="0" w:color="auto"/>
            </w:tcBorders>
            <w:shd w:val="clear" w:color="auto" w:fill="C6EFCE"/>
            <w:noWrap/>
            <w:hideMark/>
          </w:tcPr>
          <w:p w14:paraId="52C92910"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Reglementările modificate vor cuprinde:</w:t>
            </w:r>
          </w:p>
          <w:p w14:paraId="0A393E6E" w14:textId="77777777" w:rsidR="00151654" w:rsidRPr="000A27B3" w:rsidRDefault="00151654" w:rsidP="00151654">
            <w:pPr>
              <w:pStyle w:val="ListParagraph"/>
              <w:numPr>
                <w:ilvl w:val="0"/>
                <w:numId w:val="97"/>
              </w:numPr>
              <w:spacing w:after="0" w:line="240" w:lineRule="auto"/>
              <w:ind w:left="177" w:hanging="219"/>
              <w:jc w:val="both"/>
              <w:rPr>
                <w:rFonts w:ascii="Times New Roman" w:hAnsi="Times New Roman" w:cs="Times New Roman"/>
                <w:noProof/>
                <w:sz w:val="24"/>
                <w:szCs w:val="24"/>
              </w:rPr>
            </w:pPr>
            <w:r>
              <w:rPr>
                <w:rFonts w:ascii="Times New Roman" w:hAnsi="Times New Roman"/>
                <w:noProof/>
                <w:sz w:val="24"/>
              </w:rPr>
              <w:t>o procedură simplificată de înregistrare a întreprinderilor sociale;</w:t>
            </w:r>
          </w:p>
          <w:p w14:paraId="511CBFDA" w14:textId="77777777" w:rsidR="00151654" w:rsidRPr="000A27B3" w:rsidRDefault="00151654" w:rsidP="00151654">
            <w:pPr>
              <w:pStyle w:val="ListParagraph"/>
              <w:numPr>
                <w:ilvl w:val="0"/>
                <w:numId w:val="97"/>
              </w:numPr>
              <w:spacing w:before="120" w:after="0" w:line="240" w:lineRule="auto"/>
              <w:ind w:left="177" w:hanging="219"/>
              <w:jc w:val="both"/>
              <w:rPr>
                <w:rFonts w:ascii="Times New Roman" w:hAnsi="Times New Roman" w:cs="Times New Roman"/>
                <w:noProof/>
                <w:sz w:val="24"/>
                <w:szCs w:val="24"/>
              </w:rPr>
            </w:pPr>
            <w:r>
              <w:rPr>
                <w:rFonts w:ascii="Times New Roman" w:hAnsi="Times New Roman"/>
                <w:noProof/>
                <w:sz w:val="24"/>
              </w:rPr>
              <w:t>o mai bună direcționare a activităților economice și a utilizării forței de muncă, astfel încât să răspundă mai bine nevoilor grupurilor vulnerabile și ale comunităților marginalizate;</w:t>
            </w:r>
          </w:p>
          <w:p w14:paraId="56F8E962" w14:textId="77777777" w:rsidR="00151654" w:rsidRPr="000A27B3" w:rsidRDefault="00151654" w:rsidP="00151654">
            <w:pPr>
              <w:pStyle w:val="ListParagraph"/>
              <w:numPr>
                <w:ilvl w:val="0"/>
                <w:numId w:val="97"/>
              </w:numPr>
              <w:spacing w:before="120" w:after="0" w:line="240" w:lineRule="auto"/>
              <w:ind w:left="177" w:hanging="219"/>
              <w:jc w:val="both"/>
              <w:rPr>
                <w:rFonts w:ascii="Times New Roman" w:hAnsi="Times New Roman" w:cs="Times New Roman"/>
                <w:noProof/>
                <w:sz w:val="24"/>
                <w:szCs w:val="24"/>
              </w:rPr>
            </w:pPr>
            <w:r>
              <w:rPr>
                <w:rFonts w:ascii="Times New Roman" w:hAnsi="Times New Roman"/>
                <w:noProof/>
                <w:sz w:val="24"/>
              </w:rPr>
              <w:t xml:space="preserve">măsuri identificate pentru îmbunătățirea sustenabilității structurilor economiei sociale, de exemplu regimuri preferențiale de achiziții publice pentru bunuri și servicii. </w:t>
            </w:r>
          </w:p>
        </w:tc>
      </w:tr>
      <w:tr w:rsidR="000A27B3" w:rsidRPr="000A27B3" w14:paraId="4F590280" w14:textId="77777777" w:rsidTr="00984CFB">
        <w:trPr>
          <w:trHeight w:val="313"/>
          <w:jc w:val="center"/>
        </w:trPr>
        <w:tc>
          <w:tcPr>
            <w:tcW w:w="846" w:type="dxa"/>
            <w:tcBorders>
              <w:top w:val="nil"/>
              <w:left w:val="single" w:sz="4" w:space="0" w:color="auto"/>
              <w:bottom w:val="single" w:sz="4" w:space="0" w:color="auto"/>
              <w:right w:val="single" w:sz="4" w:space="0" w:color="auto"/>
            </w:tcBorders>
            <w:shd w:val="clear" w:color="auto" w:fill="C6EFCE"/>
            <w:noWrap/>
            <w:hideMark/>
          </w:tcPr>
          <w:p w14:paraId="6F3BD2F8" w14:textId="77777777" w:rsidR="00151654" w:rsidRPr="000A27B3" w:rsidRDefault="00151654">
            <w:pPr>
              <w:spacing w:after="0" w:line="240" w:lineRule="auto"/>
              <w:jc w:val="center"/>
              <w:rPr>
                <w:rFonts w:ascii="Times New Roman" w:eastAsia="Times New Roman" w:hAnsi="Times New Roman" w:cs="Times New Roman"/>
                <w:noProof/>
                <w:sz w:val="24"/>
              </w:rPr>
            </w:pPr>
            <w:r>
              <w:rPr>
                <w:rFonts w:ascii="Times New Roman" w:hAnsi="Times New Roman"/>
                <w:noProof/>
                <w:sz w:val="24"/>
              </w:rPr>
              <w:t>399</w:t>
            </w:r>
          </w:p>
        </w:tc>
        <w:tc>
          <w:tcPr>
            <w:tcW w:w="1836" w:type="dxa"/>
            <w:tcBorders>
              <w:top w:val="nil"/>
              <w:left w:val="nil"/>
              <w:bottom w:val="single" w:sz="4" w:space="0" w:color="auto"/>
              <w:right w:val="single" w:sz="4" w:space="0" w:color="auto"/>
            </w:tcBorders>
            <w:shd w:val="clear" w:color="auto" w:fill="C6EFCE"/>
            <w:noWrap/>
            <w:hideMark/>
          </w:tcPr>
          <w:p w14:paraId="65196F6C"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7. Reforma serviciilor de îngrijire pe termen lung pentru persoanele în vârstă</w:t>
            </w:r>
          </w:p>
        </w:tc>
        <w:tc>
          <w:tcPr>
            <w:tcW w:w="1282" w:type="dxa"/>
            <w:tcBorders>
              <w:top w:val="nil"/>
              <w:left w:val="nil"/>
              <w:bottom w:val="single" w:sz="4" w:space="0" w:color="auto"/>
              <w:right w:val="single" w:sz="4" w:space="0" w:color="auto"/>
            </w:tcBorders>
            <w:shd w:val="clear" w:color="auto" w:fill="C6EFCE"/>
            <w:noWrap/>
            <w:hideMark/>
          </w:tcPr>
          <w:p w14:paraId="1BD481D7"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Jalon</w:t>
            </w:r>
          </w:p>
        </w:tc>
        <w:tc>
          <w:tcPr>
            <w:tcW w:w="1693" w:type="dxa"/>
            <w:tcBorders>
              <w:top w:val="nil"/>
              <w:left w:val="nil"/>
              <w:bottom w:val="single" w:sz="4" w:space="0" w:color="auto"/>
              <w:right w:val="single" w:sz="4" w:space="0" w:color="auto"/>
            </w:tcBorders>
            <w:shd w:val="clear" w:color="auto" w:fill="C6EFCE"/>
            <w:noWrap/>
            <w:hideMark/>
          </w:tcPr>
          <w:p w14:paraId="4285D565"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unei legi pentru adoptarea și implementarea Strategiei naționale privind îngrijirea pe termen lung</w:t>
            </w:r>
          </w:p>
        </w:tc>
        <w:tc>
          <w:tcPr>
            <w:tcW w:w="1597" w:type="dxa"/>
            <w:tcBorders>
              <w:top w:val="nil"/>
              <w:left w:val="nil"/>
              <w:bottom w:val="single" w:sz="4" w:space="0" w:color="auto"/>
              <w:right w:val="single" w:sz="4" w:space="0" w:color="auto"/>
            </w:tcBorders>
            <w:shd w:val="clear" w:color="auto" w:fill="C6EFCE"/>
            <w:noWrap/>
            <w:hideMark/>
          </w:tcPr>
          <w:p w14:paraId="235857B0"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Dispoziție legală care indică intrarea în vigoare a actului legislativ pentru sprijinirea punerii în aplicare a Strategiei naționale adoptate privind îngrijirea pe termen lung </w:t>
            </w:r>
          </w:p>
        </w:tc>
        <w:tc>
          <w:tcPr>
            <w:tcW w:w="1246" w:type="dxa"/>
            <w:tcBorders>
              <w:top w:val="nil"/>
              <w:left w:val="nil"/>
              <w:bottom w:val="single" w:sz="4" w:space="0" w:color="auto"/>
              <w:right w:val="single" w:sz="4" w:space="0" w:color="auto"/>
            </w:tcBorders>
            <w:shd w:val="clear" w:color="auto" w:fill="C6EFCE"/>
            <w:noWrap/>
            <w:hideMark/>
          </w:tcPr>
          <w:p w14:paraId="0F28C62B" w14:textId="77777777" w:rsidR="00151654" w:rsidRPr="009F1DC7" w:rsidRDefault="00151654">
            <w:pPr>
              <w:spacing w:after="0" w:line="240" w:lineRule="auto"/>
              <w:jc w:val="both"/>
              <w:rPr>
                <w:rFonts w:ascii="Times New Roman" w:eastAsia="Times New Roman" w:hAnsi="Times New Roman" w:cs="Times New Roman"/>
                <w:noProof/>
                <w:sz w:val="24"/>
                <w:szCs w:val="24"/>
                <w:lang w:eastAsia="en-GB"/>
              </w:rPr>
            </w:pPr>
          </w:p>
        </w:tc>
        <w:tc>
          <w:tcPr>
            <w:tcW w:w="1134" w:type="dxa"/>
            <w:tcBorders>
              <w:top w:val="nil"/>
              <w:left w:val="nil"/>
              <w:bottom w:val="single" w:sz="4" w:space="0" w:color="auto"/>
              <w:right w:val="single" w:sz="4" w:space="0" w:color="auto"/>
            </w:tcBorders>
            <w:shd w:val="clear" w:color="auto" w:fill="C6EFCE"/>
            <w:noWrap/>
            <w:hideMark/>
          </w:tcPr>
          <w:p w14:paraId="2A47212F"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920" w:type="dxa"/>
            <w:tcBorders>
              <w:top w:val="nil"/>
              <w:left w:val="nil"/>
              <w:bottom w:val="single" w:sz="4" w:space="0" w:color="auto"/>
              <w:right w:val="single" w:sz="4" w:space="0" w:color="auto"/>
            </w:tcBorders>
            <w:shd w:val="clear" w:color="auto" w:fill="C6EFCE"/>
            <w:noWrap/>
            <w:hideMark/>
          </w:tcPr>
          <w:p w14:paraId="05D0DF72"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65" w:type="dxa"/>
            <w:tcBorders>
              <w:top w:val="nil"/>
              <w:left w:val="nil"/>
              <w:bottom w:val="single" w:sz="4" w:space="0" w:color="auto"/>
              <w:right w:val="single" w:sz="4" w:space="0" w:color="auto"/>
            </w:tcBorders>
            <w:shd w:val="clear" w:color="auto" w:fill="C6EFCE"/>
            <w:noWrap/>
            <w:hideMark/>
          </w:tcPr>
          <w:p w14:paraId="3918C3F3"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T4</w:t>
            </w:r>
          </w:p>
        </w:tc>
        <w:tc>
          <w:tcPr>
            <w:tcW w:w="850" w:type="dxa"/>
            <w:tcBorders>
              <w:top w:val="nil"/>
              <w:left w:val="nil"/>
              <w:bottom w:val="single" w:sz="4" w:space="0" w:color="auto"/>
              <w:right w:val="single" w:sz="4" w:space="0" w:color="auto"/>
            </w:tcBorders>
            <w:shd w:val="clear" w:color="auto" w:fill="C6EFCE"/>
            <w:noWrap/>
            <w:hideMark/>
          </w:tcPr>
          <w:p w14:paraId="06220936"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2022</w:t>
            </w:r>
          </w:p>
        </w:tc>
        <w:tc>
          <w:tcPr>
            <w:tcW w:w="3261" w:type="dxa"/>
            <w:tcBorders>
              <w:top w:val="nil"/>
              <w:left w:val="nil"/>
              <w:bottom w:val="single" w:sz="4" w:space="0" w:color="auto"/>
              <w:right w:val="single" w:sz="4" w:space="0" w:color="auto"/>
            </w:tcBorders>
            <w:shd w:val="clear" w:color="auto" w:fill="C6EFCE"/>
            <w:noWrap/>
            <w:hideMark/>
          </w:tcPr>
          <w:p w14:paraId="62C81E7A" w14:textId="77777777" w:rsidR="00151654" w:rsidRPr="000A27B3" w:rsidRDefault="00151654">
            <w:pPr>
              <w:spacing w:after="0" w:line="240" w:lineRule="auto"/>
              <w:jc w:val="both"/>
              <w:rPr>
                <w:rFonts w:ascii="Times New Roman" w:hAnsi="Times New Roman" w:cs="Times New Roman"/>
                <w:noProof/>
                <w:sz w:val="24"/>
                <w:szCs w:val="24"/>
              </w:rPr>
            </w:pPr>
            <w:r>
              <w:rPr>
                <w:rFonts w:ascii="Times New Roman" w:hAnsi="Times New Roman"/>
                <w:noProof/>
                <w:sz w:val="24"/>
              </w:rPr>
              <w:t>Lege privind strategia adoptată, inclusiv privind măsurile de îmbătrânire activă, precum și măsurile de acoperire a nevoilor medicale de îngrijire pe termen lung și serviciile comunitare pentru persoanele în vârstă.</w:t>
            </w:r>
          </w:p>
          <w:p w14:paraId="32462190" w14:textId="77777777" w:rsidR="00151654" w:rsidRPr="000A27B3" w:rsidRDefault="00151654">
            <w:pPr>
              <w:spacing w:after="0" w:line="240" w:lineRule="auto"/>
              <w:jc w:val="both"/>
              <w:rPr>
                <w:rFonts w:ascii="Times New Roman" w:hAnsi="Times New Roman" w:cs="Times New Roman"/>
                <w:noProof/>
                <w:sz w:val="24"/>
              </w:rPr>
            </w:pPr>
            <w:r>
              <w:rPr>
                <w:rFonts w:ascii="Times New Roman" w:hAnsi="Times New Roman"/>
                <w:noProof/>
                <w:sz w:val="24"/>
              </w:rPr>
              <w:t xml:space="preserve">Legea va cuprinde: </w:t>
            </w:r>
          </w:p>
          <w:p w14:paraId="478252BA" w14:textId="77777777" w:rsidR="00151654" w:rsidRPr="000A27B3" w:rsidRDefault="00151654" w:rsidP="00151654">
            <w:pPr>
              <w:numPr>
                <w:ilvl w:val="0"/>
                <w:numId w:val="98"/>
              </w:numPr>
              <w:spacing w:after="0" w:line="240" w:lineRule="auto"/>
              <w:ind w:left="177" w:hanging="218"/>
              <w:contextualSpacing/>
              <w:jc w:val="both"/>
              <w:rPr>
                <w:rFonts w:ascii="Times New Roman" w:hAnsi="Times New Roman" w:cs="Times New Roman"/>
                <w:noProof/>
                <w:sz w:val="24"/>
                <w:szCs w:val="24"/>
              </w:rPr>
            </w:pPr>
            <w:r>
              <w:rPr>
                <w:rFonts w:ascii="Times New Roman" w:hAnsi="Times New Roman"/>
                <w:noProof/>
                <w:sz w:val="24"/>
              </w:rPr>
              <w:t xml:space="preserve">o sursă stabilă identificată de finanțare a măsurilor </w:t>
            </w:r>
          </w:p>
          <w:p w14:paraId="6DAC72FF" w14:textId="77777777" w:rsidR="00151654" w:rsidRPr="000A27B3" w:rsidRDefault="00151654" w:rsidP="00151654">
            <w:pPr>
              <w:numPr>
                <w:ilvl w:val="0"/>
                <w:numId w:val="98"/>
              </w:numPr>
              <w:spacing w:after="0" w:line="240" w:lineRule="auto"/>
              <w:ind w:left="177" w:hanging="218"/>
              <w:contextualSpacing/>
              <w:jc w:val="both"/>
              <w:rPr>
                <w:rFonts w:ascii="Times New Roman" w:hAnsi="Times New Roman" w:cs="Times New Roman"/>
                <w:noProof/>
                <w:sz w:val="24"/>
                <w:szCs w:val="24"/>
              </w:rPr>
            </w:pPr>
            <w:r>
              <w:rPr>
                <w:rFonts w:ascii="Times New Roman" w:hAnsi="Times New Roman"/>
                <w:noProof/>
                <w:sz w:val="24"/>
              </w:rPr>
              <w:t>un mecanism de guvernanță cu responsabilități clare atribuite autorităților publice la nivel național și local;</w:t>
            </w:r>
          </w:p>
          <w:p w14:paraId="0BC4A124" w14:textId="77777777" w:rsidR="00151654" w:rsidRPr="000A27B3" w:rsidRDefault="00151654" w:rsidP="00151654">
            <w:pPr>
              <w:numPr>
                <w:ilvl w:val="0"/>
                <w:numId w:val="98"/>
              </w:numPr>
              <w:spacing w:after="0" w:line="240" w:lineRule="auto"/>
              <w:ind w:left="177" w:hanging="218"/>
              <w:contextualSpacing/>
              <w:jc w:val="both"/>
              <w:rPr>
                <w:rFonts w:ascii="Times New Roman" w:hAnsi="Times New Roman" w:cs="Times New Roman"/>
                <w:noProof/>
                <w:sz w:val="24"/>
                <w:szCs w:val="24"/>
              </w:rPr>
            </w:pPr>
            <w:r>
              <w:rPr>
                <w:rFonts w:ascii="Times New Roman" w:hAnsi="Times New Roman"/>
                <w:noProof/>
                <w:sz w:val="24"/>
              </w:rPr>
              <w:t>un mecanism de plată a fondurilor condiționat de realizarea indicatorilor-cheie de performanță asociați obiectivelor de politică</w:t>
            </w:r>
          </w:p>
          <w:p w14:paraId="1166A957" w14:textId="77777777" w:rsidR="00151654" w:rsidRPr="000A27B3" w:rsidRDefault="00151654" w:rsidP="00151654">
            <w:pPr>
              <w:numPr>
                <w:ilvl w:val="0"/>
                <w:numId w:val="98"/>
              </w:numPr>
              <w:spacing w:after="0" w:line="240" w:lineRule="auto"/>
              <w:ind w:left="177" w:hanging="218"/>
              <w:jc w:val="both"/>
              <w:textAlignment w:val="baseline"/>
              <w:rPr>
                <w:rFonts w:ascii="Times New Roman" w:hAnsi="Times New Roman" w:cs="Times New Roman"/>
                <w:noProof/>
                <w:sz w:val="24"/>
                <w:szCs w:val="24"/>
              </w:rPr>
            </w:pPr>
            <w:r>
              <w:rPr>
                <w:rFonts w:ascii="Times New Roman" w:hAnsi="Times New Roman"/>
                <w:noProof/>
                <w:sz w:val="24"/>
              </w:rPr>
              <w:t>revizuirea standardelor minime de calitate. </w:t>
            </w:r>
          </w:p>
          <w:p w14:paraId="2A7B181E"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Actul normativ se va baza pe o cartografiere completă la nivel comunitar (comunal/orășenesc/județean) a populației în vârstă potențial dependente sau în situații de risc (de exemplu, sărăcie, probleme de sănătate, izolare, grad ridicat de dependență).</w:t>
            </w:r>
          </w:p>
        </w:tc>
      </w:tr>
      <w:tr w:rsidR="000A27B3" w:rsidRPr="000A27B3" w14:paraId="4A67F558" w14:textId="77777777" w:rsidTr="00984CFB">
        <w:trPr>
          <w:trHeight w:val="313"/>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hideMark/>
          </w:tcPr>
          <w:p w14:paraId="24C1CCE8" w14:textId="77777777" w:rsidR="00151654" w:rsidRPr="000A27B3" w:rsidRDefault="00151654">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400</w:t>
            </w:r>
          </w:p>
        </w:tc>
        <w:tc>
          <w:tcPr>
            <w:tcW w:w="1836" w:type="dxa"/>
            <w:tcBorders>
              <w:top w:val="single" w:sz="4" w:space="0" w:color="auto"/>
              <w:left w:val="nil"/>
              <w:bottom w:val="single" w:sz="4" w:space="0" w:color="auto"/>
              <w:right w:val="single" w:sz="4" w:space="0" w:color="auto"/>
            </w:tcBorders>
            <w:shd w:val="clear" w:color="auto" w:fill="C6EFCE"/>
            <w:noWrap/>
            <w:hideMark/>
          </w:tcPr>
          <w:p w14:paraId="39DEA30B"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4. Crearea unei rețele de centre de îngrijire de zi și de reabilitare pentru persoanele în vârstă </w:t>
            </w:r>
          </w:p>
        </w:tc>
        <w:tc>
          <w:tcPr>
            <w:tcW w:w="1282" w:type="dxa"/>
            <w:tcBorders>
              <w:top w:val="single" w:sz="4" w:space="0" w:color="auto"/>
              <w:left w:val="nil"/>
              <w:bottom w:val="single" w:sz="4" w:space="0" w:color="auto"/>
              <w:right w:val="single" w:sz="4" w:space="0" w:color="auto"/>
            </w:tcBorders>
            <w:shd w:val="clear" w:color="auto" w:fill="C6EFCE"/>
            <w:noWrap/>
            <w:hideMark/>
          </w:tcPr>
          <w:p w14:paraId="2D21B0C4"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Țintă</w:t>
            </w:r>
          </w:p>
        </w:tc>
        <w:tc>
          <w:tcPr>
            <w:tcW w:w="1693" w:type="dxa"/>
            <w:tcBorders>
              <w:top w:val="single" w:sz="4" w:space="0" w:color="auto"/>
              <w:left w:val="nil"/>
              <w:bottom w:val="single" w:sz="4" w:space="0" w:color="auto"/>
              <w:right w:val="single" w:sz="4" w:space="0" w:color="auto"/>
            </w:tcBorders>
            <w:shd w:val="clear" w:color="auto" w:fill="C6EFCE"/>
            <w:noWrap/>
            <w:hideMark/>
          </w:tcPr>
          <w:p w14:paraId="00872BE5"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Operaționalizarea centrelor de îngrijire de zi și de reabilitare pentru persoanele în vârstă</w:t>
            </w:r>
          </w:p>
        </w:tc>
        <w:tc>
          <w:tcPr>
            <w:tcW w:w="1597" w:type="dxa"/>
            <w:tcBorders>
              <w:top w:val="single" w:sz="4" w:space="0" w:color="auto"/>
              <w:left w:val="nil"/>
              <w:bottom w:val="single" w:sz="4" w:space="0" w:color="auto"/>
              <w:right w:val="single" w:sz="4" w:space="0" w:color="auto"/>
            </w:tcBorders>
            <w:shd w:val="clear" w:color="auto" w:fill="C6EFCE"/>
            <w:noWrap/>
            <w:hideMark/>
          </w:tcPr>
          <w:p w14:paraId="5CAB97C1"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246" w:type="dxa"/>
            <w:tcBorders>
              <w:top w:val="single" w:sz="4" w:space="0" w:color="auto"/>
              <w:left w:val="nil"/>
              <w:bottom w:val="single" w:sz="4" w:space="0" w:color="auto"/>
              <w:right w:val="single" w:sz="4" w:space="0" w:color="auto"/>
            </w:tcBorders>
            <w:shd w:val="clear" w:color="auto" w:fill="C6EFCE"/>
            <w:noWrap/>
            <w:hideMark/>
          </w:tcPr>
          <w:p w14:paraId="3DE99D5B"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w:t>
            </w:r>
          </w:p>
        </w:tc>
        <w:tc>
          <w:tcPr>
            <w:tcW w:w="1134" w:type="dxa"/>
            <w:tcBorders>
              <w:top w:val="single" w:sz="4" w:space="0" w:color="auto"/>
              <w:left w:val="nil"/>
              <w:bottom w:val="single" w:sz="4" w:space="0" w:color="auto"/>
              <w:right w:val="single" w:sz="4" w:space="0" w:color="auto"/>
            </w:tcBorders>
            <w:shd w:val="clear" w:color="auto" w:fill="C6EFCE"/>
            <w:noWrap/>
            <w:hideMark/>
          </w:tcPr>
          <w:p w14:paraId="464693FC"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0</w:t>
            </w:r>
          </w:p>
        </w:tc>
        <w:tc>
          <w:tcPr>
            <w:tcW w:w="920" w:type="dxa"/>
            <w:tcBorders>
              <w:top w:val="single" w:sz="4" w:space="0" w:color="auto"/>
              <w:left w:val="nil"/>
              <w:bottom w:val="single" w:sz="4" w:space="0" w:color="auto"/>
              <w:right w:val="single" w:sz="4" w:space="0" w:color="auto"/>
            </w:tcBorders>
            <w:shd w:val="clear" w:color="auto" w:fill="C6EFCE"/>
            <w:noWrap/>
            <w:hideMark/>
          </w:tcPr>
          <w:p w14:paraId="1CA801EA"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71</w:t>
            </w:r>
          </w:p>
        </w:tc>
        <w:tc>
          <w:tcPr>
            <w:tcW w:w="1065" w:type="dxa"/>
            <w:tcBorders>
              <w:top w:val="single" w:sz="4" w:space="0" w:color="auto"/>
              <w:left w:val="nil"/>
              <w:bottom w:val="single" w:sz="4" w:space="0" w:color="auto"/>
              <w:right w:val="single" w:sz="4" w:space="0" w:color="auto"/>
            </w:tcBorders>
            <w:shd w:val="clear" w:color="auto" w:fill="C6EFCE"/>
            <w:noWrap/>
            <w:hideMark/>
          </w:tcPr>
          <w:p w14:paraId="745E3FE7"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T2</w:t>
            </w:r>
          </w:p>
        </w:tc>
        <w:tc>
          <w:tcPr>
            <w:tcW w:w="850" w:type="dxa"/>
            <w:tcBorders>
              <w:top w:val="single" w:sz="4" w:space="0" w:color="auto"/>
              <w:left w:val="nil"/>
              <w:bottom w:val="single" w:sz="4" w:space="0" w:color="auto"/>
              <w:right w:val="single" w:sz="4" w:space="0" w:color="auto"/>
            </w:tcBorders>
            <w:shd w:val="clear" w:color="auto" w:fill="C6EFCE"/>
            <w:noWrap/>
            <w:hideMark/>
          </w:tcPr>
          <w:p w14:paraId="5EC66F36"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2026</w:t>
            </w:r>
          </w:p>
        </w:tc>
        <w:tc>
          <w:tcPr>
            <w:tcW w:w="3261" w:type="dxa"/>
            <w:tcBorders>
              <w:top w:val="single" w:sz="4" w:space="0" w:color="auto"/>
              <w:left w:val="nil"/>
              <w:bottom w:val="single" w:sz="4" w:space="0" w:color="auto"/>
              <w:right w:val="single" w:sz="4" w:space="0" w:color="auto"/>
            </w:tcBorders>
            <w:shd w:val="clear" w:color="auto" w:fill="C6EFCE"/>
            <w:noWrap/>
            <w:hideMark/>
          </w:tcPr>
          <w:p w14:paraId="7DA552D7" w14:textId="77777777" w:rsidR="00151654" w:rsidRPr="000A27B3" w:rsidRDefault="00151654">
            <w:pPr>
              <w:spacing w:after="0" w:line="240" w:lineRule="auto"/>
              <w:jc w:val="both"/>
              <w:rPr>
                <w:rFonts w:ascii="Times New Roman" w:eastAsia="Times New Roman" w:hAnsi="Times New Roman" w:cs="Times New Roman"/>
                <w:noProof/>
                <w:sz w:val="24"/>
              </w:rPr>
            </w:pPr>
            <w:r>
              <w:rPr>
                <w:rFonts w:ascii="Times New Roman" w:hAnsi="Times New Roman"/>
                <w:noProof/>
                <w:sz w:val="24"/>
              </w:rPr>
              <w:t>Punerea în funcțiune a unei rețele de 71 de centre de servicii de zi. Centrele vor oferi asistență socială și servicii de reabilitare, iar fiecare va avea cel puțin o echipă mobilă de furnizori de servicii pentru persoanele în vârstă care nu se pot deplasa la centru. Acestea se vor baza pe cartografierea care urmează să fie efectuată în conformitate cu jalonul 399 – Intrarea în vigoare a unei legi pentru adoptarea și implementarea Strategiei naționale privind îngrijirea pe termen lung.</w:t>
            </w:r>
          </w:p>
        </w:tc>
      </w:tr>
    </w:tbl>
    <w:p w14:paraId="38EA42F2" w14:textId="77777777" w:rsidR="00151654" w:rsidRPr="009F1DC7" w:rsidRDefault="00151654">
      <w:pPr>
        <w:spacing w:before="120" w:after="120" w:line="240" w:lineRule="auto"/>
        <w:jc w:val="both"/>
        <w:rPr>
          <w:rFonts w:ascii="Times New Roman" w:hAnsi="Times New Roman" w:cs="Times New Roman"/>
          <w:noProof/>
          <w:sz w:val="24"/>
          <w:szCs w:val="24"/>
        </w:rPr>
      </w:pPr>
    </w:p>
    <w:p w14:paraId="0E170613" w14:textId="77777777" w:rsidR="00151654" w:rsidRPr="009F1DC7" w:rsidRDefault="00151654">
      <w:pPr>
        <w:spacing w:before="120" w:after="120" w:line="240" w:lineRule="auto"/>
        <w:ind w:left="850"/>
        <w:jc w:val="both"/>
        <w:rPr>
          <w:rFonts w:ascii="Times New Roman" w:hAnsi="Times New Roman" w:cs="Times New Roman"/>
          <w:noProof/>
          <w:sz w:val="24"/>
          <w:szCs w:val="24"/>
        </w:rPr>
        <w:sectPr w:rsidR="00151654" w:rsidRPr="009F1DC7">
          <w:headerReference w:type="even" r:id="rId283"/>
          <w:headerReference w:type="default" r:id="rId284"/>
          <w:footerReference w:type="even" r:id="rId285"/>
          <w:footerReference w:type="default" r:id="rId286"/>
          <w:headerReference w:type="first" r:id="rId287"/>
          <w:footerReference w:type="first" r:id="rId288"/>
          <w:pgSz w:w="16839" w:h="11907" w:orient="landscape"/>
          <w:pgMar w:top="720" w:right="720" w:bottom="720" w:left="720" w:header="709" w:footer="709" w:gutter="0"/>
          <w:cols w:space="720"/>
          <w:docGrid w:linePitch="360"/>
        </w:sectPr>
      </w:pPr>
    </w:p>
    <w:p w14:paraId="284D213C" w14:textId="77777777" w:rsidR="001C33F0" w:rsidRPr="000A27B3" w:rsidRDefault="001C33F0" w:rsidP="001C33F0">
      <w:pPr>
        <w:keepNext/>
        <w:numPr>
          <w:ilvl w:val="0"/>
          <w:numId w:val="1"/>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 xml:space="preserve">COMPONENTA 14: Buna guvernanță </w:t>
      </w:r>
    </w:p>
    <w:p w14:paraId="3200D10A"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Obiectivele componentei sunt, prin intermediul unui set de reforme și investiții pe scară largă: (i) de a îmbunătăți guvernanța în condițiile unui sistem de luare a deciziilor previzibil, fundamentat și participativ; (ii) de a asigura furnizarea de servicii publice de calitate de către un corp de funcționari publici profesioniști și bine pregătiți, care să răspundă adecvat provocărilor, nevoilor și așteptărilor cetățenilor și mediului de afaceri. Astfel se va consolida reziliența și capacitatea de adaptare la tranziția verde și digitală. </w:t>
      </w:r>
    </w:p>
    <w:p w14:paraId="64604918"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Obiectivele specifice ale componentei sunt următoarele:</w:t>
      </w:r>
    </w:p>
    <w:p w14:paraId="5CE0FD1A"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1. O mai bună coordonare, elaborare și implementare a politicilor guvernamentale, transparență sporită și încredere în sectorul public.</w:t>
      </w:r>
    </w:p>
    <w:p w14:paraId="3E5AB10D"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2. Management performant al resurselor umane în sectorul public.</w:t>
      </w:r>
    </w:p>
    <w:p w14:paraId="38471B1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3. O politică de salarizare în sectorul public coerentă, corelată cu performanța și sustenabilă pe termen lung (remunerare unitară echitabilă).</w:t>
      </w:r>
    </w:p>
    <w:p w14:paraId="1AE5F867"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4. Consolidarea independenței sistemului judiciar prin îmbunătățirea accesului la justiție și creșterea eficienței la nivelul sistemului judiciar.</w:t>
      </w:r>
    </w:p>
    <w:p w14:paraId="037734C1"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5. Un sistem național de achiziții mai eficient, inclusiv prin consolidarea capacității administrative a autorităților/entităților contractante, într-un cadru legal flexibil și coerent.</w:t>
      </w:r>
    </w:p>
    <w:p w14:paraId="0F2F7F79"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6. Îmbunătățirea proceselor de formulare a politicilor publice/deciziilor publice prin consultarea părților interesate.</w:t>
      </w:r>
    </w:p>
    <w:p w14:paraId="2C39F0A4"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7. Creșterea rezilienței companiilor de stat ca urmare a operaționalizării principiilor guvernanței corporative. </w:t>
      </w:r>
    </w:p>
    <w:p w14:paraId="45D19972"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componentă cuprinde nouă reforme și cinci investiții. </w:t>
      </w:r>
    </w:p>
    <w:p w14:paraId="14F88A66"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măsurile incluse în componentă vor aborda o serie de provocări evidențiate în recomandarea specifică fiecărei țări de a îmbunătăți eficiența achizițiilor și de a asigura punerea în aplicare integrală și sustenabilă a Strategiei naționale în domeniul achizițiilor publice; de a îmbunătăți calitatea și previzibilitatea procesului decizional, inclusiv prin consultări adecvate cu părțile interesate, prin evaluări eficace ale impactului și prin simplificarea procedurilor administrative și implicarea adecvată a partenerilor sociali (recomandările specifice de țară 3, 4 și 5 din 2019 și recomandarea specifică de țară 4 din 2020).</w:t>
      </w:r>
    </w:p>
    <w:p w14:paraId="1DE238AF"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w:t>
      </w:r>
    </w:p>
    <w:p w14:paraId="0AA54BF2" w14:textId="77777777" w:rsidR="001C33F0" w:rsidRPr="000A27B3" w:rsidRDefault="001C33F0">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N.1. </w:t>
      </w:r>
      <w:r>
        <w:rPr>
          <w:noProof/>
        </w:rPr>
        <w:tab/>
      </w:r>
      <w:r>
        <w:rPr>
          <w:rFonts w:ascii="Times New Roman" w:hAnsi="Times New Roman"/>
          <w:b/>
          <w:noProof/>
          <w:sz w:val="24"/>
        </w:rPr>
        <w:t>Descrierea reformelor și a investițiilor pentru care se prevede acordarea sprijinului financiar nerambursabil</w:t>
      </w:r>
    </w:p>
    <w:p w14:paraId="025F4980"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 xml:space="preserve">Reforma 1.1 </w:t>
      </w:r>
      <w:r>
        <w:rPr>
          <w:rFonts w:ascii="Times New Roman" w:hAnsi="Times New Roman"/>
          <w:noProof/>
          <w:u w:val="single"/>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p w14:paraId="1C936B06"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îmbunătățirea planificării politicilor guvernamentale pe termen scurt și mediu (prin dezvoltarea mecanismelor de planificare strategică instituțională și corelarea acestora cu programarea bugetară), consolidarea sistemului de analiză preliminară a impactului reglementărilor (prin ajustări procedurale și instituționale), îmbunătățirea capacităților pentru planificarea și formularea politicilor publice (prin noi mecanisme de gestionare a strategiilor guvernamentale, formare sau schimb de experiență, prin introducerea conceptului de guvernare inovativă) precum și întărirea coordonării de la nivelul Centrului Guvernului a politicilor cu un puternic caracter orizontal și care implică un mare număr de factori interesați (precum Pactul verde european).</w:t>
      </w:r>
    </w:p>
    <w:p w14:paraId="5E7D8F82"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cadrul acestei reforme se vor desfășura următoarele acțiuni specifice: </w:t>
      </w:r>
    </w:p>
    <w:p w14:paraId="11F76644" w14:textId="77777777" w:rsidR="001C33F0" w:rsidRPr="000A27B3" w:rsidRDefault="001C33F0">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(1) Adoptarea și intrarea în vigoare a metodologiilor și a procedurilor de îmbunătățire a raționamentului în materie de politici publice și a planificării și simplificării administrative (până la 31 martie 2022). În consecință, cel puțin 50 % din inițiativele legislative propuse, incluse în Planul anual de lucru al guvernului, vor fi aprobate în termenul stabilit, și anume 31 martie 2026, iar 25 % din instrumentele de prezentare și de motivare (memorandumurile explicative/notele de fundamentare care însoțesc proiectele de regulamente) vor îndeplini criteriile de calitate stabilite (vor fi evaluate la un nivel excelent sau satisfăcător) conform metodologiei guvernamentale adoptate în primul raport anual privind evaluarea impactului reglementărilor (adoptat în 2019) până la 31 decembrie 2024.</w:t>
      </w:r>
    </w:p>
    <w:p w14:paraId="5B1AF1BA" w14:textId="77777777" w:rsidR="001C33F0" w:rsidRPr="000A27B3" w:rsidRDefault="001C33F0">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 xml:space="preserve"> (2) Crearea și operaționalizarea unui nou sistem de gestionare strategică și planificare strategică în toate ministerele, iar strategiile și planurile strategice elaborate la nivel ministerial vor respecta dispozițiile metodologiilor adoptate în temeiul acțiunii (1) de mai sus și vor fi încărcate pe platforma de monitorizare a Planurilor strategice instituționale (PSI), care va fi extinsă la toate ministerele (până la 30 iunie 2023). În consecință, toate ministerele de resort vor trebui să își planifice bugetele pentru fiecare program, iar cel puțin trei ministere vor trebui să execute/implementeze, de asemenea, bugete pentru fiecare program, până la 30 iunie 2025. </w:t>
      </w:r>
    </w:p>
    <w:p w14:paraId="33B86129" w14:textId="77777777" w:rsidR="001C33F0" w:rsidRPr="000A27B3" w:rsidRDefault="001C33F0">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 xml:space="preserve">(3) Adoptarea și intrarea în vigoare a unui act legislativ de operaționalizare a unei structuri care să asigure implementarea unui mecanism eficace de control al calității în materie de reglementare, până la 31 martie 2022. </w:t>
      </w:r>
    </w:p>
    <w:p w14:paraId="43742DA6" w14:textId="77777777" w:rsidR="001C33F0" w:rsidRPr="000A27B3" w:rsidRDefault="001C33F0">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 xml:space="preserve">(4) Stabilirea nivelului de referință existent în materie de inovare la nivelul administrației centrale (ministerele de resort și Secretariatul General al Guvernului) și finalizarea unui plan de acțiune pentru introducerea mecanismelor de inovare și crearea unui mediu de reglementare care să permită administrației publice să inoveze (31 decembrie 2022). </w:t>
      </w:r>
    </w:p>
    <w:p w14:paraId="5B080548" w14:textId="77777777" w:rsidR="001C33F0" w:rsidRPr="000A27B3" w:rsidRDefault="001C33F0">
      <w:pPr>
        <w:spacing w:before="120" w:after="120" w:line="240" w:lineRule="auto"/>
        <w:ind w:left="850"/>
        <w:jc w:val="both"/>
        <w:rPr>
          <w:rFonts w:ascii="Times New Roman" w:hAnsi="Times New Roman" w:cs="Times New Roman"/>
          <w:noProof/>
          <w:sz w:val="24"/>
          <w:szCs w:val="24"/>
        </w:rPr>
      </w:pPr>
      <w:r>
        <w:rPr>
          <w:rFonts w:ascii="Times New Roman" w:hAnsi="Times New Roman"/>
          <w:noProof/>
          <w:sz w:val="24"/>
        </w:rPr>
        <w:t>(5) Creșterea calității consultărilor publice și dezvoltarea implicării societății civile în procesul de luare a deciziilor prin consolidarea cadrului legislativ și procedural pentru coordonarea și implementarea eficientă a inițiativelor de guvernare deschisă (Open Government initiative). Aceste obiective vor fi îndeplinite prin:</w:t>
      </w:r>
    </w:p>
    <w:p w14:paraId="5DBF7C09" w14:textId="77777777" w:rsidR="001C33F0" w:rsidRPr="000A27B3" w:rsidRDefault="001C33F0">
      <w:pPr>
        <w:spacing w:before="120" w:after="120" w:line="240" w:lineRule="auto"/>
        <w:ind w:left="1440" w:firstLine="1"/>
        <w:jc w:val="both"/>
        <w:rPr>
          <w:rFonts w:ascii="Times New Roman" w:hAnsi="Times New Roman" w:cs="Times New Roman"/>
          <w:noProof/>
          <w:sz w:val="24"/>
          <w:szCs w:val="24"/>
        </w:rPr>
      </w:pPr>
      <w:r>
        <w:rPr>
          <w:rFonts w:ascii="Times New Roman" w:hAnsi="Times New Roman"/>
          <w:noProof/>
          <w:sz w:val="24"/>
        </w:rPr>
        <w:t>(i) Actualizarea cadrului juridic, extinderea platformei IT, consolidarea capacităților funcționarilor publici, adoptarea strategiei de guvernare deschisă. În consecință, va exista o creștere cu 20 % a numărului de proiecte de acte legislative care fac obiectul consultării publice și al implicării părților interesate la nivel central, până la 30 iunie 2026.</w:t>
      </w:r>
    </w:p>
    <w:p w14:paraId="16066028" w14:textId="77777777" w:rsidR="001C33F0" w:rsidRPr="000A27B3" w:rsidRDefault="001C33F0">
      <w:pPr>
        <w:spacing w:before="120" w:after="120" w:line="240" w:lineRule="auto"/>
        <w:ind w:left="1440"/>
        <w:jc w:val="both"/>
        <w:rPr>
          <w:rFonts w:ascii="Times New Roman" w:hAnsi="Times New Roman" w:cs="Times New Roman"/>
          <w:noProof/>
          <w:sz w:val="24"/>
          <w:szCs w:val="24"/>
        </w:rPr>
      </w:pPr>
      <w:r>
        <w:rPr>
          <w:rFonts w:ascii="Times New Roman" w:hAnsi="Times New Roman"/>
          <w:noProof/>
          <w:sz w:val="24"/>
        </w:rPr>
        <w:t xml:space="preserve">(ii) Cursuri de formare organizate pentru organizațiile societății civile pentru a le spori capacitatea și competențele de a participa în mod eficace la procesele de consultare publică. Ca urmare a acestei acțiuni, 800 de reprezentanți ai organizațiilor societății civile vor fi formați până la 31 decembrie 2025. </w:t>
      </w:r>
    </w:p>
    <w:p w14:paraId="0DA38DD0" w14:textId="77777777" w:rsidR="001C33F0" w:rsidRPr="000A27B3" w:rsidRDefault="001C33F0">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(6) Adoptarea și intrarea în vigoare a orientărilor pentru utilizarea și asigurarea respectării corespunzătoare a Registrului unic al transparenței intereselor (RUTI), în vederea punerii în aplicare corespunzătoare a registrului public (până la 30 septembrie 2022). </w:t>
      </w:r>
    </w:p>
    <w:p w14:paraId="56842FA4" w14:textId="77777777" w:rsidR="001C33F0" w:rsidRPr="000A27B3" w:rsidRDefault="001C33F0">
      <w:pPr>
        <w:spacing w:before="120" w:after="120" w:line="240" w:lineRule="auto"/>
        <w:ind w:left="850"/>
        <w:jc w:val="both"/>
        <w:rPr>
          <w:rFonts w:ascii="Times New Roman" w:hAnsi="Times New Roman" w:cs="Times New Roman"/>
          <w:noProof/>
          <w:sz w:val="24"/>
        </w:rPr>
      </w:pPr>
      <w:r>
        <w:rPr>
          <w:rFonts w:ascii="Times New Roman" w:hAnsi="Times New Roman"/>
          <w:noProof/>
          <w:sz w:val="24"/>
        </w:rPr>
        <w:t>(7) Adoptarea și intrarea în vigoare a Metodologiei de utilizare a ordonanțelor de urgență, care va preciza circumstanțele în care pot fi utilizate aceste ordonanțe și modul în care se evaluează impactul acestora (</w:t>
      </w:r>
      <w:r>
        <w:rPr>
          <w:rFonts w:ascii="Times New Roman" w:hAnsi="Times New Roman"/>
          <w:i/>
          <w:iCs/>
          <w:noProof/>
          <w:sz w:val="24"/>
        </w:rPr>
        <w:t>ex post</w:t>
      </w:r>
      <w:r>
        <w:rPr>
          <w:rFonts w:ascii="Times New Roman" w:hAnsi="Times New Roman"/>
          <w:noProof/>
          <w:sz w:val="24"/>
        </w:rPr>
        <w:t xml:space="preserve">, </w:t>
      </w:r>
      <w:r>
        <w:rPr>
          <w:rFonts w:ascii="Times New Roman" w:hAnsi="Times New Roman"/>
          <w:i/>
          <w:iCs/>
          <w:noProof/>
          <w:sz w:val="24"/>
        </w:rPr>
        <w:t>ex ante</w:t>
      </w:r>
      <w:r>
        <w:rPr>
          <w:rFonts w:ascii="Times New Roman" w:hAnsi="Times New Roman"/>
          <w:noProof/>
          <w:sz w:val="24"/>
        </w:rPr>
        <w:t xml:space="preserve">), precum și procedurile aferente de elaborare și aprobare a acestora (până la 30 septembrie 2022). </w:t>
      </w:r>
    </w:p>
    <w:p w14:paraId="28248092" w14:textId="77777777" w:rsidR="001C33F0" w:rsidRPr="000A27B3" w:rsidRDefault="001C33F0">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(8) Adoptarea și intrarea în vigoare a modificărilor legislative aduse Legii nr. 24/2000 privind tehnica legislativă pentru a asigura publicarea textului integral al legilor după ce acestea au fost modificate, ceea ce în prezent nu se realizează în mod sistematic (până la 30 septembrie 2022). </w:t>
      </w:r>
    </w:p>
    <w:p w14:paraId="1B651A49"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Reforma 2 Întărirea coordonării la nivelul central al guvernului printr-o abordare integrată și coerentă a inițiativelor în domeniul schimbărilor climatice și al dezvoltării durabile</w:t>
      </w:r>
    </w:p>
    <w:p w14:paraId="10AE33AC"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Obiectivele reformei sunt următoarele: (i) să asigure eficiența și eficacitatea măsurilor și politicilor verzi prin operaționalizarea unui mecanism de coordonare și punere în aplicare a Pactului verde european în România; și (ii) să reformeze administrația publică prin promovarea și coordonarea unei politici publice coerente de dezvoltare durabilă la toate nivelurile și în toate sectoarele statului cu accent pe transformarea digitală și creșterea relevanței/utilizarea abordării științifice în politicile publice de dezvoltare durabilă.</w:t>
      </w:r>
    </w:p>
    <w:p w14:paraId="0600F61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Aceste obiective se vor realiza prin instituirea și operaționalizarea unui Comitet interinstituțional privind schimbările climatice, cu mandatul de a acorda prioritate acțiunilor legate de climă și de a monitoriza anual progresele realizate, până la 30 iunie 2022. În consecință, 90 % dintre prioritățile stabilite de Comitetul interinstituțional privind schimbările climatice pentru 2025, în conformitate cu obiectivele stabilite în Planul integrat privind energia și clima, vor fi îndeplinite până la 31 martie 2026, iar 2000 de funcționari publici se vor califica pentru a îndeplini funcția de „experți în dezvoltare durabilă” în instituțiile publice de la nivel central și local, până la 30 septembrie 2025. </w:t>
      </w:r>
    </w:p>
    <w:p w14:paraId="6DEDE1CA"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Reforma 3. Management performant al resurselor umane în sectorul public</w:t>
      </w:r>
    </w:p>
    <w:p w14:paraId="59FBF1E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reformei este de a moderniza managementul funcției publice, promovând un nou sistem de recrutare transparent și incluziv, utilizând un cadru de competențe adecvat realităților din sectorul public, în corelare directă cu nevoile instituționale și cu nevoile cetățenilor și ale mediului de afaceri pe care îi servesc. Aceste măsuri de reformă vor fi realizate în tandem cu o puternică digitalizare a sectorului public și cu dobândirea de competențe digitale în rândul funcționarilor publici.</w:t>
      </w:r>
    </w:p>
    <w:p w14:paraId="317B0301"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cadrul acestei reforme se vor desfășura următoarele acțiuni specifice: </w:t>
      </w:r>
    </w:p>
    <w:p w14:paraId="572F1507"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(1) Efectuarea unei analize ex-post a concursului național (pilot) pentru selectarea a două categorii de funcții publice în administrația centrală (până la 30 iunie 2023). </w:t>
      </w:r>
    </w:p>
    <w:p w14:paraId="44469B5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(2) Desfășurarea anuală a cel puțin două concursuri naționale de recrutare a funcționarilor publici pentru cel puțin 3 categorii/grade ale funcției publice (până la 31 decembrie 2023).</w:t>
      </w:r>
    </w:p>
    <w:p w14:paraId="63C129DF"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(3) Adoptarea și intrarea în vigoare a două acte legislative privind managementul resurselor umane: (i) primul dintre acestea va introduce modificări privind gestionarea carierei funcționarilor publici pentru ca aceasta să se bazeze pe meritocrație și (ii) al doilea va reglementa gestionarea agenților contractuali din administrația publică (până la 31 decembrie 2024).</w:t>
      </w:r>
    </w:p>
    <w:p w14:paraId="047039BD"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(4) Operaționalizarea cadrelor de competență din administrația publică centrală, care va include pregătirea și adoptarea actului legislativ și punerea în aplicare efectivă a acestuia (până la 31 decembrie 2025). </w:t>
      </w:r>
    </w:p>
    <w:p w14:paraId="6063C673"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Reforma 4. Dezvoltarea unui sistem de salarizare echitabil și unitar în sectorul public</w:t>
      </w:r>
    </w:p>
    <w:p w14:paraId="6EC10BDB"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asigurarea unei politici de salarizare echitabile și sustenabile din punct de vedere bugetar prin eliminarea discrepanțelor salariale existente în prezent în sistemul bugetar, restabilirea ierarhiilor funcțiilor în cadrul domeniilor de activitate, precum și între domenii de activitate, revizuirea sistemului de acordare a sporurilor, precum și instituirea unui sistem de stimulare a performanței. </w:t>
      </w:r>
    </w:p>
    <w:p w14:paraId="7EF0C7D7"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cadrul acestei reforme se vor desfășura următoarele acțiuni specifice: </w:t>
      </w:r>
    </w:p>
    <w:p w14:paraId="762F89E6" w14:textId="79060A4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(1) Realizarea unei evaluări globale a impactului Legii privind salarizarea personalului plătit din fonduri publice, inclusiv a unei evaluări a impactului fiscal al noii legi (până la 31 martie 2022);</w:t>
      </w:r>
    </w:p>
    <w:p w14:paraId="18CA3411" w14:textId="3E804E34"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(2) Adoptarea și intrarea în vigoare a noului cadru juridic privind remunerarea funcționarilor publici (până la 30 iunie 2023). </w:t>
      </w:r>
    </w:p>
    <w:p w14:paraId="203C3F3A"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Reforma 5. Garantarea independenței justiției, creșterea calității și eficienței acesteia</w:t>
      </w:r>
    </w:p>
    <w:p w14:paraId="42525FC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consolidarea independenței magistraților, eficientizarea funcționării instituțiilor din sistemul judiciar, în conformitate cu jurisprudența relevantă a Curții de Justiție a Uniunii Europene și în acord cu recomandările din rapoartele MCV, rapoartele GRECO, avizele Comisiei de la Veneția și rapoartele privind statul de drept. </w:t>
      </w:r>
    </w:p>
    <w:p w14:paraId="6D300DC2"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cadrul acestei reforme se vor desfășura următoarele acțiuni specifice: </w:t>
      </w:r>
    </w:p>
    <w:p w14:paraId="678CB07A" w14:textId="31B8C2F6"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(1) Adoptarea și intrarea în vigoare a hotărârii de guvern de aprobare a Strategiei de dezvoltare a sistemului judiciar 2022-2025 (până la 31 martie 2022). Strategia va cuprinde doi piloni: (i) politici de consolidare a independenței sistemului judiciar și a statului de drept; și (ii) politici de consolidare a capacității instituționale în ceea ce privește resursele, procesele și gestionarea, precum și politicile privind calitatea și eficiența serviciilor în sistemul judiciar. </w:t>
      </w:r>
    </w:p>
    <w:p w14:paraId="1B5B32D5"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(2) Adoptarea și intrarea în vigoare a legii de modificare a atribuțiilor Agenției Naționale de Administrare a Bunurilor Indisponibilizate (până la 31 martie 2022).</w:t>
      </w:r>
    </w:p>
    <w:p w14:paraId="14B9C82F" w14:textId="0228DE21"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(3) Adoptarea și intrarea în vigoare a „legilor justiției” (legi privind statutul magistraților, organizarea judiciară, Consiliul Superior al Magistraturii) (până la 30 iunie 2023). Noile legi ale justiției vor prevedea, printre altele, următoarele: (i) consolidarea independenței judecătorilor și procurorilor; (ii) recrutarea și promovarea în carieră pe principii meritocratice, împreună cu consolidarea rolului Institutului Național al Magistraturii în organizarea și desfășurarea examenelor și a concursurilor; (iii) funcționarea eficientă a instanțelor, a Consiliului Superior al Magistraturii, precum și a Parchetului; (iv) responsabilitatea efectivă a magistraților, dar și protecția acestora împotriva oricăror interferențe și abuzuri; (v) eficientizarea inspecției judiciare, asigurarea unor garanții mai mari de independență și imparțialitate.</w:t>
      </w:r>
      <w:r w:rsidR="004C4C72">
        <w:rPr>
          <w:rFonts w:ascii="Times New Roman" w:hAnsi="Times New Roman"/>
          <w:noProof/>
          <w:sz w:val="24"/>
        </w:rPr>
        <w:t xml:space="preserve"> </w:t>
      </w:r>
    </w:p>
    <w:p w14:paraId="36416C65"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(4) Adoptarea și intrarea în vigoare a modificării Codului penal și a Codului de procedură penală în vederea alinierii acestora la Constituția României, în urma hotărârilor Curții Constituționale (până la 31 decembrie 2022). </w:t>
      </w:r>
    </w:p>
    <w:p w14:paraId="06E836D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(5) Sesiuni de formare (300 în total) organizate pentru judecători, procurori și grefieri în vederea îmbunătățirii calității și eficienței sistemului de justiție (până la 31 decembrie 2025). </w:t>
      </w:r>
    </w:p>
    <w:p w14:paraId="158B6E0E"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Reforma 6. Intensificarea luptei împotriva corupției</w:t>
      </w:r>
    </w:p>
    <w:p w14:paraId="2109D42C" w14:textId="77777777" w:rsidR="001C33F0" w:rsidRPr="000A27B3" w:rsidRDefault="001C33F0">
      <w:pPr>
        <w:tabs>
          <w:tab w:val="left" w:pos="5456"/>
        </w:tabs>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reformei este de a intensifica lupta împotriva corupției, prin adoptarea cadrului strategic național pentru prevenirea și reprimarea corupției, prin consolidarea capacității instituției competente să o combată, și anume DNA, prin recuperarea daunelor și a produselor generate de infracțiuni, de a consolida integritatea în administrația publică și de a asigura un sistem eficient de declarare a averilor și a intereselor, dezvoltând și punând în aplicare, în același timp, noua strategie anticorupție. </w:t>
      </w:r>
    </w:p>
    <w:p w14:paraId="111D6199" w14:textId="77777777" w:rsidR="001C33F0" w:rsidRPr="000A27B3" w:rsidRDefault="001C33F0">
      <w:pPr>
        <w:tabs>
          <w:tab w:val="left" w:pos="5456"/>
        </w:tabs>
        <w:spacing w:before="120" w:after="120" w:line="240" w:lineRule="auto"/>
        <w:jc w:val="both"/>
        <w:rPr>
          <w:rFonts w:ascii="Times New Roman" w:hAnsi="Times New Roman" w:cs="Times New Roman"/>
          <w:noProof/>
          <w:sz w:val="24"/>
          <w:szCs w:val="24"/>
        </w:rPr>
      </w:pPr>
      <w:r>
        <w:rPr>
          <w:rFonts w:ascii="Times New Roman" w:hAnsi="Times New Roman"/>
          <w:noProof/>
          <w:sz w:val="24"/>
        </w:rPr>
        <w:t>În cadrul acestei reforme se vor desfășura următoarele acțiuni specifice:</w:t>
      </w:r>
    </w:p>
    <w:p w14:paraId="2F35D43E"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(1) Adoptarea și intrarea în vigoare a actului legislativ de aprobare a noii strategii naționale anticorupție (până la 31 decembrie 2021). În consecință, până la 31 decembrie 2025 vor fi puse în aplicare cel puțin 70 % din măsurile prevăzute în noua strategie anticorupție și se va realiza o creștere cu 50 % a valorii activelor confiscate gestionate de Agenția Națională de Administrare a Bunurilor Indisponibilizate. </w:t>
      </w:r>
    </w:p>
    <w:p w14:paraId="3F1C281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(2) Atingerea unei rate de ocupare de 85 % din posturile de procuror din cadrul Direcției Naționale Anticorupție (până la 30 iunie 2023).</w:t>
      </w:r>
    </w:p>
    <w:p w14:paraId="3639C9FA"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(3) Adoptarea și intrarea în vigoare a legii de transpunere a Directivei privind protecția avertizorilor (până la 31 martie 2022). </w:t>
      </w:r>
    </w:p>
    <w:p w14:paraId="62063F54"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 xml:space="preserve">Reforma 7. Evaluarea și actualizarea legislației privind cadrul de integritate </w:t>
      </w:r>
    </w:p>
    <w:p w14:paraId="24B86C9C"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acela de a consolida integritatea în funcția publică și de a eficientiza procesele de digitalizare și transparentizare prin asigurarea resurselor necesare de depunere a declarațiilor de avere și de interese în format digital, cu semnătură electronică certificată.</w:t>
      </w:r>
    </w:p>
    <w:p w14:paraId="522B5026"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cadrul acestei reforme se vor desfășura următoarele acțiuni specifice:</w:t>
      </w:r>
    </w:p>
    <w:p w14:paraId="62AE937A" w14:textId="06C33AC2"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(1) Adoptarea și intrarea în vigoare a legilor consolidate privind integritatea (până la 31</w:t>
      </w:r>
      <w:r w:rsidR="00506E69">
        <w:rPr>
          <w:rFonts w:ascii="Times New Roman" w:hAnsi="Times New Roman"/>
          <w:noProof/>
          <w:sz w:val="24"/>
        </w:rPr>
        <w:t> </w:t>
      </w:r>
      <w:r>
        <w:rPr>
          <w:rFonts w:ascii="Times New Roman" w:hAnsi="Times New Roman"/>
          <w:noProof/>
          <w:sz w:val="24"/>
        </w:rPr>
        <w:t>decembrie 2024).</w:t>
      </w:r>
    </w:p>
    <w:p w14:paraId="5E5C88B5"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(2) Revizuirea Codului de etică și conduită pentru guvern, în plus față de cele existente pentru funcționarii publici și adoptarea și implementarea măsurilor de aplicare (până la 31 decembrie 2024).</w:t>
      </w:r>
    </w:p>
    <w:p w14:paraId="1EF57C58"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 xml:space="preserve">Reforma 8. Reformarea sistemului național de achiziții publice </w:t>
      </w:r>
    </w:p>
    <w:p w14:paraId="4AB007B9"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reforme este de a îmbunătăți eficiența sistemului de achiziții publice și de a asigura punerea în aplicare integrală și durabilă a Strategiei naționale privind achizițiile publice, astfel cum a fost aprobată prin Hotărârea de Guvern nr. 901/2015. </w:t>
      </w:r>
    </w:p>
    <w:p w14:paraId="5E25102F"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cadrul acestei reforme se vor realiza următoarele acțiuni: </w:t>
      </w:r>
    </w:p>
    <w:p w14:paraId="4EEABBF5" w14:textId="77777777" w:rsidR="001C33F0" w:rsidRPr="000A27B3" w:rsidRDefault="001C33F0">
      <w:pPr>
        <w:spacing w:before="120" w:after="120" w:line="240" w:lineRule="auto"/>
        <w:ind w:left="720" w:hanging="720"/>
        <w:jc w:val="both"/>
        <w:rPr>
          <w:rFonts w:ascii="Times New Roman" w:hAnsi="Times New Roman" w:cs="Times New Roman"/>
          <w:noProof/>
          <w:sz w:val="24"/>
          <w:szCs w:val="24"/>
        </w:rPr>
      </w:pPr>
      <w:r>
        <w:rPr>
          <w:rFonts w:ascii="Times New Roman" w:hAnsi="Times New Roman"/>
          <w:noProof/>
          <w:sz w:val="24"/>
        </w:rPr>
        <w:t xml:space="preserve">(1) </w:t>
      </w:r>
      <w:r>
        <w:rPr>
          <w:noProof/>
        </w:rPr>
        <w:tab/>
      </w:r>
      <w:r>
        <w:rPr>
          <w:rFonts w:ascii="Times New Roman" w:hAnsi="Times New Roman"/>
          <w:noProof/>
          <w:sz w:val="24"/>
        </w:rPr>
        <w:t xml:space="preserve">Adoptarea și intrarea în vigoare a modificării legislației naționale privind căile de atac (Legea nr. 101/2016) în vederea raționalizării procesului de atribuire a contractelor (până la 31 martie 2022). </w:t>
      </w:r>
    </w:p>
    <w:p w14:paraId="1E397A87" w14:textId="77777777" w:rsidR="001C33F0" w:rsidRPr="000A27B3" w:rsidRDefault="001C33F0">
      <w:pPr>
        <w:spacing w:before="120" w:after="120" w:line="240" w:lineRule="auto"/>
        <w:ind w:left="720" w:hanging="720"/>
        <w:jc w:val="both"/>
        <w:rPr>
          <w:rFonts w:ascii="Times New Roman" w:hAnsi="Times New Roman" w:cs="Times New Roman"/>
          <w:noProof/>
          <w:sz w:val="24"/>
          <w:szCs w:val="24"/>
        </w:rPr>
      </w:pPr>
      <w:r>
        <w:rPr>
          <w:rFonts w:ascii="Times New Roman" w:hAnsi="Times New Roman"/>
          <w:noProof/>
          <w:sz w:val="24"/>
        </w:rPr>
        <w:t xml:space="preserve">(2) </w:t>
      </w:r>
      <w:r>
        <w:rPr>
          <w:noProof/>
        </w:rPr>
        <w:tab/>
      </w:r>
      <w:r>
        <w:rPr>
          <w:rFonts w:ascii="Times New Roman" w:hAnsi="Times New Roman"/>
          <w:noProof/>
          <w:sz w:val="24"/>
        </w:rPr>
        <w:t xml:space="preserve">Adoptarea și intrarea în vigoare a Strategiei actualizate privind achizițiile publice, inclusiv a măsurilor orizontale de sprijinire a implementării planului național de redresare și reziliență (până la 30 iunie 2023). </w:t>
      </w:r>
    </w:p>
    <w:p w14:paraId="1E1E3C53" w14:textId="77777777" w:rsidR="001C33F0" w:rsidRPr="000A27B3" w:rsidRDefault="001C33F0">
      <w:pPr>
        <w:spacing w:before="120" w:after="120" w:line="240" w:lineRule="auto"/>
        <w:ind w:left="720" w:hanging="720"/>
        <w:jc w:val="both"/>
        <w:rPr>
          <w:rFonts w:ascii="Times New Roman" w:hAnsi="Times New Roman" w:cs="Times New Roman"/>
          <w:noProof/>
          <w:sz w:val="24"/>
          <w:szCs w:val="24"/>
        </w:rPr>
      </w:pPr>
      <w:r>
        <w:rPr>
          <w:rFonts w:ascii="Times New Roman" w:hAnsi="Times New Roman"/>
          <w:noProof/>
          <w:sz w:val="24"/>
        </w:rPr>
        <w:t xml:space="preserve">(3) </w:t>
      </w:r>
      <w:r>
        <w:rPr>
          <w:noProof/>
        </w:rPr>
        <w:tab/>
      </w:r>
      <w:r>
        <w:rPr>
          <w:rFonts w:ascii="Times New Roman" w:hAnsi="Times New Roman"/>
          <w:noProof/>
          <w:sz w:val="24"/>
        </w:rPr>
        <w:t xml:space="preserve">Operaționalizarea organismelor centralizate de achiziții publice pentru autoritățile locale (până la 31 decembrie 2025). </w:t>
      </w:r>
    </w:p>
    <w:p w14:paraId="08FD073C" w14:textId="77777777" w:rsidR="001C33F0" w:rsidRPr="000A27B3" w:rsidRDefault="001C33F0">
      <w:pPr>
        <w:spacing w:before="120" w:after="120" w:line="240" w:lineRule="auto"/>
        <w:ind w:left="720" w:hanging="720"/>
        <w:jc w:val="both"/>
        <w:rPr>
          <w:rFonts w:ascii="Times New Roman" w:hAnsi="Times New Roman" w:cs="Times New Roman"/>
          <w:noProof/>
          <w:sz w:val="24"/>
          <w:szCs w:val="24"/>
        </w:rPr>
      </w:pPr>
      <w:r>
        <w:rPr>
          <w:rFonts w:ascii="Times New Roman" w:hAnsi="Times New Roman"/>
          <w:noProof/>
          <w:sz w:val="24"/>
        </w:rPr>
        <w:t xml:space="preserve">(4) </w:t>
      </w:r>
      <w:r>
        <w:rPr>
          <w:noProof/>
        </w:rPr>
        <w:tab/>
      </w:r>
      <w:r>
        <w:rPr>
          <w:rFonts w:ascii="Times New Roman" w:hAnsi="Times New Roman"/>
          <w:noProof/>
          <w:sz w:val="24"/>
        </w:rPr>
        <w:t xml:space="preserve">Formare specializată în domeniul achizițiilor publice oferită unui număr de cel puțin 350 de persoane (atât funcționari publici, cât și agenți contractuali) (până la 31 decembrie 2023). </w:t>
      </w:r>
    </w:p>
    <w:p w14:paraId="6E0B3C6C" w14:textId="77777777" w:rsidR="001C33F0" w:rsidRPr="000A27B3" w:rsidRDefault="001C33F0">
      <w:pPr>
        <w:spacing w:before="120" w:after="120" w:line="240" w:lineRule="auto"/>
        <w:ind w:left="720" w:hanging="720"/>
        <w:jc w:val="both"/>
        <w:rPr>
          <w:rFonts w:ascii="Times New Roman" w:hAnsi="Times New Roman" w:cs="Times New Roman"/>
          <w:noProof/>
          <w:sz w:val="24"/>
          <w:szCs w:val="24"/>
        </w:rPr>
      </w:pPr>
      <w:r>
        <w:rPr>
          <w:rFonts w:ascii="Times New Roman" w:hAnsi="Times New Roman"/>
          <w:noProof/>
          <w:sz w:val="24"/>
        </w:rPr>
        <w:t xml:space="preserve">(5) </w:t>
      </w:r>
      <w:r>
        <w:rPr>
          <w:noProof/>
        </w:rPr>
        <w:tab/>
      </w:r>
      <w:r>
        <w:rPr>
          <w:rFonts w:ascii="Times New Roman" w:hAnsi="Times New Roman"/>
          <w:noProof/>
          <w:sz w:val="24"/>
        </w:rPr>
        <w:t xml:space="preserve">Interconectarea și interoperabilitatea cu alte baze de date a Sistemului electronic de achiziții publice (SEAP) (până la 31 decembrie 2023). </w:t>
      </w:r>
    </w:p>
    <w:p w14:paraId="4019DAD8" w14:textId="77777777" w:rsidR="001C33F0" w:rsidRPr="000A27B3" w:rsidRDefault="001C33F0">
      <w:pPr>
        <w:spacing w:before="120" w:after="120" w:line="240" w:lineRule="auto"/>
        <w:ind w:left="720" w:hanging="720"/>
        <w:jc w:val="both"/>
        <w:rPr>
          <w:rFonts w:ascii="Times New Roman" w:hAnsi="Times New Roman" w:cs="Times New Roman"/>
          <w:noProof/>
          <w:sz w:val="24"/>
          <w:szCs w:val="24"/>
        </w:rPr>
      </w:pPr>
      <w:r>
        <w:rPr>
          <w:rFonts w:ascii="Times New Roman" w:hAnsi="Times New Roman"/>
          <w:noProof/>
          <w:sz w:val="24"/>
        </w:rPr>
        <w:t xml:space="preserve">(6) </w:t>
      </w:r>
      <w:r>
        <w:rPr>
          <w:noProof/>
        </w:rPr>
        <w:tab/>
      </w:r>
      <w:r>
        <w:rPr>
          <w:rFonts w:ascii="Times New Roman" w:hAnsi="Times New Roman"/>
          <w:noProof/>
          <w:sz w:val="24"/>
        </w:rPr>
        <w:t xml:space="preserve">Operaționalizarea sistemului electronic de achiziții publice, inclusiv formulare electronice, evaluarea automată a calificărilor, cataloage electronice, facturare electronică, plăți electronice (până la 31 martie 2025). </w:t>
      </w:r>
    </w:p>
    <w:p w14:paraId="3AED619E"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Reforma 9. Îmbunătățirea cadrului procedural de implementare a principiilor guvernanței corporative în cadrul întreprinderilor de stat</w:t>
      </w:r>
    </w:p>
    <w:p w14:paraId="3FC6B96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de a îmbunătăți guvernanța corporativă a tuturor întreprinderilor de stat din România prin aplicarea standardelor OCDE.</w:t>
      </w:r>
      <w:r>
        <w:rPr>
          <w:rFonts w:ascii="Times New Roman" w:hAnsi="Times New Roman"/>
          <w:noProof/>
          <w:sz w:val="24"/>
          <w:u w:val="single"/>
        </w:rPr>
        <w:t xml:space="preserve"> </w:t>
      </w:r>
    </w:p>
    <w:p w14:paraId="45C25C96"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Reforma va fi realizată prin intrarea în vigoare a modificărilor aduse Legii nr. 111/2016, eliminând toate excepțiile de la respectarea standardelor de guvernanță corporativă, inclusiv pentru companiile de stat de la nivel local. Aceste modificări vor asigura separarea între funcția de reglementare și funcția de proprietate, vor elimina orice avantaj direct sau indirect care ar putea deriva din deținerea de către stat, fie în ceea ce privește normele/reglementările pieței, finanțare, impozitare sau achiziții publice, și vor garanta că orice întreprindere de stat urmărește obținerea profitabilității. </w:t>
      </w:r>
    </w:p>
    <w:p w14:paraId="4C66AF9F" w14:textId="77777777" w:rsidR="001C33F0" w:rsidRPr="000A27B3" w:rsidRDefault="001C33F0">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De asemenea, reforma va institui și va operaționaliza un grup operativ în cadrul Centrului Guvernului care va asigura monitorizarea aplicării standardelor de guvernanță corporativă, având responsabilitatea finală de a asigura o procedură de selecție transparentă și competitivă pentru aprobarea numirii membrilor consiliului de administrație, a observatorilor, precum și pentru evaluare și control. Grupul operativ va publica rapoarte periodice privind indicatorii de performanță și va aplica sancțiuni pentru întreprinderile de stat care nu respectă indicatorii-cheie de performanță. Un tablou de bord de monitorizare cu obiective financiare și nefinanciare și indicatori de performanță pentru toate categoriile de societăți publice (inclusiv din sectoare-cheie precum transporturile, energia, utilitățile publice) va fi elaborat, publicat anual și utilizat la nivel central pentru raportarea și monitorizarea progreselor înregistrate în atingerea performanței pentru toate categoriile de întreprinderi de stat. </w:t>
      </w:r>
    </w:p>
    <w:p w14:paraId="1A6C4B65" w14:textId="77777777" w:rsidR="001C33F0" w:rsidRPr="000A27B3" w:rsidRDefault="001C33F0">
      <w:pPr>
        <w:spacing w:after="240"/>
        <w:jc w:val="both"/>
        <w:rPr>
          <w:rFonts w:ascii="Times New Roman" w:hAnsi="Times New Roman" w:cs="Times New Roman"/>
          <w:noProof/>
          <w:sz w:val="24"/>
          <w:u w:val="single"/>
        </w:rPr>
      </w:pPr>
      <w:r>
        <w:rPr>
          <w:rFonts w:ascii="Times New Roman" w:hAnsi="Times New Roman"/>
          <w:noProof/>
          <w:sz w:val="24"/>
        </w:rPr>
        <w:t xml:space="preserve">În conformitate cu articolul 7 alineatul (2) din Regulamentul privind redresarea și reziliența, România a solicitat sprijin tehnic prin intermediul instrumentului de asistență tehnică pentru punerea în aplicare a reformei de îmbunătățire a cadrului privind guvernanța corporativă în întreprinderile de stat. Asistența tehnică este necesară în vederea modificării legislației aferente (Legea nr. 111/2016, si HG 722/2016) și a politicii de acționariat a statului (inclusiv prin consultarea tuturor părților interesate), precum și pentru crearea cadrului instituțional adecvat, în vederea centralizării funcției de acționariat a statului în cadrul unei structuri/instituții. De asemenea, asistența tehnică este necesară pentru dezvoltarea capacității instituționale în domeniul administrării întreprinderilor de stat (creșterea expertizei personalului departamentelor de guvernanță corporative din ministere care gestionează întreprinderile de stat), și a capacității de coordonare și monitorizare a noului grup de lucru constituit la centrul Guvernului. </w:t>
      </w:r>
    </w:p>
    <w:p w14:paraId="479512FE"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30 iunie 2026. Legislația actualizată pentru companiile de stat (inclusiv cele de la nivel local) va intra în vigoare până la 31 decembrie 2022. Grupul operativ permanent care va asigura monitorizarea și aplicarea standardelor de guvernanță corporativă va deveni operațional până la 31 decembrie 2022. Tabloul de bord de monitorizare va deveni operațional până la 30 iunie 2023.</w:t>
      </w:r>
    </w:p>
    <w:p w14:paraId="3D06880B"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Investiția 1 Optimizarea infrastructurii judiciare pentru a garanta accesul la justiție si calitatea serviciilor</w:t>
      </w:r>
    </w:p>
    <w:p w14:paraId="3E9DEBCF" w14:textId="77777777" w:rsidR="001C33F0" w:rsidRPr="000A27B3" w:rsidRDefault="001C33F0">
      <w:pPr>
        <w:spacing w:before="120" w:after="120"/>
        <w:jc w:val="both"/>
        <w:rPr>
          <w:rFonts w:ascii="Times New Roman" w:hAnsi="Times New Roman" w:cs="Times New Roman"/>
          <w:iCs/>
          <w:noProof/>
          <w:sz w:val="24"/>
          <w:szCs w:val="24"/>
        </w:rPr>
      </w:pPr>
      <w:r>
        <w:rPr>
          <w:rFonts w:ascii="Times New Roman" w:hAnsi="Times New Roman"/>
          <w:noProof/>
          <w:sz w:val="24"/>
        </w:rPr>
        <w:t xml:space="preserve">Obiectivul acestei investiții este de a îmbunătăți eficiența sistemului judiciar și accesul la justiție. </w:t>
      </w:r>
    </w:p>
    <w:p w14:paraId="4B6C278F" w14:textId="77777777" w:rsidR="001C33F0" w:rsidRPr="000A27B3" w:rsidRDefault="001C33F0">
      <w:pPr>
        <w:spacing w:before="120" w:after="120" w:line="240" w:lineRule="auto"/>
        <w:jc w:val="both"/>
        <w:rPr>
          <w:rFonts w:ascii="Times New Roman" w:hAnsi="Times New Roman" w:cs="Times New Roman"/>
          <w:iCs/>
          <w:noProof/>
          <w:sz w:val="24"/>
          <w:szCs w:val="24"/>
        </w:rPr>
      </w:pPr>
      <w:r>
        <w:rPr>
          <w:rFonts w:ascii="Times New Roman" w:hAnsi="Times New Roman"/>
          <w:noProof/>
          <w:sz w:val="24"/>
        </w:rPr>
        <w:t xml:space="preserve">Vor fi construite 3 noi sedii de instanțe, care vor respecta obiectivul privind necesarul de energie primară cu cel puțin 20 % mai mic decât cerința pentru clădirile al căror consum de energie este aproape egal cu zero conform orientărilor naționale, ceea ce se va asigura prin certificate de performanță energetică. Accesul în clădiri va fi adaptat persoanelor cu dizabilități, iar această adaptare este însoțită de respectarea standardelor protecție împotriva incendiilor și a standardelor tehnice de protecție, inclusiv reziliența seismică. Se va acorda prioritate sediilor autorităților judiciare din zonele mai puțin dezvoltate din punct de vedere economic din România. </w:t>
      </w:r>
    </w:p>
    <w:p w14:paraId="0F367E1B" w14:textId="77777777" w:rsidR="001C33F0" w:rsidRPr="000A27B3" w:rsidRDefault="001C33F0">
      <w:pPr>
        <w:spacing w:before="120" w:after="240"/>
        <w:jc w:val="both"/>
        <w:rPr>
          <w:rFonts w:ascii="Times New Roman" w:hAnsi="Times New Roman" w:cs="Times New Roman"/>
          <w:bCs/>
          <w:iCs/>
          <w:noProof/>
          <w:sz w:val="24"/>
          <w:szCs w:val="24"/>
        </w:rPr>
      </w:pPr>
      <w:r>
        <w:rPr>
          <w:rFonts w:ascii="Times New Roman" w:hAnsi="Times New Roman"/>
          <w:noProof/>
          <w:sz w:val="24"/>
        </w:rPr>
        <w:t xml:space="preserve">Implementarea investiției va fi finalizată până la 30 iunie 2026. </w:t>
      </w:r>
    </w:p>
    <w:p w14:paraId="38908D87"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Investiția 2 Dezvoltarea infrastructurii logistice (non-IT) necesare luptei împotriva corupției și recuperării produsului și prejudiciilor generate de infracțiuni, inclusiv a formării profesionale în aceste domenii.</w:t>
      </w:r>
    </w:p>
    <w:p w14:paraId="1C9244F8" w14:textId="77777777" w:rsidR="001C33F0" w:rsidRPr="000A27B3" w:rsidRDefault="001C33F0">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acestei investiții este de a extinde capacitatea de depozitare a ANABI prin construcția a cel puțin 3 noi depozite pentru bunurile confiscate, care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326C982A"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septembrie 2025. </w:t>
      </w:r>
    </w:p>
    <w:p w14:paraId="0B165455"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Investiția 3 Crearea de structuri parteneriale locale între autoritățile locale și societatea civilă</w:t>
      </w:r>
    </w:p>
    <w:p w14:paraId="72AE08E2"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investiției este îmbunătățirea stabilității, a predictibilității și a susținerii parteneriatului în procesul de formulare a politicilor publice; se vizează, pe de o parte, stimularea unor parteneriate de lucru permanente între administrația publică și societatea civilă și, pe de altă parte, îmbunătățirea gradului de participare și implicare activă a cetățenilor în procesul decizional, concomitent cu creșterea gradului de digitalizare a sectorului ONG-urilor, ca premise pentru îmbunătățirea calității și a predictibilității procesului decizional, cu impact pozitiv asupra calității serviciilor publice oferite cetățenilor și mediului de afaceri.</w:t>
      </w:r>
    </w:p>
    <w:p w14:paraId="1997B54C"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În consecință, vor fi instituite și operaționale cel puțin 50 de parteneriate între autoritățile administrației publice locale și ONG-uri și vor deveni operaționale cel puțin 15 inițiative de colaborare funcțională ale sectorului neguvernamental.</w:t>
      </w:r>
    </w:p>
    <w:p w14:paraId="6C12ED5D"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martie 2026.</w:t>
      </w:r>
    </w:p>
    <w:p w14:paraId="2D28F0F0"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 xml:space="preserve">Investiția 4. </w:t>
      </w:r>
      <w:r>
        <w:rPr>
          <w:rFonts w:ascii="Times New Roman" w:hAnsi="Times New Roman"/>
          <w:noProof/>
          <w:u w:val="single"/>
        </w:rPr>
        <w:t>Creșterea capacității organizațiilor societății civile de stimulare a cetățeniei active, de implicare profesionistă în planificarea și implementarea politicilor publice privind drepturile sociale vizate de planul național de redresare și reziliență și monitorizarea reformelor asociate</w:t>
      </w:r>
    </w:p>
    <w:p w14:paraId="16AFED40"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Creșterea capacității organizațiilor societății civile de stimulare a cetățeniei active, de implicare profesionistă în planificarea și implementarea politicilor publice privind drepturile sociale vizate de PNRR și monitorizarea reformelor asociate </w:t>
      </w:r>
    </w:p>
    <w:p w14:paraId="762D5D5B" w14:textId="647CD463"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Ca urmare a acestei investiții, se vor înființa cel puțin 15 inițiative de colaborare funcțională ale sectorului neguvernamental (rețele, coaliții, platforme, grupuri de organizații, inclusiv grupuri de reflecție, structuri de analiză și de cercetare) pentru a asigura continuitatea în procesele de consultare publică, respectiv monitorizare a punerii în aplicare a cel puțin 15</w:t>
      </w:r>
      <w:r w:rsidR="00506E69">
        <w:rPr>
          <w:rFonts w:ascii="Times New Roman" w:hAnsi="Times New Roman"/>
          <w:noProof/>
          <w:sz w:val="24"/>
        </w:rPr>
        <w:t> </w:t>
      </w:r>
      <w:r>
        <w:rPr>
          <w:rFonts w:ascii="Times New Roman" w:hAnsi="Times New Roman"/>
          <w:noProof/>
          <w:sz w:val="24"/>
        </w:rPr>
        <w:t>politici publice/reforme naționale în domenii cu funcție socială.</w:t>
      </w:r>
    </w:p>
    <w:p w14:paraId="4563533C"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31 martie 2026. </w:t>
      </w:r>
    </w:p>
    <w:p w14:paraId="0E7D0349" w14:textId="77777777" w:rsidR="001C33F0" w:rsidRPr="000A27B3" w:rsidRDefault="001C33F0">
      <w:pPr>
        <w:pStyle w:val="Standard"/>
        <w:spacing w:before="240"/>
        <w:jc w:val="both"/>
        <w:rPr>
          <w:rFonts w:ascii="Times New Roman" w:eastAsiaTheme="majorEastAsia" w:hAnsi="Times New Roman" w:cs="Times New Roman"/>
          <w:bCs/>
          <w:noProof/>
          <w:u w:val="single"/>
        </w:rPr>
      </w:pPr>
      <w:r>
        <w:rPr>
          <w:noProof/>
          <w:u w:val="single"/>
        </w:rPr>
        <w:t xml:space="preserve">Investiția 5. Monitorizarea și implementarea planului </w:t>
      </w:r>
    </w:p>
    <w:p w14:paraId="6CF3BCDE" w14:textId="27739268"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de a crea și de a operaționaliza sistemul informatic integrat, care face parte din cloudul guvernamental și este conectat la alte sisteme naționale și ale UE utilizate în scopul punerii în aplicare a planului de redresare și reziliență. </w:t>
      </w:r>
    </w:p>
    <w:p w14:paraId="47AACF85" w14:textId="77777777"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constă în două etape:</w:t>
      </w:r>
    </w:p>
    <w:p w14:paraId="7EE803FE" w14:textId="77777777" w:rsidR="001C33F0" w:rsidRPr="000A27B3" w:rsidRDefault="001C33F0" w:rsidP="001C33F0">
      <w:pPr>
        <w:numPr>
          <w:ilvl w:val="0"/>
          <w:numId w:val="99"/>
        </w:numPr>
        <w:spacing w:before="120" w:after="120" w:line="240" w:lineRule="auto"/>
        <w:jc w:val="both"/>
        <w:rPr>
          <w:rFonts w:ascii="Times New Roman" w:hAnsi="Times New Roman" w:cs="Times New Roman"/>
          <w:noProof/>
          <w:sz w:val="24"/>
        </w:rPr>
      </w:pPr>
      <w:r>
        <w:rPr>
          <w:rFonts w:ascii="Times New Roman" w:hAnsi="Times New Roman"/>
          <w:noProof/>
          <w:sz w:val="24"/>
        </w:rPr>
        <w:t xml:space="preserve">în prima etapă, sistemul va fi dezvoltat și va permite colectarea de date în scopuri de raportare (astfel cum se prevede în tablourile de bord ale Mecanismului de redresare și reziliență), monitorizarea progreselor în direcția atingerii jaloanelor și țintelor, pregătirea declarațiilor de gestiune, rezumatul auditului și cererile de plată, comunicarea cerințelor pentru părțile interesate, monitorizarea complementarităților cu alte surse de finanțare, efectuarea unei evaluări </w:t>
      </w:r>
      <w:r>
        <w:rPr>
          <w:rFonts w:ascii="Times New Roman" w:hAnsi="Times New Roman"/>
          <w:i/>
          <w:iCs/>
          <w:noProof/>
          <w:sz w:val="24"/>
        </w:rPr>
        <w:t>ex ante</w:t>
      </w:r>
      <w:r>
        <w:rPr>
          <w:rFonts w:ascii="Times New Roman" w:hAnsi="Times New Roman"/>
          <w:noProof/>
          <w:sz w:val="24"/>
        </w:rPr>
        <w:t xml:space="preserve"> pentru a evita riscul dublei finanțări, asigurarea verificării </w:t>
      </w:r>
      <w:r>
        <w:rPr>
          <w:rFonts w:ascii="Times New Roman" w:hAnsi="Times New Roman"/>
          <w:i/>
          <w:iCs/>
          <w:noProof/>
          <w:sz w:val="24"/>
        </w:rPr>
        <w:t>ex ante</w:t>
      </w:r>
      <w:r>
        <w:rPr>
          <w:rFonts w:ascii="Times New Roman" w:hAnsi="Times New Roman"/>
          <w:noProof/>
          <w:sz w:val="24"/>
        </w:rPr>
        <w:t xml:space="preserve"> și </w:t>
      </w:r>
      <w:r>
        <w:rPr>
          <w:rFonts w:ascii="Times New Roman" w:hAnsi="Times New Roman"/>
          <w:i/>
          <w:iCs/>
          <w:noProof/>
          <w:sz w:val="24"/>
        </w:rPr>
        <w:t>ex post</w:t>
      </w:r>
      <w:r>
        <w:rPr>
          <w:rFonts w:ascii="Times New Roman" w:hAnsi="Times New Roman"/>
          <w:noProof/>
          <w:sz w:val="24"/>
        </w:rPr>
        <w:t xml:space="preserve"> a procedurilor de achiziții efectuate de beneficiarii planurilor naționale de redresare și reziliență și asigurarea detectării și corectării în timp util a neregulilor, a fraudelor și a conflictelor de interese.</w:t>
      </w:r>
    </w:p>
    <w:p w14:paraId="25EE2FF2" w14:textId="77777777" w:rsidR="001C33F0" w:rsidRPr="000A27B3" w:rsidRDefault="001C33F0" w:rsidP="001C33F0">
      <w:pPr>
        <w:numPr>
          <w:ilvl w:val="0"/>
          <w:numId w:val="99"/>
        </w:numPr>
        <w:spacing w:before="120" w:after="120" w:line="240" w:lineRule="auto"/>
        <w:jc w:val="both"/>
        <w:rPr>
          <w:rFonts w:ascii="Times New Roman" w:hAnsi="Times New Roman" w:cs="Times New Roman"/>
          <w:noProof/>
          <w:sz w:val="24"/>
          <w:szCs w:val="24"/>
        </w:rPr>
      </w:pPr>
      <w:r>
        <w:rPr>
          <w:rFonts w:ascii="Times New Roman" w:hAnsi="Times New Roman"/>
          <w:noProof/>
          <w:sz w:val="24"/>
        </w:rPr>
        <w:t>în a doua etapă, se va pregăti și se va operaționaliza interconectarea cu alte sisteme de gestionare și control al fondurilor europene și de la bugetul național, precum și integrarea cu cloudul guvernamental.</w:t>
      </w:r>
    </w:p>
    <w:p w14:paraId="3DB21661" w14:textId="134A5D68" w:rsidR="001C33F0" w:rsidRPr="000A27B3" w:rsidRDefault="001C33F0">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2021, înainte de depunerea primei cereri de plată la Comisia Europeană.</w:t>
      </w:r>
    </w:p>
    <w:p w14:paraId="74115B4E" w14:textId="77777777" w:rsidR="001C33F0" w:rsidRPr="009F1DC7" w:rsidRDefault="001C33F0">
      <w:pPr>
        <w:spacing w:before="120" w:after="120" w:line="240" w:lineRule="auto"/>
        <w:jc w:val="both"/>
        <w:rPr>
          <w:rFonts w:ascii="Times New Roman" w:hAnsi="Times New Roman" w:cs="Times New Roman"/>
          <w:noProof/>
          <w:sz w:val="24"/>
          <w:szCs w:val="24"/>
          <w:lang w:val="fr-FR"/>
        </w:rPr>
        <w:sectPr w:rsidR="001C33F0" w:rsidRPr="009F1DC7" w:rsidSect="00ED6412">
          <w:headerReference w:type="even" r:id="rId289"/>
          <w:headerReference w:type="default" r:id="rId290"/>
          <w:footerReference w:type="even" r:id="rId291"/>
          <w:footerReference w:type="default" r:id="rId292"/>
          <w:headerReference w:type="first" r:id="rId293"/>
          <w:footerReference w:type="first" r:id="rId294"/>
          <w:pgSz w:w="11906" w:h="16838"/>
          <w:pgMar w:top="1440" w:right="1440" w:bottom="1440" w:left="1440" w:header="708" w:footer="708" w:gutter="0"/>
          <w:cols w:space="708"/>
          <w:docGrid w:linePitch="360"/>
        </w:sectPr>
      </w:pPr>
    </w:p>
    <w:p w14:paraId="58E8B7E5" w14:textId="77777777" w:rsidR="001C33F0" w:rsidRPr="000A27B3" w:rsidRDefault="001C33F0">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N.2. </w:t>
      </w:r>
      <w:r>
        <w:rPr>
          <w:noProof/>
        </w:rPr>
        <w:tab/>
      </w:r>
      <w:r>
        <w:rPr>
          <w:rFonts w:ascii="Times New Roman" w:hAnsi="Times New Roman"/>
          <w:b/>
          <w:noProof/>
          <w:sz w:val="24"/>
        </w:rPr>
        <w:t>Jaloane, ținte, indicatori și calendarul de monitorizare și implementare aplicabile sprijinului financiar nerambursabil</w:t>
      </w:r>
    </w:p>
    <w:tbl>
      <w:tblPr>
        <w:tblpPr w:leftFromText="180" w:rightFromText="180" w:vertAnchor="text" w:tblpXSpec="center" w:tblpY="1"/>
        <w:tblOverlap w:val="neve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91"/>
        <w:gridCol w:w="1226"/>
        <w:gridCol w:w="1495"/>
        <w:gridCol w:w="1547"/>
        <w:gridCol w:w="1034"/>
        <w:gridCol w:w="1200"/>
        <w:gridCol w:w="1091"/>
        <w:gridCol w:w="1309"/>
        <w:gridCol w:w="720"/>
        <w:gridCol w:w="3041"/>
      </w:tblGrid>
      <w:tr w:rsidR="000A27B3" w:rsidRPr="000A27B3" w14:paraId="3AA8F610" w14:textId="77777777" w:rsidTr="00B74F9A">
        <w:trPr>
          <w:trHeight w:val="445"/>
          <w:tblHeader/>
        </w:trPr>
        <w:tc>
          <w:tcPr>
            <w:tcW w:w="822" w:type="dxa"/>
            <w:vMerge w:val="restart"/>
            <w:shd w:val="clear" w:color="auto" w:fill="BDD7EE"/>
            <w:vAlign w:val="center"/>
            <w:hideMark/>
          </w:tcPr>
          <w:p w14:paraId="72E3B011"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2391" w:type="dxa"/>
            <w:vMerge w:val="restart"/>
            <w:shd w:val="clear" w:color="auto" w:fill="BDD7EE"/>
            <w:vAlign w:val="center"/>
            <w:hideMark/>
          </w:tcPr>
          <w:p w14:paraId="23E68140"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226" w:type="dxa"/>
            <w:vMerge w:val="restart"/>
            <w:shd w:val="clear" w:color="auto" w:fill="BDD7EE"/>
            <w:vAlign w:val="center"/>
            <w:hideMark/>
          </w:tcPr>
          <w:p w14:paraId="5CF93E81" w14:textId="23ECC9E9"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506E69">
              <w:rPr>
                <w:rFonts w:ascii="Times New Roman" w:hAnsi="Times New Roman"/>
                <w:b/>
                <w:noProof/>
                <w:sz w:val="24"/>
              </w:rPr>
              <w:br/>
            </w:r>
            <w:r>
              <w:rPr>
                <w:rFonts w:ascii="Times New Roman" w:hAnsi="Times New Roman"/>
                <w:b/>
                <w:noProof/>
                <w:sz w:val="24"/>
              </w:rPr>
              <w:t>țintă</w:t>
            </w:r>
          </w:p>
        </w:tc>
        <w:tc>
          <w:tcPr>
            <w:tcW w:w="1495" w:type="dxa"/>
            <w:vMerge w:val="restart"/>
            <w:shd w:val="clear" w:color="auto" w:fill="BDD7EE"/>
            <w:vAlign w:val="center"/>
            <w:hideMark/>
          </w:tcPr>
          <w:p w14:paraId="60DFB4ED"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547" w:type="dxa"/>
            <w:vMerge w:val="restart"/>
            <w:shd w:val="clear" w:color="auto" w:fill="BDD7EE"/>
            <w:vAlign w:val="center"/>
            <w:hideMark/>
          </w:tcPr>
          <w:p w14:paraId="012CCEAE"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Indicatori </w:t>
            </w:r>
          </w:p>
          <w:p w14:paraId="2F018FE0"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325" w:type="dxa"/>
            <w:gridSpan w:val="3"/>
            <w:shd w:val="clear" w:color="auto" w:fill="BDD7EE"/>
            <w:vAlign w:val="center"/>
            <w:hideMark/>
          </w:tcPr>
          <w:p w14:paraId="69F953B9"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Indicatori </w:t>
            </w:r>
          </w:p>
          <w:p w14:paraId="1D0DD343" w14:textId="0E836B99"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29" w:type="dxa"/>
            <w:gridSpan w:val="2"/>
            <w:shd w:val="clear" w:color="auto" w:fill="BDD7EE"/>
            <w:vAlign w:val="center"/>
            <w:hideMark/>
          </w:tcPr>
          <w:p w14:paraId="366E747A"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Calendar orientativ </w:t>
            </w:r>
          </w:p>
          <w:p w14:paraId="46773C92" w14:textId="5863BB42"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pentru atingerea jaloanelor/</w:t>
            </w:r>
            <w:r w:rsidR="00506E69">
              <w:rPr>
                <w:rFonts w:ascii="Times New Roman" w:hAnsi="Times New Roman"/>
                <w:b/>
                <w:noProof/>
                <w:sz w:val="24"/>
              </w:rPr>
              <w:br/>
            </w:r>
            <w:r>
              <w:rPr>
                <w:rFonts w:ascii="Times New Roman" w:hAnsi="Times New Roman"/>
                <w:b/>
                <w:noProof/>
                <w:sz w:val="24"/>
              </w:rPr>
              <w:t xml:space="preserve">țintelor </w:t>
            </w:r>
          </w:p>
        </w:tc>
        <w:tc>
          <w:tcPr>
            <w:tcW w:w="3041" w:type="dxa"/>
            <w:vMerge w:val="restart"/>
            <w:shd w:val="clear" w:color="auto" w:fill="BDD7EE"/>
            <w:vAlign w:val="center"/>
            <w:hideMark/>
          </w:tcPr>
          <w:p w14:paraId="675B751E"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59B8B92D" w14:textId="77777777" w:rsidTr="00B74F9A">
        <w:trPr>
          <w:trHeight w:val="315"/>
          <w:tblHeader/>
        </w:trPr>
        <w:tc>
          <w:tcPr>
            <w:tcW w:w="822" w:type="dxa"/>
            <w:vMerge/>
            <w:vAlign w:val="center"/>
          </w:tcPr>
          <w:p w14:paraId="7EF48871" w14:textId="77777777" w:rsidR="001C33F0" w:rsidRPr="009F1DC7" w:rsidRDefault="001C33F0">
            <w:pPr>
              <w:spacing w:after="0" w:line="240" w:lineRule="auto"/>
              <w:jc w:val="center"/>
              <w:rPr>
                <w:rFonts w:ascii="Times New Roman" w:eastAsia="Times New Roman" w:hAnsi="Times New Roman" w:cs="Times New Roman"/>
                <w:b/>
                <w:noProof/>
                <w:sz w:val="24"/>
                <w:lang w:eastAsia="en-GB"/>
              </w:rPr>
            </w:pPr>
          </w:p>
        </w:tc>
        <w:tc>
          <w:tcPr>
            <w:tcW w:w="2391" w:type="dxa"/>
            <w:vMerge/>
            <w:vAlign w:val="center"/>
          </w:tcPr>
          <w:p w14:paraId="062365F1" w14:textId="77777777" w:rsidR="001C33F0" w:rsidRPr="009F1DC7" w:rsidRDefault="001C33F0">
            <w:pPr>
              <w:spacing w:after="0" w:line="240" w:lineRule="auto"/>
              <w:jc w:val="center"/>
              <w:rPr>
                <w:rFonts w:ascii="Times New Roman" w:eastAsia="Times New Roman" w:hAnsi="Times New Roman" w:cs="Times New Roman"/>
                <w:b/>
                <w:noProof/>
                <w:sz w:val="24"/>
                <w:lang w:eastAsia="en-GB"/>
              </w:rPr>
            </w:pPr>
          </w:p>
        </w:tc>
        <w:tc>
          <w:tcPr>
            <w:tcW w:w="1226" w:type="dxa"/>
            <w:vMerge/>
            <w:vAlign w:val="center"/>
          </w:tcPr>
          <w:p w14:paraId="170A9104" w14:textId="77777777" w:rsidR="001C33F0" w:rsidRPr="009F1DC7" w:rsidRDefault="001C33F0">
            <w:pPr>
              <w:spacing w:after="0" w:line="240" w:lineRule="auto"/>
              <w:jc w:val="center"/>
              <w:rPr>
                <w:rFonts w:ascii="Times New Roman" w:eastAsia="Times New Roman" w:hAnsi="Times New Roman" w:cs="Times New Roman"/>
                <w:b/>
                <w:noProof/>
                <w:sz w:val="24"/>
                <w:lang w:eastAsia="en-GB"/>
              </w:rPr>
            </w:pPr>
          </w:p>
        </w:tc>
        <w:tc>
          <w:tcPr>
            <w:tcW w:w="1495" w:type="dxa"/>
            <w:vMerge/>
            <w:vAlign w:val="center"/>
          </w:tcPr>
          <w:p w14:paraId="0B69FE5A" w14:textId="77777777" w:rsidR="001C33F0" w:rsidRPr="009F1DC7" w:rsidRDefault="001C33F0">
            <w:pPr>
              <w:spacing w:after="0" w:line="240" w:lineRule="auto"/>
              <w:jc w:val="center"/>
              <w:rPr>
                <w:rFonts w:ascii="Times New Roman" w:eastAsia="Times New Roman" w:hAnsi="Times New Roman" w:cs="Times New Roman"/>
                <w:b/>
                <w:noProof/>
                <w:sz w:val="24"/>
                <w:lang w:eastAsia="en-GB"/>
              </w:rPr>
            </w:pPr>
          </w:p>
        </w:tc>
        <w:tc>
          <w:tcPr>
            <w:tcW w:w="1547" w:type="dxa"/>
            <w:vMerge/>
            <w:vAlign w:val="center"/>
          </w:tcPr>
          <w:p w14:paraId="7C4F8980" w14:textId="77777777" w:rsidR="001C33F0" w:rsidRPr="009F1DC7" w:rsidRDefault="001C33F0">
            <w:pPr>
              <w:spacing w:after="0" w:line="240" w:lineRule="auto"/>
              <w:jc w:val="center"/>
              <w:rPr>
                <w:rFonts w:ascii="Times New Roman" w:eastAsia="Times New Roman" w:hAnsi="Times New Roman" w:cs="Times New Roman"/>
                <w:b/>
                <w:noProof/>
                <w:sz w:val="24"/>
                <w:lang w:eastAsia="en-GB"/>
              </w:rPr>
            </w:pPr>
          </w:p>
        </w:tc>
        <w:tc>
          <w:tcPr>
            <w:tcW w:w="1034" w:type="dxa"/>
            <w:shd w:val="clear" w:color="auto" w:fill="BDD7EE"/>
            <w:vAlign w:val="center"/>
          </w:tcPr>
          <w:p w14:paraId="125AE64B"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 de măsură</w:t>
            </w:r>
          </w:p>
        </w:tc>
        <w:tc>
          <w:tcPr>
            <w:tcW w:w="1200" w:type="dxa"/>
            <w:shd w:val="clear" w:color="auto" w:fill="BDD7EE"/>
            <w:vAlign w:val="center"/>
          </w:tcPr>
          <w:p w14:paraId="44418936"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091" w:type="dxa"/>
            <w:shd w:val="clear" w:color="auto" w:fill="BDD7EE"/>
            <w:vAlign w:val="center"/>
          </w:tcPr>
          <w:p w14:paraId="2139BEC7"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309" w:type="dxa"/>
            <w:shd w:val="clear" w:color="auto" w:fill="BDD7EE"/>
            <w:vAlign w:val="center"/>
          </w:tcPr>
          <w:p w14:paraId="3F5889D2"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720" w:type="dxa"/>
            <w:shd w:val="clear" w:color="auto" w:fill="BDD7EE"/>
            <w:vAlign w:val="center"/>
          </w:tcPr>
          <w:p w14:paraId="42AC199A" w14:textId="77777777" w:rsidR="001C33F0" w:rsidRPr="000A27B3" w:rsidRDefault="001C33F0">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041" w:type="dxa"/>
            <w:vMerge/>
            <w:vAlign w:val="center"/>
          </w:tcPr>
          <w:p w14:paraId="5F5EFA64" w14:textId="77777777" w:rsidR="001C33F0" w:rsidRPr="000A27B3" w:rsidRDefault="001C33F0">
            <w:pPr>
              <w:spacing w:after="0" w:line="240" w:lineRule="auto"/>
              <w:jc w:val="center"/>
              <w:rPr>
                <w:rFonts w:ascii="Times New Roman" w:eastAsia="Times New Roman" w:hAnsi="Times New Roman" w:cs="Times New Roman"/>
                <w:b/>
                <w:noProof/>
                <w:sz w:val="24"/>
                <w:lang w:val="en-GB" w:eastAsia="en-GB"/>
              </w:rPr>
            </w:pPr>
          </w:p>
        </w:tc>
      </w:tr>
      <w:tr w:rsidR="000A27B3" w:rsidRPr="000A27B3" w14:paraId="53252543" w14:textId="77777777" w:rsidTr="00B74F9A">
        <w:trPr>
          <w:trHeight w:val="309"/>
        </w:trPr>
        <w:tc>
          <w:tcPr>
            <w:tcW w:w="822" w:type="dxa"/>
            <w:shd w:val="clear" w:color="auto" w:fill="C6EFCE"/>
            <w:noWrap/>
          </w:tcPr>
          <w:p w14:paraId="1EA4CDF0"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401</w:t>
            </w:r>
          </w:p>
        </w:tc>
        <w:tc>
          <w:tcPr>
            <w:tcW w:w="2391" w:type="dxa"/>
            <w:shd w:val="clear" w:color="auto" w:fill="C6EFCE"/>
            <w:noWrap/>
          </w:tcPr>
          <w:p w14:paraId="337D3AD1"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66463A77"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Jalon</w:t>
            </w:r>
          </w:p>
        </w:tc>
        <w:tc>
          <w:tcPr>
            <w:tcW w:w="1495" w:type="dxa"/>
            <w:shd w:val="clear" w:color="auto" w:fill="C6EFCE"/>
            <w:noWrap/>
          </w:tcPr>
          <w:p w14:paraId="2F3DDF91"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Intrarea în vigoare a metodologiilor și a procedurilor de îmbunătățire a raționamentului în materie de politici publice și a planificării și simplificării administrative</w:t>
            </w:r>
          </w:p>
        </w:tc>
        <w:tc>
          <w:tcPr>
            <w:tcW w:w="1547" w:type="dxa"/>
            <w:shd w:val="clear" w:color="auto" w:fill="C6EFCE"/>
            <w:noWrap/>
          </w:tcPr>
          <w:p w14:paraId="73B68C93"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în legi și în hotărârile de guvern care indică intrarea în vigoare a legilor și, respectiv, a hotărârilor de guvern pentru îmbunătățirea raționamentului în materie de politici publice și a planificării și simplificării administrative</w:t>
            </w:r>
          </w:p>
        </w:tc>
        <w:tc>
          <w:tcPr>
            <w:tcW w:w="1034" w:type="dxa"/>
            <w:shd w:val="clear" w:color="auto" w:fill="C6EFCE"/>
            <w:noWrap/>
          </w:tcPr>
          <w:p w14:paraId="3D3BC782" w14:textId="77777777" w:rsidR="001C33F0" w:rsidRPr="009F1DC7" w:rsidRDefault="001C33F0">
            <w:pPr>
              <w:spacing w:after="0" w:line="240" w:lineRule="auto"/>
              <w:rPr>
                <w:rFonts w:ascii="Times New Roman" w:eastAsia="Times New Roman" w:hAnsi="Times New Roman" w:cs="Times New Roman"/>
                <w:noProof/>
                <w:sz w:val="24"/>
                <w:szCs w:val="24"/>
                <w:lang w:eastAsia="en-GB"/>
              </w:rPr>
            </w:pPr>
          </w:p>
        </w:tc>
        <w:tc>
          <w:tcPr>
            <w:tcW w:w="1200" w:type="dxa"/>
            <w:shd w:val="clear" w:color="auto" w:fill="C6EFCE"/>
            <w:noWrap/>
          </w:tcPr>
          <w:p w14:paraId="3961937A" w14:textId="77777777" w:rsidR="001C33F0" w:rsidRPr="009F1DC7" w:rsidRDefault="001C33F0">
            <w:pPr>
              <w:spacing w:after="0" w:line="240" w:lineRule="auto"/>
              <w:jc w:val="right"/>
              <w:rPr>
                <w:rFonts w:ascii="Times New Roman" w:eastAsia="Times New Roman" w:hAnsi="Times New Roman" w:cs="Times New Roman"/>
                <w:noProof/>
                <w:sz w:val="24"/>
                <w:szCs w:val="24"/>
                <w:lang w:eastAsia="en-GB"/>
              </w:rPr>
            </w:pPr>
          </w:p>
        </w:tc>
        <w:tc>
          <w:tcPr>
            <w:tcW w:w="1091" w:type="dxa"/>
            <w:shd w:val="clear" w:color="auto" w:fill="C6EFCE"/>
            <w:noWrap/>
          </w:tcPr>
          <w:p w14:paraId="6F639392" w14:textId="77777777" w:rsidR="001C33F0" w:rsidRPr="009F1DC7" w:rsidRDefault="001C33F0">
            <w:pPr>
              <w:spacing w:after="0" w:line="240" w:lineRule="auto"/>
              <w:jc w:val="right"/>
              <w:rPr>
                <w:rFonts w:ascii="Times New Roman" w:eastAsia="Times New Roman" w:hAnsi="Times New Roman" w:cs="Times New Roman"/>
                <w:noProof/>
                <w:sz w:val="24"/>
                <w:szCs w:val="24"/>
                <w:lang w:eastAsia="en-GB"/>
              </w:rPr>
            </w:pPr>
          </w:p>
        </w:tc>
        <w:tc>
          <w:tcPr>
            <w:tcW w:w="1309" w:type="dxa"/>
            <w:shd w:val="clear" w:color="auto" w:fill="C6EFCE"/>
            <w:noWrap/>
          </w:tcPr>
          <w:p w14:paraId="5A214997"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T1</w:t>
            </w:r>
          </w:p>
        </w:tc>
        <w:tc>
          <w:tcPr>
            <w:tcW w:w="720" w:type="dxa"/>
            <w:shd w:val="clear" w:color="auto" w:fill="C6EFCE"/>
            <w:noWrap/>
          </w:tcPr>
          <w:p w14:paraId="4A1101F1"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 xml:space="preserve">2022 </w:t>
            </w:r>
          </w:p>
        </w:tc>
        <w:tc>
          <w:tcPr>
            <w:tcW w:w="3041" w:type="dxa"/>
            <w:shd w:val="clear" w:color="auto" w:fill="C6EFCE"/>
            <w:noWrap/>
          </w:tcPr>
          <w:p w14:paraId="09845D7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următoarelor acte legislative:</w:t>
            </w:r>
          </w:p>
          <w:p w14:paraId="3602225A" w14:textId="77777777" w:rsidR="001C33F0" w:rsidRPr="000A27B3" w:rsidRDefault="001C33F0">
            <w:pPr>
              <w:spacing w:after="0" w:line="240" w:lineRule="auto"/>
              <w:ind w:left="-21"/>
              <w:jc w:val="both"/>
              <w:rPr>
                <w:rFonts w:ascii="Times New Roman" w:hAnsi="Times New Roman" w:cs="Times New Roman"/>
                <w:noProof/>
                <w:sz w:val="24"/>
                <w:szCs w:val="24"/>
              </w:rPr>
            </w:pPr>
            <w:r>
              <w:rPr>
                <w:noProof/>
              </w:rPr>
              <w:t xml:space="preserve">(1) </w:t>
            </w:r>
            <w:r>
              <w:rPr>
                <w:rFonts w:ascii="Times New Roman" w:hAnsi="Times New Roman"/>
                <w:noProof/>
                <w:sz w:val="24"/>
              </w:rPr>
              <w:t>Hotărârea de Guvern de stabilire a procedurilor pentru elaborarea, implementarea, monitorizarea, evaluarea și actualizarea strategiilor guvernamentale;</w:t>
            </w:r>
            <w:r>
              <w:rPr>
                <w:noProof/>
              </w:rPr>
              <w:t xml:space="preserve"> </w:t>
            </w:r>
            <w:r>
              <w:rPr>
                <w:rFonts w:ascii="Times New Roman" w:hAnsi="Times New Roman"/>
                <w:noProof/>
                <w:sz w:val="24"/>
              </w:rPr>
              <w:t>(2) Hotărârea de Guvern de stabilire a procedurilor de planificare strategică și programare bugetară pentru asigurarea unei legături adecvate între politicile prioritare și buget. Programele bugetare ministeriale vor pune în aplicare recomandările privind analizele cheltuielilor (care sunt introduse în secțiunea privind reforma fiscală și reforma sistemului de pensii din prezentul document) în conformitate cu metodologia elaborată în cooperare cu Ministerul Finanțelor (MF).</w:t>
            </w:r>
          </w:p>
          <w:p w14:paraId="0AECB02A" w14:textId="77777777" w:rsidR="001C33F0" w:rsidRPr="000A27B3" w:rsidRDefault="001C33F0">
            <w:pPr>
              <w:pBdr>
                <w:top w:val="nil"/>
                <w:left w:val="nil"/>
                <w:bottom w:val="nil"/>
                <w:right w:val="nil"/>
                <w:between w:val="nil"/>
              </w:pBdr>
              <w:spacing w:after="0" w:line="240" w:lineRule="auto"/>
              <w:ind w:left="-21"/>
              <w:jc w:val="both"/>
              <w:rPr>
                <w:rFonts w:ascii="Times New Roman" w:hAnsi="Times New Roman" w:cs="Times New Roman"/>
                <w:noProof/>
                <w:sz w:val="24"/>
                <w:szCs w:val="24"/>
              </w:rPr>
            </w:pPr>
            <w:r>
              <w:rPr>
                <w:noProof/>
              </w:rPr>
              <w:t xml:space="preserve">(3) </w:t>
            </w:r>
            <w:r>
              <w:rPr>
                <w:rFonts w:ascii="Times New Roman" w:hAnsi="Times New Roman"/>
                <w:noProof/>
                <w:sz w:val="24"/>
              </w:rPr>
              <w:t>Hotărârea de Guvern privind actualizarea metodologiei de evaluare ex-ante a impactului proiectelor de reglementări. Metodologia actualizată se va axa pe introducerea principiilor inovării și „digital în mod implicit” (</w:t>
            </w:r>
            <w:r>
              <w:rPr>
                <w:rFonts w:ascii="Times New Roman" w:hAnsi="Times New Roman"/>
                <w:i/>
                <w:noProof/>
                <w:sz w:val="24"/>
              </w:rPr>
              <w:t>digital by default</w:t>
            </w:r>
            <w:r>
              <w:rPr>
                <w:rFonts w:ascii="Times New Roman" w:hAnsi="Times New Roman"/>
                <w:noProof/>
                <w:sz w:val="24"/>
              </w:rPr>
              <w:t xml:space="preserve">), precum și pe proceduri specifice pentru consolidarea punerii în aplicare și a raportării anuale. </w:t>
            </w:r>
          </w:p>
          <w:p w14:paraId="352EEA17" w14:textId="77777777" w:rsidR="001C33F0" w:rsidRPr="000A27B3" w:rsidRDefault="001C33F0">
            <w:pPr>
              <w:pBdr>
                <w:top w:val="nil"/>
                <w:left w:val="nil"/>
                <w:bottom w:val="nil"/>
                <w:right w:val="nil"/>
                <w:between w:val="nil"/>
              </w:pBdr>
              <w:spacing w:after="0" w:line="240" w:lineRule="auto"/>
              <w:ind w:left="-21"/>
              <w:jc w:val="both"/>
              <w:rPr>
                <w:rFonts w:ascii="Times New Roman" w:hAnsi="Times New Roman" w:cs="Times New Roman"/>
                <w:noProof/>
                <w:sz w:val="24"/>
                <w:szCs w:val="24"/>
              </w:rPr>
            </w:pPr>
            <w:r>
              <w:rPr>
                <w:noProof/>
              </w:rPr>
              <w:t xml:space="preserve">(4) </w:t>
            </w:r>
            <w:r>
              <w:rPr>
                <w:rFonts w:ascii="Times New Roman" w:hAnsi="Times New Roman"/>
                <w:noProof/>
                <w:sz w:val="24"/>
              </w:rPr>
              <w:t>Hotărârea de Guvern privind aprobarea metodologiei privind principiul numărului constant (One in, one out) pentru reducerea sarcinii administrative.</w:t>
            </w:r>
          </w:p>
          <w:p w14:paraId="63D73BFC" w14:textId="77777777" w:rsidR="001C33F0" w:rsidRPr="000A27B3" w:rsidRDefault="001C33F0">
            <w:pPr>
              <w:spacing w:after="0" w:line="240" w:lineRule="auto"/>
              <w:ind w:left="-21"/>
              <w:jc w:val="both"/>
              <w:rPr>
                <w:rFonts w:ascii="Times New Roman" w:eastAsia="Times New Roman" w:hAnsi="Times New Roman" w:cs="Times New Roman"/>
                <w:noProof/>
                <w:sz w:val="24"/>
              </w:rPr>
            </w:pPr>
            <w:r>
              <w:rPr>
                <w:rFonts w:ascii="Times New Roman" w:hAnsi="Times New Roman"/>
                <w:noProof/>
                <w:sz w:val="24"/>
              </w:rPr>
              <w:t>(5) Hotărârea de Guvern privind cadrul procedural și metodologic pentru evaluarea ex-post a regulamentelor.</w:t>
            </w:r>
          </w:p>
        </w:tc>
      </w:tr>
      <w:tr w:rsidR="000A27B3" w:rsidRPr="000A27B3" w14:paraId="55943C42" w14:textId="77777777" w:rsidTr="00B74F9A">
        <w:trPr>
          <w:trHeight w:val="309"/>
        </w:trPr>
        <w:tc>
          <w:tcPr>
            <w:tcW w:w="822" w:type="dxa"/>
            <w:shd w:val="clear" w:color="auto" w:fill="C6EFCE"/>
            <w:noWrap/>
          </w:tcPr>
          <w:p w14:paraId="531358B3"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 xml:space="preserve">402 </w:t>
            </w:r>
          </w:p>
        </w:tc>
        <w:tc>
          <w:tcPr>
            <w:tcW w:w="2391" w:type="dxa"/>
            <w:shd w:val="clear" w:color="auto" w:fill="C6EFCE"/>
            <w:noWrap/>
          </w:tcPr>
          <w:p w14:paraId="283EB14E"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 </w:t>
            </w:r>
          </w:p>
        </w:tc>
        <w:tc>
          <w:tcPr>
            <w:tcW w:w="1226" w:type="dxa"/>
            <w:shd w:val="clear" w:color="auto" w:fill="C6EFCE"/>
            <w:noWrap/>
          </w:tcPr>
          <w:p w14:paraId="0824D4DB"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Jalon</w:t>
            </w:r>
          </w:p>
        </w:tc>
        <w:tc>
          <w:tcPr>
            <w:tcW w:w="1495" w:type="dxa"/>
            <w:shd w:val="clear" w:color="auto" w:fill="C6EFCE"/>
            <w:noWrap/>
          </w:tcPr>
          <w:p w14:paraId="08068F08"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Un nou sistem de gestionare strategică și de planificare strategică este operațional în toate ministerele </w:t>
            </w:r>
          </w:p>
        </w:tc>
        <w:tc>
          <w:tcPr>
            <w:tcW w:w="1547" w:type="dxa"/>
            <w:shd w:val="clear" w:color="auto" w:fill="C6EFCE"/>
            <w:noWrap/>
          </w:tcPr>
          <w:p w14:paraId="7EA9E598"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Noul sistem este operațional în toate ministerele de resort</w:t>
            </w:r>
          </w:p>
        </w:tc>
        <w:tc>
          <w:tcPr>
            <w:tcW w:w="1034" w:type="dxa"/>
            <w:shd w:val="clear" w:color="auto" w:fill="C6EFCE"/>
            <w:noWrap/>
          </w:tcPr>
          <w:p w14:paraId="56D9E131"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200" w:type="dxa"/>
            <w:shd w:val="clear" w:color="auto" w:fill="C6EFCE"/>
            <w:noWrap/>
          </w:tcPr>
          <w:p w14:paraId="7FA10112"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091" w:type="dxa"/>
            <w:shd w:val="clear" w:color="auto" w:fill="C6EFCE"/>
            <w:noWrap/>
          </w:tcPr>
          <w:p w14:paraId="5EB2FB6F"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309" w:type="dxa"/>
            <w:shd w:val="clear" w:color="auto" w:fill="C6EFCE"/>
            <w:noWrap/>
          </w:tcPr>
          <w:p w14:paraId="1364C0BF"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T2</w:t>
            </w:r>
          </w:p>
        </w:tc>
        <w:tc>
          <w:tcPr>
            <w:tcW w:w="720" w:type="dxa"/>
            <w:shd w:val="clear" w:color="auto" w:fill="C6EFCE"/>
            <w:noWrap/>
          </w:tcPr>
          <w:p w14:paraId="1B4316B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2023</w:t>
            </w:r>
          </w:p>
          <w:p w14:paraId="77CA135C" w14:textId="77777777" w:rsidR="001C33F0" w:rsidRPr="000A27B3" w:rsidRDefault="001C33F0">
            <w:pPr>
              <w:spacing w:after="0" w:line="240" w:lineRule="auto"/>
              <w:jc w:val="center"/>
              <w:rPr>
                <w:rFonts w:ascii="Times New Roman" w:eastAsia="Times New Roman" w:hAnsi="Times New Roman" w:cs="Times New Roman"/>
                <w:noProof/>
                <w:sz w:val="24"/>
                <w:szCs w:val="24"/>
                <w:lang w:val="en-GB" w:eastAsia="en-GB"/>
              </w:rPr>
            </w:pPr>
          </w:p>
        </w:tc>
        <w:tc>
          <w:tcPr>
            <w:tcW w:w="3041" w:type="dxa"/>
            <w:shd w:val="clear" w:color="auto" w:fill="C6EFCE"/>
            <w:noWrap/>
          </w:tcPr>
          <w:p w14:paraId="1E559DD2" w14:textId="77777777" w:rsidR="001C33F0" w:rsidRPr="000A27B3" w:rsidRDefault="001C33F0">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Strategiile și planurile strategice elaborate la nivel ministerial vor respecta dispozițiile metodologiilor menționate la jalonul 401 și vor fi încărcate pe platforma de monitorizare a Planurilor strategice instituționale (PSI), care va fi extinsă la toate ministerele. </w:t>
            </w:r>
          </w:p>
        </w:tc>
      </w:tr>
      <w:tr w:rsidR="000A27B3" w:rsidRPr="000A27B3" w14:paraId="645247AB" w14:textId="77777777" w:rsidTr="00B74F9A">
        <w:trPr>
          <w:trHeight w:val="309"/>
        </w:trPr>
        <w:tc>
          <w:tcPr>
            <w:tcW w:w="822" w:type="dxa"/>
            <w:shd w:val="clear" w:color="auto" w:fill="C6EFCE"/>
            <w:noWrap/>
          </w:tcPr>
          <w:p w14:paraId="32D887F2"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 xml:space="preserve">403 </w:t>
            </w:r>
          </w:p>
        </w:tc>
        <w:tc>
          <w:tcPr>
            <w:tcW w:w="2391" w:type="dxa"/>
            <w:shd w:val="clear" w:color="auto" w:fill="C6EFCE"/>
            <w:noWrap/>
          </w:tcPr>
          <w:p w14:paraId="37E40BD5"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42A6B7B4"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Țintă</w:t>
            </w:r>
          </w:p>
        </w:tc>
        <w:tc>
          <w:tcPr>
            <w:tcW w:w="1495" w:type="dxa"/>
            <w:shd w:val="clear" w:color="auto" w:fill="C6EFCE"/>
            <w:noWrap/>
          </w:tcPr>
          <w:p w14:paraId="10E25F9E"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Cel puțin 3 ministere au planificat și implementat bugetele pentru fiecare program </w:t>
            </w:r>
          </w:p>
        </w:tc>
        <w:tc>
          <w:tcPr>
            <w:tcW w:w="1547" w:type="dxa"/>
            <w:shd w:val="clear" w:color="auto" w:fill="C6EFCE"/>
            <w:noWrap/>
          </w:tcPr>
          <w:p w14:paraId="577AE11A" w14:textId="77777777" w:rsidR="001C33F0" w:rsidRPr="009F1DC7" w:rsidRDefault="001C33F0">
            <w:pPr>
              <w:spacing w:after="0" w:line="240" w:lineRule="auto"/>
              <w:jc w:val="both"/>
              <w:rPr>
                <w:rFonts w:ascii="Times New Roman" w:eastAsia="Times New Roman" w:hAnsi="Times New Roman" w:cs="Times New Roman"/>
                <w:noProof/>
                <w:sz w:val="24"/>
                <w:szCs w:val="24"/>
                <w:lang w:val="fr-FR" w:eastAsia="en-GB"/>
              </w:rPr>
            </w:pPr>
          </w:p>
        </w:tc>
        <w:tc>
          <w:tcPr>
            <w:tcW w:w="1034" w:type="dxa"/>
            <w:shd w:val="clear" w:color="auto" w:fill="C6EFCE"/>
            <w:noWrap/>
          </w:tcPr>
          <w:p w14:paraId="201A7ED6"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Număr</w:t>
            </w:r>
          </w:p>
        </w:tc>
        <w:tc>
          <w:tcPr>
            <w:tcW w:w="1200" w:type="dxa"/>
            <w:shd w:val="clear" w:color="auto" w:fill="C6EFCE"/>
            <w:noWrap/>
          </w:tcPr>
          <w:p w14:paraId="338089CC"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0</w:t>
            </w:r>
          </w:p>
        </w:tc>
        <w:tc>
          <w:tcPr>
            <w:tcW w:w="1091" w:type="dxa"/>
            <w:shd w:val="clear" w:color="auto" w:fill="C6EFCE"/>
            <w:noWrap/>
          </w:tcPr>
          <w:p w14:paraId="65331779"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 xml:space="preserve">3 </w:t>
            </w:r>
          </w:p>
        </w:tc>
        <w:tc>
          <w:tcPr>
            <w:tcW w:w="1309" w:type="dxa"/>
            <w:shd w:val="clear" w:color="auto" w:fill="C6EFCE"/>
            <w:noWrap/>
          </w:tcPr>
          <w:p w14:paraId="741857E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T2</w:t>
            </w:r>
          </w:p>
        </w:tc>
        <w:tc>
          <w:tcPr>
            <w:tcW w:w="720" w:type="dxa"/>
            <w:shd w:val="clear" w:color="auto" w:fill="C6EFCE"/>
            <w:noWrap/>
          </w:tcPr>
          <w:p w14:paraId="64F1BFD7"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2025</w:t>
            </w:r>
          </w:p>
        </w:tc>
        <w:tc>
          <w:tcPr>
            <w:tcW w:w="3041" w:type="dxa"/>
            <w:shd w:val="clear" w:color="auto" w:fill="C6EFCE"/>
            <w:noWrap/>
          </w:tcPr>
          <w:p w14:paraId="2959837B" w14:textId="079B9F9B"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 puțin 3 ministere au planificat și executat bugete pentru fiecare program prin aplicarea metodologiei de planificare strategică instituțională, cu sprijinul Secretariatului General al Guvernului și al Ministerului Finanțelor. </w:t>
            </w:r>
          </w:p>
          <w:p w14:paraId="6A15E07F"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Scopul este de a completa planificarea bugetară a programului cu execuția efectivă bazată pe programe a bugetului ministerial. Programele bugetare ministeriale pun în aplicare recomandările privind analizele cheltuielilor (care sunt introduse în secțiunea privind reforma fiscală și reforma sistemului de pensii din prezentul document).</w:t>
            </w:r>
          </w:p>
        </w:tc>
      </w:tr>
      <w:tr w:rsidR="000A27B3" w:rsidRPr="000A27B3" w14:paraId="58792DFF" w14:textId="77777777" w:rsidTr="00B74F9A">
        <w:trPr>
          <w:trHeight w:val="309"/>
        </w:trPr>
        <w:tc>
          <w:tcPr>
            <w:tcW w:w="822" w:type="dxa"/>
            <w:shd w:val="clear" w:color="auto" w:fill="C6EFCE"/>
            <w:noWrap/>
          </w:tcPr>
          <w:p w14:paraId="43945BAA"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404</w:t>
            </w:r>
          </w:p>
        </w:tc>
        <w:tc>
          <w:tcPr>
            <w:tcW w:w="2391" w:type="dxa"/>
            <w:shd w:val="clear" w:color="auto" w:fill="C6EFCE"/>
            <w:noWrap/>
          </w:tcPr>
          <w:p w14:paraId="2D8D5BDB"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 </w:t>
            </w:r>
          </w:p>
        </w:tc>
        <w:tc>
          <w:tcPr>
            <w:tcW w:w="1226" w:type="dxa"/>
            <w:shd w:val="clear" w:color="auto" w:fill="C6EFCE"/>
            <w:noWrap/>
          </w:tcPr>
          <w:p w14:paraId="2309A4E5"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Jalon</w:t>
            </w:r>
          </w:p>
        </w:tc>
        <w:tc>
          <w:tcPr>
            <w:tcW w:w="1495" w:type="dxa"/>
            <w:shd w:val="clear" w:color="auto" w:fill="C6EFCE"/>
            <w:noWrap/>
          </w:tcPr>
          <w:p w14:paraId="4407B1D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unui act legislativ de operaționalizare a unei structuri care să asigure implementarea unui mecanism eficace de control al calității în materie de reglementare</w:t>
            </w:r>
          </w:p>
          <w:p w14:paraId="763E7E56" w14:textId="77777777" w:rsidR="001C33F0" w:rsidRPr="009F1DC7" w:rsidRDefault="001C33F0">
            <w:pPr>
              <w:spacing w:after="0" w:line="240" w:lineRule="auto"/>
              <w:jc w:val="both"/>
              <w:rPr>
                <w:rFonts w:ascii="Times New Roman" w:eastAsia="Times New Roman" w:hAnsi="Times New Roman" w:cs="Times New Roman"/>
                <w:noProof/>
                <w:sz w:val="24"/>
                <w:szCs w:val="24"/>
                <w:lang w:eastAsia="en-GB"/>
              </w:rPr>
            </w:pPr>
          </w:p>
        </w:tc>
        <w:tc>
          <w:tcPr>
            <w:tcW w:w="1547" w:type="dxa"/>
            <w:shd w:val="clear" w:color="auto" w:fill="C6EFCE"/>
            <w:noWrap/>
          </w:tcPr>
          <w:p w14:paraId="5681A566"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de operaționalizare a structurii de control al calității în materie de reglementare</w:t>
            </w:r>
          </w:p>
        </w:tc>
        <w:tc>
          <w:tcPr>
            <w:tcW w:w="1034" w:type="dxa"/>
            <w:shd w:val="clear" w:color="auto" w:fill="C6EFCE"/>
            <w:noWrap/>
          </w:tcPr>
          <w:p w14:paraId="46B31325"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 xml:space="preserve"> </w:t>
            </w:r>
          </w:p>
        </w:tc>
        <w:tc>
          <w:tcPr>
            <w:tcW w:w="1200" w:type="dxa"/>
            <w:shd w:val="clear" w:color="auto" w:fill="C6EFCE"/>
            <w:noWrap/>
          </w:tcPr>
          <w:p w14:paraId="5EF24B28"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 xml:space="preserve"> </w:t>
            </w:r>
          </w:p>
        </w:tc>
        <w:tc>
          <w:tcPr>
            <w:tcW w:w="1091" w:type="dxa"/>
            <w:shd w:val="clear" w:color="auto" w:fill="C6EFCE"/>
            <w:noWrap/>
          </w:tcPr>
          <w:p w14:paraId="103A19C5"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 xml:space="preserve"> </w:t>
            </w:r>
          </w:p>
        </w:tc>
        <w:tc>
          <w:tcPr>
            <w:tcW w:w="1309" w:type="dxa"/>
            <w:shd w:val="clear" w:color="auto" w:fill="C6EFCE"/>
            <w:noWrap/>
          </w:tcPr>
          <w:p w14:paraId="1FFB650C"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T1</w:t>
            </w:r>
          </w:p>
        </w:tc>
        <w:tc>
          <w:tcPr>
            <w:tcW w:w="720" w:type="dxa"/>
            <w:shd w:val="clear" w:color="auto" w:fill="C6EFCE"/>
            <w:noWrap/>
          </w:tcPr>
          <w:p w14:paraId="0A6045F8"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 xml:space="preserve">2022 </w:t>
            </w:r>
          </w:p>
        </w:tc>
        <w:tc>
          <w:tcPr>
            <w:tcW w:w="3041" w:type="dxa"/>
            <w:shd w:val="clear" w:color="auto" w:fill="C6EFCE"/>
            <w:noWrap/>
          </w:tcPr>
          <w:p w14:paraId="2A68EEF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Actul legislativ se va baza pe studiul efectuat de Secretariatul General al Guvernului privind instituirea unui mecanism de control al calității la nivelul Centrului Guvernului. </w:t>
            </w:r>
          </w:p>
          <w:p w14:paraId="16A38811"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 xml:space="preserve">Noua structură va efectua controlul normativ al calității evaluărilor impactului și evaluărilor. Aceasta va fi alcătuită dintr-un comitet de experți sprijinit de un secretariat tehnic, similar Comitetului de control normativ, care este activ în prezent la nivelul Comisiei Europene. Actul legislativ va stabili următoarele: </w:t>
            </w:r>
          </w:p>
          <w:p w14:paraId="1AA7B8F6" w14:textId="77777777" w:rsidR="001C33F0" w:rsidRPr="000A27B3" w:rsidRDefault="001C33F0">
            <w:pPr>
              <w:spacing w:after="0" w:line="240" w:lineRule="auto"/>
              <w:ind w:left="-21"/>
              <w:jc w:val="both"/>
              <w:rPr>
                <w:rFonts w:ascii="Times New Roman" w:hAnsi="Times New Roman" w:cs="Times New Roman"/>
                <w:noProof/>
                <w:sz w:val="24"/>
              </w:rPr>
            </w:pPr>
            <w:r>
              <w:rPr>
                <w:rFonts w:ascii="Times New Roman" w:hAnsi="Times New Roman"/>
                <w:noProof/>
                <w:sz w:val="24"/>
              </w:rPr>
              <w:t>(1) procedura de selecție pentru experții comitetului;</w:t>
            </w:r>
          </w:p>
          <w:p w14:paraId="2F6F8578" w14:textId="77777777" w:rsidR="001C33F0" w:rsidRPr="000A27B3" w:rsidRDefault="001C33F0">
            <w:pPr>
              <w:spacing w:after="0" w:line="240" w:lineRule="auto"/>
              <w:ind w:left="-21"/>
              <w:jc w:val="both"/>
              <w:rPr>
                <w:rFonts w:ascii="Times New Roman" w:hAnsi="Times New Roman" w:cs="Times New Roman"/>
                <w:noProof/>
                <w:sz w:val="24"/>
              </w:rPr>
            </w:pPr>
            <w:r>
              <w:rPr>
                <w:rFonts w:ascii="Times New Roman" w:hAnsi="Times New Roman"/>
                <w:noProof/>
                <w:sz w:val="24"/>
              </w:rPr>
              <w:t>(2) normele și procedurile comitetului și ale secretariatului tehnic (inclusiv fișele posturilor);</w:t>
            </w:r>
          </w:p>
          <w:p w14:paraId="646006BC" w14:textId="77777777" w:rsidR="001C33F0" w:rsidRPr="000A27B3" w:rsidRDefault="001C33F0">
            <w:pPr>
              <w:spacing w:after="0" w:line="240" w:lineRule="auto"/>
              <w:ind w:left="-21"/>
              <w:jc w:val="both"/>
              <w:rPr>
                <w:rFonts w:ascii="Times New Roman" w:hAnsi="Times New Roman" w:cs="Times New Roman"/>
                <w:noProof/>
                <w:sz w:val="24"/>
              </w:rPr>
            </w:pPr>
            <w:r>
              <w:rPr>
                <w:rFonts w:ascii="Times New Roman" w:hAnsi="Times New Roman"/>
                <w:noProof/>
                <w:sz w:val="24"/>
              </w:rPr>
              <w:t>(3) orientări privind modul de evaluare a calității documentelor;</w:t>
            </w:r>
          </w:p>
          <w:p w14:paraId="52EF58B3" w14:textId="77777777" w:rsidR="001C33F0" w:rsidRPr="000A27B3" w:rsidRDefault="001C33F0">
            <w:pPr>
              <w:spacing w:after="0" w:line="240" w:lineRule="auto"/>
              <w:ind w:left="-21"/>
              <w:jc w:val="both"/>
              <w:rPr>
                <w:rFonts w:ascii="Times New Roman" w:hAnsi="Times New Roman" w:cs="Times New Roman"/>
                <w:noProof/>
                <w:sz w:val="24"/>
              </w:rPr>
            </w:pPr>
            <w:r>
              <w:rPr>
                <w:rFonts w:ascii="Times New Roman" w:hAnsi="Times New Roman"/>
                <w:noProof/>
                <w:sz w:val="24"/>
              </w:rPr>
              <w:t>(4) strategia de comunicare în interiorul și în afara guvernului;</w:t>
            </w:r>
          </w:p>
          <w:p w14:paraId="432AB547" w14:textId="77777777" w:rsidR="001C33F0" w:rsidRPr="000A27B3" w:rsidRDefault="001C33F0">
            <w:pPr>
              <w:spacing w:after="0" w:line="240" w:lineRule="auto"/>
              <w:ind w:left="-21"/>
              <w:jc w:val="both"/>
              <w:rPr>
                <w:rFonts w:ascii="Times New Roman" w:hAnsi="Times New Roman" w:cs="Times New Roman"/>
                <w:noProof/>
                <w:sz w:val="24"/>
              </w:rPr>
            </w:pPr>
            <w:r>
              <w:rPr>
                <w:rFonts w:ascii="Times New Roman" w:hAnsi="Times New Roman"/>
                <w:noProof/>
                <w:sz w:val="24"/>
              </w:rPr>
              <w:t>(5) activități de formare.</w:t>
            </w:r>
          </w:p>
        </w:tc>
      </w:tr>
      <w:tr w:rsidR="000A27B3" w:rsidRPr="000A27B3" w14:paraId="46F81F2E" w14:textId="77777777" w:rsidTr="00B74F9A">
        <w:trPr>
          <w:trHeight w:val="309"/>
        </w:trPr>
        <w:tc>
          <w:tcPr>
            <w:tcW w:w="822" w:type="dxa"/>
            <w:shd w:val="clear" w:color="auto" w:fill="C6EFCE"/>
            <w:noWrap/>
          </w:tcPr>
          <w:p w14:paraId="3BE67B3C"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405</w:t>
            </w:r>
          </w:p>
        </w:tc>
        <w:tc>
          <w:tcPr>
            <w:tcW w:w="2391" w:type="dxa"/>
            <w:shd w:val="clear" w:color="auto" w:fill="C6EFCE"/>
            <w:noWrap/>
          </w:tcPr>
          <w:p w14:paraId="1412805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24D277C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3948DB0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Platforma IT pentru monitorizarea inovării în administrația publică este operațională</w:t>
            </w:r>
          </w:p>
        </w:tc>
        <w:tc>
          <w:tcPr>
            <w:tcW w:w="1547" w:type="dxa"/>
            <w:shd w:val="clear" w:color="auto" w:fill="C6EFCE"/>
            <w:noWrap/>
          </w:tcPr>
          <w:p w14:paraId="3B07E3C1" w14:textId="4B605C09"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Platforma IT este dezvoltată și operațională </w:t>
            </w:r>
          </w:p>
        </w:tc>
        <w:tc>
          <w:tcPr>
            <w:tcW w:w="1034" w:type="dxa"/>
            <w:shd w:val="clear" w:color="auto" w:fill="C6EFCE"/>
            <w:noWrap/>
          </w:tcPr>
          <w:p w14:paraId="38B923C7" w14:textId="77777777" w:rsidR="001C33F0" w:rsidRPr="009F1DC7" w:rsidRDefault="001C33F0">
            <w:pPr>
              <w:spacing w:after="0" w:line="240" w:lineRule="auto"/>
              <w:rPr>
                <w:rFonts w:ascii="Times New Roman" w:hAnsi="Times New Roman" w:cs="Times New Roman"/>
                <w:noProof/>
                <w:sz w:val="24"/>
                <w:szCs w:val="24"/>
                <w:lang w:val="de-DE"/>
              </w:rPr>
            </w:pPr>
          </w:p>
        </w:tc>
        <w:tc>
          <w:tcPr>
            <w:tcW w:w="1200" w:type="dxa"/>
            <w:shd w:val="clear" w:color="auto" w:fill="C6EFCE"/>
            <w:noWrap/>
          </w:tcPr>
          <w:p w14:paraId="319E59C4" w14:textId="77777777" w:rsidR="001C33F0" w:rsidRPr="009F1DC7" w:rsidRDefault="001C33F0">
            <w:pPr>
              <w:spacing w:after="0" w:line="240" w:lineRule="auto"/>
              <w:rPr>
                <w:rFonts w:ascii="Times New Roman" w:hAnsi="Times New Roman" w:cs="Times New Roman"/>
                <w:noProof/>
                <w:sz w:val="24"/>
                <w:szCs w:val="24"/>
                <w:lang w:val="de-DE"/>
              </w:rPr>
            </w:pPr>
          </w:p>
        </w:tc>
        <w:tc>
          <w:tcPr>
            <w:tcW w:w="1091" w:type="dxa"/>
            <w:shd w:val="clear" w:color="auto" w:fill="C6EFCE"/>
            <w:noWrap/>
          </w:tcPr>
          <w:p w14:paraId="22E69131" w14:textId="77777777" w:rsidR="001C33F0" w:rsidRPr="009F1DC7" w:rsidRDefault="001C33F0">
            <w:pPr>
              <w:spacing w:after="0" w:line="240" w:lineRule="auto"/>
              <w:jc w:val="both"/>
              <w:rPr>
                <w:rFonts w:ascii="Times New Roman" w:hAnsi="Times New Roman" w:cs="Times New Roman"/>
                <w:noProof/>
                <w:sz w:val="24"/>
                <w:szCs w:val="24"/>
                <w:lang w:val="de-DE"/>
              </w:rPr>
            </w:pPr>
          </w:p>
        </w:tc>
        <w:tc>
          <w:tcPr>
            <w:tcW w:w="1309" w:type="dxa"/>
            <w:shd w:val="clear" w:color="auto" w:fill="C6EFCE"/>
            <w:noWrap/>
          </w:tcPr>
          <w:p w14:paraId="025CC83E"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3C7A91E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41" w:type="dxa"/>
            <w:shd w:val="clear" w:color="auto" w:fill="C6EFCE"/>
            <w:noWrap/>
          </w:tcPr>
          <w:p w14:paraId="453CC25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Platforma IT pentru monitorizarea inovării în administrația publică este dezvoltată și devine operațională. Platforma IT va genera în mod automat rapoarte anuale de monitorizare cu privire la progresele înregistrate de instituțiile române în ceea ce privește rezultatele și capacitățile în materie de inovare.</w:t>
            </w:r>
          </w:p>
        </w:tc>
      </w:tr>
      <w:tr w:rsidR="000A27B3" w:rsidRPr="000A27B3" w14:paraId="14CED5CA" w14:textId="77777777" w:rsidTr="00B74F9A">
        <w:trPr>
          <w:trHeight w:val="309"/>
        </w:trPr>
        <w:tc>
          <w:tcPr>
            <w:tcW w:w="822" w:type="dxa"/>
            <w:shd w:val="clear" w:color="auto" w:fill="C6EFCE"/>
            <w:noWrap/>
          </w:tcPr>
          <w:p w14:paraId="37D0FB8E"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406</w:t>
            </w:r>
          </w:p>
        </w:tc>
        <w:tc>
          <w:tcPr>
            <w:tcW w:w="2391" w:type="dxa"/>
            <w:shd w:val="clear" w:color="auto" w:fill="C6EFCE"/>
            <w:noWrap/>
          </w:tcPr>
          <w:p w14:paraId="674F5A3D"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6A45C653"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Țintă</w:t>
            </w:r>
          </w:p>
        </w:tc>
        <w:tc>
          <w:tcPr>
            <w:tcW w:w="1495" w:type="dxa"/>
            <w:shd w:val="clear" w:color="auto" w:fill="C6EFCE"/>
            <w:noWrap/>
          </w:tcPr>
          <w:p w14:paraId="11D65B2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800 de reprezentanți ai organizațiilor societății civile au urmat cursuri de formare pentru a spori capacitatea administrativă și digitalizarea structurilor lor</w:t>
            </w:r>
          </w:p>
        </w:tc>
        <w:tc>
          <w:tcPr>
            <w:tcW w:w="1547" w:type="dxa"/>
            <w:shd w:val="clear" w:color="auto" w:fill="C6EFCE"/>
            <w:noWrap/>
          </w:tcPr>
          <w:p w14:paraId="6773004A"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Reprezentanți care au urmat cursuri de formare</w:t>
            </w:r>
          </w:p>
        </w:tc>
        <w:tc>
          <w:tcPr>
            <w:tcW w:w="1034" w:type="dxa"/>
            <w:shd w:val="clear" w:color="auto" w:fill="C6EFCE"/>
            <w:noWrap/>
          </w:tcPr>
          <w:p w14:paraId="41DF0806"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Număr</w:t>
            </w:r>
          </w:p>
        </w:tc>
        <w:tc>
          <w:tcPr>
            <w:tcW w:w="1200" w:type="dxa"/>
            <w:shd w:val="clear" w:color="auto" w:fill="C6EFCE"/>
            <w:noWrap/>
          </w:tcPr>
          <w:p w14:paraId="2443B2A9"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0</w:t>
            </w:r>
          </w:p>
        </w:tc>
        <w:tc>
          <w:tcPr>
            <w:tcW w:w="1091" w:type="dxa"/>
            <w:shd w:val="clear" w:color="auto" w:fill="C6EFCE"/>
            <w:noWrap/>
          </w:tcPr>
          <w:p w14:paraId="5429C720"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800</w:t>
            </w:r>
          </w:p>
        </w:tc>
        <w:tc>
          <w:tcPr>
            <w:tcW w:w="1309" w:type="dxa"/>
            <w:shd w:val="clear" w:color="auto" w:fill="C6EFCE"/>
            <w:noWrap/>
          </w:tcPr>
          <w:p w14:paraId="61C8E646"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T4</w:t>
            </w:r>
          </w:p>
        </w:tc>
        <w:tc>
          <w:tcPr>
            <w:tcW w:w="720" w:type="dxa"/>
            <w:shd w:val="clear" w:color="auto" w:fill="C6EFCE"/>
            <w:noWrap/>
          </w:tcPr>
          <w:p w14:paraId="7336E87D"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2025</w:t>
            </w:r>
          </w:p>
        </w:tc>
        <w:tc>
          <w:tcPr>
            <w:tcW w:w="3041" w:type="dxa"/>
            <w:shd w:val="clear" w:color="auto" w:fill="C6EFCE"/>
            <w:noWrap/>
          </w:tcPr>
          <w:p w14:paraId="1C81F42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Secretariatul General al Guvernului organizează sesiuni anuale de formare destinate personalului organizațiilor societății civile, pentru a spori capacitatea și competențele acestora de a participa efectiv la procesele de consultare publică. Activitățile de formare vor avea drept obiect utilizarea platformei digitale e-consultare.gov.ro, precum și a altor mecanisme/proceduri prevăzute de cadrul juridic.</w:t>
            </w:r>
          </w:p>
          <w:p w14:paraId="40814A6C" w14:textId="77777777" w:rsidR="001C33F0" w:rsidRPr="009F1DC7" w:rsidRDefault="001C33F0">
            <w:pPr>
              <w:spacing w:after="0" w:line="240" w:lineRule="auto"/>
              <w:jc w:val="both"/>
              <w:rPr>
                <w:rFonts w:ascii="Times New Roman" w:hAnsi="Times New Roman" w:cs="Times New Roman"/>
                <w:noProof/>
                <w:sz w:val="24"/>
                <w:szCs w:val="24"/>
              </w:rPr>
            </w:pPr>
          </w:p>
          <w:p w14:paraId="3B10F68A" w14:textId="77777777" w:rsidR="001C33F0" w:rsidRPr="009F1DC7" w:rsidRDefault="001C33F0">
            <w:pPr>
              <w:spacing w:after="0" w:line="240" w:lineRule="auto"/>
              <w:rPr>
                <w:rFonts w:ascii="Times New Roman" w:eastAsia="Times New Roman" w:hAnsi="Times New Roman" w:cs="Times New Roman"/>
                <w:noProof/>
                <w:sz w:val="24"/>
                <w:szCs w:val="24"/>
                <w:lang w:eastAsia="en-GB"/>
              </w:rPr>
            </w:pPr>
          </w:p>
        </w:tc>
      </w:tr>
      <w:tr w:rsidR="000A27B3" w:rsidRPr="000A27B3" w14:paraId="7E09D643" w14:textId="77777777" w:rsidTr="00B74F9A">
        <w:trPr>
          <w:trHeight w:val="309"/>
        </w:trPr>
        <w:tc>
          <w:tcPr>
            <w:tcW w:w="822" w:type="dxa"/>
            <w:shd w:val="clear" w:color="auto" w:fill="C6EFCE"/>
            <w:noWrap/>
          </w:tcPr>
          <w:p w14:paraId="5DEC6F10"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407</w:t>
            </w:r>
          </w:p>
        </w:tc>
        <w:tc>
          <w:tcPr>
            <w:tcW w:w="2391" w:type="dxa"/>
            <w:shd w:val="clear" w:color="auto" w:fill="C6EFCE"/>
            <w:noWrap/>
          </w:tcPr>
          <w:p w14:paraId="526D99FE"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51B995AA"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Țintă</w:t>
            </w:r>
          </w:p>
        </w:tc>
        <w:tc>
          <w:tcPr>
            <w:tcW w:w="1495" w:type="dxa"/>
            <w:shd w:val="clear" w:color="auto" w:fill="C6EFCE"/>
            <w:noWrap/>
          </w:tcPr>
          <w:p w14:paraId="57AF864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Procesul de consultare publică și de implicare a părților interesate s-a îmbunătățit prin creșterea cu 20 % a numărului de proiecte de acte legislative care fac obiectul consultării publice și al implicării părților interesate la nivel central</w:t>
            </w:r>
          </w:p>
          <w:p w14:paraId="03BF44BD" w14:textId="77777777" w:rsidR="001C33F0" w:rsidRPr="009F1DC7" w:rsidRDefault="001C33F0">
            <w:pPr>
              <w:spacing w:after="0" w:line="240" w:lineRule="auto"/>
              <w:jc w:val="both"/>
              <w:rPr>
                <w:rFonts w:ascii="Times New Roman" w:hAnsi="Times New Roman" w:cs="Times New Roman"/>
                <w:noProof/>
                <w:sz w:val="24"/>
                <w:szCs w:val="24"/>
              </w:rPr>
            </w:pPr>
          </w:p>
          <w:p w14:paraId="5BBCAC33" w14:textId="77777777" w:rsidR="001C33F0" w:rsidRPr="009F1DC7" w:rsidRDefault="001C33F0">
            <w:pPr>
              <w:spacing w:after="0" w:line="240" w:lineRule="auto"/>
              <w:jc w:val="both"/>
              <w:rPr>
                <w:rFonts w:ascii="Times New Roman" w:eastAsia="Times New Roman" w:hAnsi="Times New Roman" w:cs="Times New Roman"/>
                <w:noProof/>
                <w:sz w:val="24"/>
                <w:szCs w:val="24"/>
                <w:lang w:eastAsia="en-GB"/>
              </w:rPr>
            </w:pPr>
          </w:p>
        </w:tc>
        <w:tc>
          <w:tcPr>
            <w:tcW w:w="1547" w:type="dxa"/>
            <w:shd w:val="clear" w:color="auto" w:fill="C6EFCE"/>
            <w:noWrap/>
          </w:tcPr>
          <w:p w14:paraId="7026FA70" w14:textId="77777777" w:rsidR="001C33F0" w:rsidRPr="009F1DC7" w:rsidRDefault="001C33F0">
            <w:pPr>
              <w:spacing w:after="0" w:line="240" w:lineRule="auto"/>
              <w:jc w:val="both"/>
              <w:rPr>
                <w:rFonts w:ascii="Times New Roman" w:eastAsia="Times New Roman" w:hAnsi="Times New Roman" w:cs="Times New Roman"/>
                <w:noProof/>
                <w:sz w:val="24"/>
                <w:szCs w:val="24"/>
                <w:lang w:eastAsia="en-GB"/>
              </w:rPr>
            </w:pPr>
          </w:p>
        </w:tc>
        <w:tc>
          <w:tcPr>
            <w:tcW w:w="1034" w:type="dxa"/>
            <w:shd w:val="clear" w:color="auto" w:fill="C6EFCE"/>
            <w:noWrap/>
          </w:tcPr>
          <w:p w14:paraId="226299B1"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tc>
        <w:tc>
          <w:tcPr>
            <w:tcW w:w="1200" w:type="dxa"/>
            <w:shd w:val="clear" w:color="auto" w:fill="C6EFCE"/>
            <w:noWrap/>
          </w:tcPr>
          <w:p w14:paraId="3BAEF0A5"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0 [2020]</w:t>
            </w:r>
          </w:p>
        </w:tc>
        <w:tc>
          <w:tcPr>
            <w:tcW w:w="1091" w:type="dxa"/>
            <w:shd w:val="clear" w:color="auto" w:fill="C6EFCE"/>
            <w:noWrap/>
          </w:tcPr>
          <w:p w14:paraId="4152BF8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20</w:t>
            </w:r>
          </w:p>
        </w:tc>
        <w:tc>
          <w:tcPr>
            <w:tcW w:w="1309" w:type="dxa"/>
            <w:shd w:val="clear" w:color="auto" w:fill="C6EFCE"/>
            <w:noWrap/>
          </w:tcPr>
          <w:p w14:paraId="1E89C8B4"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T2</w:t>
            </w:r>
          </w:p>
        </w:tc>
        <w:tc>
          <w:tcPr>
            <w:tcW w:w="720" w:type="dxa"/>
            <w:shd w:val="clear" w:color="auto" w:fill="C6EFCE"/>
            <w:noWrap/>
          </w:tcPr>
          <w:p w14:paraId="26E55924"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2026</w:t>
            </w:r>
          </w:p>
        </w:tc>
        <w:tc>
          <w:tcPr>
            <w:tcW w:w="3041" w:type="dxa"/>
            <w:shd w:val="clear" w:color="auto" w:fill="C6EFCE"/>
            <w:noWrap/>
          </w:tcPr>
          <w:p w14:paraId="479972F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Pentru a spori calitatea procesului de consultare, pe lângă activitățile de formare destinate reprezentanților organizațiilor societății civile (asigurate în temeiul țintei 406), vor fi desfășurate o serie de activități după cum urmează:</w:t>
            </w:r>
          </w:p>
          <w:p w14:paraId="64DBA8F2" w14:textId="77777777" w:rsidR="001C33F0" w:rsidRPr="000A27B3" w:rsidRDefault="001C33F0">
            <w:pPr>
              <w:numPr>
                <w:ilvl w:val="0"/>
                <w:numId w:val="100"/>
              </w:numPr>
              <w:spacing w:after="0" w:line="240" w:lineRule="auto"/>
              <w:ind w:left="189" w:hanging="189"/>
              <w:jc w:val="both"/>
              <w:rPr>
                <w:rFonts w:ascii="Times New Roman" w:hAnsi="Times New Roman" w:cs="Times New Roman"/>
                <w:noProof/>
                <w:sz w:val="24"/>
                <w:szCs w:val="24"/>
              </w:rPr>
            </w:pPr>
            <w:r>
              <w:rPr>
                <w:rFonts w:ascii="Times New Roman" w:hAnsi="Times New Roman"/>
                <w:noProof/>
                <w:sz w:val="24"/>
              </w:rPr>
              <w:t>Se adoptă un cadru legal actualizat pentru a uniformiza implementarea reglementărilor în domeniul consultărilor publice și al liberului acces la informațiile de interes public.</w:t>
            </w:r>
          </w:p>
          <w:p w14:paraId="59ED2F7E" w14:textId="77777777" w:rsidR="001C33F0" w:rsidRPr="000A27B3" w:rsidRDefault="001C33F0">
            <w:pPr>
              <w:numPr>
                <w:ilvl w:val="0"/>
                <w:numId w:val="100"/>
              </w:numPr>
              <w:spacing w:after="0" w:line="240" w:lineRule="auto"/>
              <w:ind w:left="189" w:hanging="189"/>
              <w:jc w:val="both"/>
              <w:rPr>
                <w:rFonts w:ascii="Times New Roman" w:hAnsi="Times New Roman" w:cs="Times New Roman"/>
                <w:noProof/>
                <w:sz w:val="24"/>
                <w:szCs w:val="24"/>
              </w:rPr>
            </w:pPr>
            <w:r>
              <w:rPr>
                <w:rFonts w:ascii="Times New Roman" w:hAnsi="Times New Roman"/>
                <w:noProof/>
                <w:sz w:val="24"/>
              </w:rPr>
              <w:t>Platforma IT existentă www.e-consultare.gov.ro va fi extinsă pentru a servi drept ghișeu unic la nivel guvernamental pentru cetățeni cu privire la oportunitățile de participare și ca instrument de monitorizare și evaluare a progreselor anuale.</w:t>
            </w:r>
          </w:p>
          <w:p w14:paraId="7B43DDF8" w14:textId="77777777" w:rsidR="001C33F0" w:rsidRPr="000A27B3" w:rsidRDefault="001C33F0">
            <w:pPr>
              <w:numPr>
                <w:ilvl w:val="0"/>
                <w:numId w:val="100"/>
              </w:numPr>
              <w:spacing w:after="0" w:line="240" w:lineRule="auto"/>
              <w:ind w:left="189" w:hanging="189"/>
              <w:jc w:val="both"/>
              <w:rPr>
                <w:rFonts w:ascii="Times New Roman" w:hAnsi="Times New Roman" w:cs="Times New Roman"/>
                <w:noProof/>
                <w:sz w:val="24"/>
                <w:szCs w:val="24"/>
              </w:rPr>
            </w:pPr>
            <w:r>
              <w:rPr>
                <w:rFonts w:ascii="Times New Roman" w:hAnsi="Times New Roman"/>
                <w:noProof/>
                <w:sz w:val="24"/>
              </w:rPr>
              <w:t>Programe de instruire / sprijin metodologic vor fi create și furnizate pentru eficientizarea implementării reglementărilor din domeniul consultărilor publice și al liberului acces la informațiile de interes public pentru funcționarii publici de la autoritățile centrale (ministere) și locale (consiliile județene și municipalități).</w:t>
            </w:r>
          </w:p>
          <w:p w14:paraId="75A77431" w14:textId="77777777" w:rsidR="001C33F0" w:rsidRPr="000A27B3" w:rsidRDefault="001C33F0">
            <w:pPr>
              <w:numPr>
                <w:ilvl w:val="0"/>
                <w:numId w:val="100"/>
              </w:numPr>
              <w:spacing w:after="0" w:line="240" w:lineRule="auto"/>
              <w:ind w:left="189" w:hanging="189"/>
              <w:jc w:val="both"/>
              <w:rPr>
                <w:rFonts w:ascii="Times New Roman" w:hAnsi="Times New Roman" w:cs="Times New Roman"/>
                <w:noProof/>
                <w:sz w:val="24"/>
                <w:szCs w:val="24"/>
              </w:rPr>
            </w:pPr>
            <w:r>
              <w:rPr>
                <w:rFonts w:ascii="Times New Roman" w:hAnsi="Times New Roman"/>
                <w:noProof/>
                <w:sz w:val="24"/>
              </w:rPr>
              <w:t xml:space="preserve">Va fi adoptată strategia privind guvernarea deschisă. </w:t>
            </w:r>
          </w:p>
          <w:p w14:paraId="34217ACE" w14:textId="77777777" w:rsidR="001C33F0" w:rsidRPr="000A27B3" w:rsidRDefault="001C33F0">
            <w:pPr>
              <w:numPr>
                <w:ilvl w:val="0"/>
                <w:numId w:val="100"/>
              </w:numPr>
              <w:spacing w:after="0" w:line="240" w:lineRule="auto"/>
              <w:ind w:left="189" w:hanging="189"/>
              <w:jc w:val="both"/>
              <w:rPr>
                <w:rFonts w:ascii="Times New Roman" w:hAnsi="Times New Roman" w:cs="Times New Roman"/>
                <w:noProof/>
                <w:sz w:val="24"/>
                <w:szCs w:val="24"/>
              </w:rPr>
            </w:pPr>
            <w:r>
              <w:rPr>
                <w:rFonts w:ascii="Times New Roman" w:hAnsi="Times New Roman"/>
                <w:noProof/>
                <w:sz w:val="24"/>
              </w:rPr>
              <w:t>Programe de instruire / sprijin metodologic vor fi create și furnizate pentru punerea în aplicare a principiilor de guvernare deschisă pentru funcționarii publici de la autoritățile centrale (ministere) și locale (consiliile județene și municipalități).</w:t>
            </w:r>
          </w:p>
          <w:p w14:paraId="0371062F" w14:textId="77777777" w:rsidR="001C33F0" w:rsidRPr="000A27B3" w:rsidRDefault="001C33F0">
            <w:pPr>
              <w:numPr>
                <w:ilvl w:val="0"/>
                <w:numId w:val="100"/>
              </w:numPr>
              <w:spacing w:after="0" w:line="240" w:lineRule="auto"/>
              <w:ind w:left="189" w:hanging="189"/>
              <w:jc w:val="both"/>
              <w:rPr>
                <w:rFonts w:ascii="Times New Roman" w:hAnsi="Times New Roman" w:cs="Times New Roman"/>
                <w:noProof/>
                <w:sz w:val="24"/>
                <w:szCs w:val="24"/>
              </w:rPr>
            </w:pPr>
            <w:r>
              <w:rPr>
                <w:rFonts w:ascii="Times New Roman" w:hAnsi="Times New Roman"/>
                <w:noProof/>
                <w:sz w:val="24"/>
              </w:rPr>
              <w:t xml:space="preserve">Se vor publica rapoarte anuale privind progresele, care vor cuprinde orientări și recomandări suplimentare. </w:t>
            </w:r>
          </w:p>
          <w:p w14:paraId="2206E848"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Atingerea acestui obiectiv se va baza pe indicatorii stabiliți în tabloul de bord (parte a evaluării anuale a progreselor). </w:t>
            </w:r>
          </w:p>
        </w:tc>
      </w:tr>
      <w:tr w:rsidR="000A27B3" w:rsidRPr="000A27B3" w14:paraId="17EB4EA9" w14:textId="77777777" w:rsidTr="00B74F9A">
        <w:trPr>
          <w:trHeight w:val="309"/>
        </w:trPr>
        <w:tc>
          <w:tcPr>
            <w:tcW w:w="822" w:type="dxa"/>
            <w:shd w:val="clear" w:color="auto" w:fill="C6EFCE"/>
            <w:noWrap/>
          </w:tcPr>
          <w:p w14:paraId="5A6DCCD0"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408</w:t>
            </w:r>
          </w:p>
        </w:tc>
        <w:tc>
          <w:tcPr>
            <w:tcW w:w="2391" w:type="dxa"/>
            <w:shd w:val="clear" w:color="auto" w:fill="C6EFCE"/>
            <w:noWrap/>
          </w:tcPr>
          <w:p w14:paraId="415726CC"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477834C7"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Țintă</w:t>
            </w:r>
          </w:p>
        </w:tc>
        <w:tc>
          <w:tcPr>
            <w:tcW w:w="1495" w:type="dxa"/>
            <w:shd w:val="clear" w:color="auto" w:fill="C6EFCE"/>
            <w:noWrap/>
          </w:tcPr>
          <w:p w14:paraId="698D99D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25 % din instrumentele de prezentare și de motivare îndeplinesc criteriile de calitate stabilite (adică sunt evaluate la un nivel excelent sau satisfăcător) conform metodologiei guvernamentale </w:t>
            </w:r>
          </w:p>
        </w:tc>
        <w:tc>
          <w:tcPr>
            <w:tcW w:w="1547" w:type="dxa"/>
            <w:shd w:val="clear" w:color="auto" w:fill="C6EFCE"/>
            <w:noWrap/>
          </w:tcPr>
          <w:p w14:paraId="7854E935"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34" w:type="dxa"/>
            <w:shd w:val="clear" w:color="auto" w:fill="C6EFCE"/>
            <w:noWrap/>
          </w:tcPr>
          <w:p w14:paraId="6C83975A"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tc>
        <w:tc>
          <w:tcPr>
            <w:tcW w:w="1200" w:type="dxa"/>
            <w:shd w:val="clear" w:color="auto" w:fill="C6EFCE"/>
            <w:noWrap/>
          </w:tcPr>
          <w:p w14:paraId="0F5256B4"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10</w:t>
            </w:r>
          </w:p>
        </w:tc>
        <w:tc>
          <w:tcPr>
            <w:tcW w:w="1091" w:type="dxa"/>
            <w:shd w:val="clear" w:color="auto" w:fill="C6EFCE"/>
            <w:noWrap/>
          </w:tcPr>
          <w:p w14:paraId="64D4E65E"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25</w:t>
            </w:r>
          </w:p>
        </w:tc>
        <w:tc>
          <w:tcPr>
            <w:tcW w:w="1309" w:type="dxa"/>
            <w:shd w:val="clear" w:color="auto" w:fill="C6EFCE"/>
            <w:noWrap/>
          </w:tcPr>
          <w:p w14:paraId="5696A014"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T4</w:t>
            </w:r>
          </w:p>
        </w:tc>
        <w:tc>
          <w:tcPr>
            <w:tcW w:w="720" w:type="dxa"/>
            <w:shd w:val="clear" w:color="auto" w:fill="C6EFCE"/>
            <w:noWrap/>
          </w:tcPr>
          <w:p w14:paraId="6B8809BD"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2024</w:t>
            </w:r>
          </w:p>
        </w:tc>
        <w:tc>
          <w:tcPr>
            <w:tcW w:w="3041" w:type="dxa"/>
            <w:shd w:val="clear" w:color="auto" w:fill="C6EFCE"/>
            <w:noWrap/>
          </w:tcPr>
          <w:p w14:paraId="5CEA75C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Calitatea legislației va fi evaluată pe baza criteriilor stabilite în primul raport anual al Secretariatului General al Guvernului privind evaluarea impactului reglementărilor, adoptat în 2019. Nivelul de referință pentru 2019 a fost de 10 %, și anume numărul instrumentelor de prezentare și de motivare care îndeplinesc criteriile de calitate stabilite (adică sunt evaluate la un nivel excelent sau satisfăcător). </w:t>
            </w:r>
          </w:p>
          <w:p w14:paraId="29B4E5C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Există 4 niveluri de calitate: excelent, satisfăcător, parțial satisfăcător și nesatisfăcător.</w:t>
            </w:r>
          </w:p>
          <w:p w14:paraId="1BE0BE25" w14:textId="77777777" w:rsidR="001C33F0" w:rsidRPr="000A27B3" w:rsidRDefault="001C33F0">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Pe termen mediu, această evaluare va fi realizată de comitetul de control (astfel cum se reflectă în jalonul 404).</w:t>
            </w:r>
          </w:p>
        </w:tc>
      </w:tr>
      <w:tr w:rsidR="000A27B3" w:rsidRPr="000A27B3" w14:paraId="085C0754" w14:textId="77777777" w:rsidTr="00B74F9A">
        <w:trPr>
          <w:trHeight w:val="309"/>
        </w:trPr>
        <w:tc>
          <w:tcPr>
            <w:tcW w:w="822" w:type="dxa"/>
            <w:shd w:val="clear" w:color="auto" w:fill="C6EFCE"/>
            <w:noWrap/>
          </w:tcPr>
          <w:p w14:paraId="39356C3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409</w:t>
            </w:r>
          </w:p>
        </w:tc>
        <w:tc>
          <w:tcPr>
            <w:tcW w:w="2391" w:type="dxa"/>
            <w:shd w:val="clear" w:color="auto" w:fill="C6EFCE"/>
            <w:noWrap/>
          </w:tcPr>
          <w:p w14:paraId="5185EE2C"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26" w:type="dxa"/>
            <w:shd w:val="clear" w:color="auto" w:fill="C6EFCE"/>
            <w:noWrap/>
          </w:tcPr>
          <w:p w14:paraId="1A0EE68D"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Țintă</w:t>
            </w:r>
          </w:p>
        </w:tc>
        <w:tc>
          <w:tcPr>
            <w:tcW w:w="1495" w:type="dxa"/>
            <w:shd w:val="clear" w:color="auto" w:fill="C6EFCE"/>
            <w:noWrap/>
          </w:tcPr>
          <w:p w14:paraId="48AF7D86"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Cel puțin 50 % din inițiativele legislative propuse, incluse în Planul anual de lucru al Guvernului sunt aprobate în termenul stabilit</w:t>
            </w:r>
          </w:p>
        </w:tc>
        <w:tc>
          <w:tcPr>
            <w:tcW w:w="1547" w:type="dxa"/>
            <w:shd w:val="clear" w:color="auto" w:fill="C6EFCE"/>
            <w:noWrap/>
          </w:tcPr>
          <w:p w14:paraId="0F6F5067"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tc>
        <w:tc>
          <w:tcPr>
            <w:tcW w:w="1034" w:type="dxa"/>
            <w:shd w:val="clear" w:color="auto" w:fill="C6EFCE"/>
            <w:noWrap/>
          </w:tcPr>
          <w:p w14:paraId="3C6C4746"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tc>
        <w:tc>
          <w:tcPr>
            <w:tcW w:w="1200" w:type="dxa"/>
            <w:shd w:val="clear" w:color="auto" w:fill="C6EFCE"/>
            <w:noWrap/>
          </w:tcPr>
          <w:p w14:paraId="20F729B0"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35</w:t>
            </w:r>
          </w:p>
        </w:tc>
        <w:tc>
          <w:tcPr>
            <w:tcW w:w="1091" w:type="dxa"/>
            <w:shd w:val="clear" w:color="auto" w:fill="C6EFCE"/>
            <w:noWrap/>
          </w:tcPr>
          <w:p w14:paraId="450715EF"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50</w:t>
            </w:r>
          </w:p>
        </w:tc>
        <w:tc>
          <w:tcPr>
            <w:tcW w:w="1309" w:type="dxa"/>
            <w:shd w:val="clear" w:color="auto" w:fill="C6EFCE"/>
            <w:noWrap/>
          </w:tcPr>
          <w:p w14:paraId="3BE1593A"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T1</w:t>
            </w:r>
          </w:p>
        </w:tc>
        <w:tc>
          <w:tcPr>
            <w:tcW w:w="720" w:type="dxa"/>
            <w:shd w:val="clear" w:color="auto" w:fill="C6EFCE"/>
            <w:noWrap/>
          </w:tcPr>
          <w:p w14:paraId="4F28D305"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2026</w:t>
            </w:r>
          </w:p>
        </w:tc>
        <w:tc>
          <w:tcPr>
            <w:tcW w:w="3041" w:type="dxa"/>
            <w:shd w:val="clear" w:color="auto" w:fill="C6EFCE"/>
            <w:noWrap/>
          </w:tcPr>
          <w:p w14:paraId="6C34558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Cel puțin 50 % din inițiativele legislative propuse, incluse în Planul anual de lucru al Guvernului, vor fi aprobate în termenul stabilit pentru inițiativa respectivă în plan. Planul de lucru al Guvernului stabilește agenda legislativă a Guvernului (și anume, intervențiile legislative propuse pentru anul respectiv la nivelul întregului Guvern). Obiectivul acestei ținte este dublu: i) să sprijine o planificare legislativă coerentă și fezabilă și ii) să amelioreze capacitatea de implementare a Guvernului, astfel încât prioritățile legislative să fie urmărite și aprobate conform planificării inițiale.</w:t>
            </w:r>
          </w:p>
          <w:p w14:paraId="2EC33A9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Evaluarea acestui obiectiv se realizează în raport cu valoarea de referință de 35 % (și anume, nivelul de aprobare a inițiativelor din 2020 în termenul stabilit). </w:t>
            </w:r>
          </w:p>
          <w:p w14:paraId="12ACC05A" w14:textId="77777777" w:rsidR="001C33F0" w:rsidRPr="009F1DC7" w:rsidRDefault="001C33F0">
            <w:pPr>
              <w:spacing w:after="0" w:line="240" w:lineRule="auto"/>
              <w:jc w:val="both"/>
              <w:rPr>
                <w:rFonts w:ascii="Times New Roman" w:eastAsia="Times New Roman" w:hAnsi="Times New Roman" w:cs="Times New Roman"/>
                <w:noProof/>
                <w:sz w:val="24"/>
                <w:szCs w:val="24"/>
                <w:lang w:eastAsia="en-GB"/>
              </w:rPr>
            </w:pPr>
          </w:p>
        </w:tc>
      </w:tr>
      <w:tr w:rsidR="000A27B3" w:rsidRPr="000A27B3" w14:paraId="1C28DA2F" w14:textId="77777777" w:rsidTr="00B74F9A">
        <w:trPr>
          <w:trHeight w:val="309"/>
        </w:trPr>
        <w:tc>
          <w:tcPr>
            <w:tcW w:w="822" w:type="dxa"/>
            <w:shd w:val="clear" w:color="auto" w:fill="C6EFCE"/>
            <w:noWrap/>
          </w:tcPr>
          <w:p w14:paraId="4D91D1B2"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410</w:t>
            </w:r>
          </w:p>
        </w:tc>
        <w:tc>
          <w:tcPr>
            <w:tcW w:w="2391" w:type="dxa"/>
            <w:shd w:val="clear" w:color="auto" w:fill="C6EFCE"/>
            <w:noWrap/>
          </w:tcPr>
          <w:p w14:paraId="6E266BA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 </w:t>
            </w:r>
          </w:p>
        </w:tc>
        <w:tc>
          <w:tcPr>
            <w:tcW w:w="1226" w:type="dxa"/>
            <w:shd w:val="clear" w:color="auto" w:fill="C6EFCE"/>
            <w:noWrap/>
          </w:tcPr>
          <w:p w14:paraId="52FC1B1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2CA90BB7" w14:textId="77777777" w:rsidR="001C33F0" w:rsidRPr="000A27B3" w:rsidRDefault="001C33F0">
            <w:pPr>
              <w:spacing w:after="0" w:line="240" w:lineRule="auto"/>
              <w:jc w:val="both"/>
              <w:rPr>
                <w:rFonts w:ascii="Times New Roman" w:hAnsi="Times New Roman" w:cs="Times New Roman"/>
                <w:noProof/>
                <w:sz w:val="24"/>
                <w:szCs w:val="24"/>
              </w:rPr>
            </w:pPr>
            <w:bookmarkStart w:id="12" w:name="_Hlk80360690"/>
            <w:r>
              <w:rPr>
                <w:rFonts w:ascii="Times New Roman" w:hAnsi="Times New Roman"/>
                <w:noProof/>
                <w:sz w:val="24"/>
              </w:rPr>
              <w:t>Intrarea în vigoare a orientărilor pentru utilizarea și asigurarea respectării corespunzătoare a Registrului Unic al Transparenței a Intereselor (RUTI)</w:t>
            </w:r>
            <w:bookmarkEnd w:id="12"/>
          </w:p>
        </w:tc>
        <w:tc>
          <w:tcPr>
            <w:tcW w:w="1547" w:type="dxa"/>
            <w:shd w:val="clear" w:color="auto" w:fill="C6EFCE"/>
            <w:noWrap/>
          </w:tcPr>
          <w:p w14:paraId="6C333FB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orientărilor pentru utilizarea și punerea în aplicare a RUTI</w:t>
            </w:r>
          </w:p>
        </w:tc>
        <w:tc>
          <w:tcPr>
            <w:tcW w:w="1034" w:type="dxa"/>
            <w:shd w:val="clear" w:color="auto" w:fill="C6EFCE"/>
            <w:noWrap/>
          </w:tcPr>
          <w:p w14:paraId="051F962A" w14:textId="77777777" w:rsidR="001C33F0" w:rsidRPr="009F1DC7" w:rsidRDefault="001C33F0">
            <w:pPr>
              <w:spacing w:after="0" w:line="240" w:lineRule="auto"/>
              <w:rPr>
                <w:rFonts w:ascii="Times New Roman" w:hAnsi="Times New Roman" w:cs="Times New Roman"/>
                <w:noProof/>
                <w:sz w:val="24"/>
                <w:szCs w:val="24"/>
              </w:rPr>
            </w:pPr>
          </w:p>
        </w:tc>
        <w:tc>
          <w:tcPr>
            <w:tcW w:w="1200" w:type="dxa"/>
            <w:shd w:val="clear" w:color="auto" w:fill="C6EFCE"/>
            <w:noWrap/>
          </w:tcPr>
          <w:p w14:paraId="27D07E89" w14:textId="77777777" w:rsidR="001C33F0" w:rsidRPr="009F1DC7" w:rsidRDefault="001C33F0">
            <w:pPr>
              <w:spacing w:after="0" w:line="240" w:lineRule="auto"/>
              <w:rPr>
                <w:rFonts w:ascii="Times New Roman" w:hAnsi="Times New Roman" w:cs="Times New Roman"/>
                <w:noProof/>
                <w:sz w:val="24"/>
                <w:szCs w:val="24"/>
              </w:rPr>
            </w:pPr>
          </w:p>
        </w:tc>
        <w:tc>
          <w:tcPr>
            <w:tcW w:w="1091" w:type="dxa"/>
            <w:shd w:val="clear" w:color="auto" w:fill="C6EFCE"/>
            <w:noWrap/>
          </w:tcPr>
          <w:p w14:paraId="049306DE" w14:textId="77777777" w:rsidR="001C33F0" w:rsidRPr="009F1DC7" w:rsidRDefault="001C33F0">
            <w:pPr>
              <w:spacing w:after="0" w:line="240" w:lineRule="auto"/>
              <w:rPr>
                <w:rFonts w:ascii="Times New Roman" w:hAnsi="Times New Roman" w:cs="Times New Roman"/>
                <w:noProof/>
                <w:sz w:val="24"/>
                <w:szCs w:val="24"/>
              </w:rPr>
            </w:pPr>
          </w:p>
        </w:tc>
        <w:tc>
          <w:tcPr>
            <w:tcW w:w="1309" w:type="dxa"/>
            <w:shd w:val="clear" w:color="auto" w:fill="C6EFCE"/>
            <w:noWrap/>
          </w:tcPr>
          <w:p w14:paraId="177B35DD"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0" w:type="dxa"/>
            <w:shd w:val="clear" w:color="auto" w:fill="C6EFCE"/>
            <w:noWrap/>
          </w:tcPr>
          <w:p w14:paraId="6CCE1023"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384DF90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Orientările și procedurile aferente vor implementa în mod corespunzător registrul public creat de Guvern în 2016, care înregistrează reuniunile factorilor de decizie (guvernamentali) cu reprezentanții grupurilor de interese și servește, de asemenea, ca registru voluntar pentru grupurile de interese. </w:t>
            </w:r>
          </w:p>
          <w:p w14:paraId="2257C4E2" w14:textId="77777777" w:rsidR="001C33F0" w:rsidRPr="009F1DC7" w:rsidRDefault="001C33F0">
            <w:pPr>
              <w:spacing w:after="0" w:line="240" w:lineRule="auto"/>
              <w:rPr>
                <w:rFonts w:ascii="Times New Roman" w:hAnsi="Times New Roman" w:cs="Times New Roman"/>
                <w:noProof/>
                <w:sz w:val="24"/>
                <w:szCs w:val="24"/>
              </w:rPr>
            </w:pPr>
          </w:p>
        </w:tc>
      </w:tr>
      <w:tr w:rsidR="000A27B3" w:rsidRPr="000A27B3" w14:paraId="44629F90" w14:textId="77777777" w:rsidTr="00B74F9A">
        <w:trPr>
          <w:trHeight w:val="309"/>
        </w:trPr>
        <w:tc>
          <w:tcPr>
            <w:tcW w:w="822" w:type="dxa"/>
            <w:shd w:val="clear" w:color="auto" w:fill="C6EFCE"/>
            <w:noWrap/>
          </w:tcPr>
          <w:p w14:paraId="66470CDF"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411</w:t>
            </w:r>
          </w:p>
        </w:tc>
        <w:tc>
          <w:tcPr>
            <w:tcW w:w="2391" w:type="dxa"/>
            <w:shd w:val="clear" w:color="auto" w:fill="C6EFCE"/>
            <w:noWrap/>
          </w:tcPr>
          <w:p w14:paraId="4EC5B202"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 xml:space="preserve">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 </w:t>
            </w:r>
          </w:p>
          <w:p w14:paraId="114ADF41" w14:textId="77777777" w:rsidR="001C33F0" w:rsidRPr="009F1DC7" w:rsidRDefault="001C33F0">
            <w:pPr>
              <w:spacing w:after="0" w:line="240" w:lineRule="auto"/>
              <w:jc w:val="both"/>
              <w:rPr>
                <w:rFonts w:ascii="Times New Roman" w:hAnsi="Times New Roman" w:cs="Times New Roman"/>
                <w:noProof/>
                <w:sz w:val="24"/>
              </w:rPr>
            </w:pPr>
          </w:p>
          <w:p w14:paraId="00638301" w14:textId="77777777" w:rsidR="001C33F0" w:rsidRPr="009F1DC7" w:rsidRDefault="001C33F0">
            <w:pPr>
              <w:spacing w:after="0" w:line="240" w:lineRule="auto"/>
              <w:jc w:val="both"/>
              <w:rPr>
                <w:rFonts w:ascii="Times New Roman" w:hAnsi="Times New Roman" w:cs="Times New Roman"/>
                <w:noProof/>
                <w:sz w:val="24"/>
                <w:szCs w:val="24"/>
              </w:rPr>
            </w:pPr>
          </w:p>
        </w:tc>
        <w:tc>
          <w:tcPr>
            <w:tcW w:w="1226" w:type="dxa"/>
            <w:shd w:val="clear" w:color="auto" w:fill="C6EFCE"/>
            <w:noWrap/>
          </w:tcPr>
          <w:p w14:paraId="04A56E4C"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5984FE2D" w14:textId="77777777" w:rsidR="001C33F0" w:rsidRPr="000A27B3" w:rsidRDefault="001C33F0">
            <w:pPr>
              <w:spacing w:after="0" w:line="240" w:lineRule="auto"/>
              <w:jc w:val="both"/>
              <w:rPr>
                <w:rFonts w:ascii="Times New Roman" w:hAnsi="Times New Roman" w:cs="Times New Roman"/>
                <w:noProof/>
                <w:sz w:val="24"/>
                <w:szCs w:val="24"/>
              </w:rPr>
            </w:pPr>
            <w:bookmarkStart w:id="13" w:name="_Hlk80360706"/>
            <w:r>
              <w:rPr>
                <w:rFonts w:ascii="Times New Roman" w:hAnsi="Times New Roman"/>
                <w:noProof/>
                <w:sz w:val="24"/>
              </w:rPr>
              <w:t>Intrarea în vigoare a metodologiei de utilizare a ordonanțelor de urgență</w:t>
            </w:r>
            <w:bookmarkEnd w:id="13"/>
          </w:p>
        </w:tc>
        <w:tc>
          <w:tcPr>
            <w:tcW w:w="1547" w:type="dxa"/>
            <w:shd w:val="clear" w:color="auto" w:fill="C6EFCE"/>
            <w:noWrap/>
          </w:tcPr>
          <w:p w14:paraId="5E17DEC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din hotărârea de guvern care indică intrarea în vigoare a metodologiei de utilizare a ordonanțelor de urgență </w:t>
            </w:r>
          </w:p>
        </w:tc>
        <w:tc>
          <w:tcPr>
            <w:tcW w:w="1034" w:type="dxa"/>
            <w:shd w:val="clear" w:color="auto" w:fill="C6EFCE"/>
            <w:noWrap/>
          </w:tcPr>
          <w:p w14:paraId="54CA1E21"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68F2CDC6"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noWrap/>
          </w:tcPr>
          <w:p w14:paraId="45CD1373"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676FF98B"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0" w:type="dxa"/>
            <w:shd w:val="clear" w:color="auto" w:fill="C6EFCE"/>
            <w:noWrap/>
          </w:tcPr>
          <w:p w14:paraId="4DC5305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20DD956A"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Hotărârea de Guvern privind Metodologia de utilizare a ordonanțelor de urgență va preciza circumstanțele în care pot fi utilizate aceste ordonanțe și modul în care se evaluează impactul acestora (</w:t>
            </w:r>
            <w:r>
              <w:rPr>
                <w:rFonts w:ascii="Times New Roman" w:hAnsi="Times New Roman"/>
                <w:i/>
                <w:noProof/>
                <w:sz w:val="24"/>
              </w:rPr>
              <w:t>ex post, ex ante</w:t>
            </w:r>
            <w:r>
              <w:rPr>
                <w:rFonts w:ascii="Times New Roman" w:hAnsi="Times New Roman"/>
                <w:noProof/>
                <w:sz w:val="24"/>
              </w:rPr>
              <w:t xml:space="preserve">), precum și procedurile aferente de elaborare și aprobare a acestora și rolul Secretariatului General al Guvernului și al Ministerului Justiției pentru asigurarea filtrării și a controlului general al calității. </w:t>
            </w:r>
          </w:p>
          <w:p w14:paraId="6FB9C25F" w14:textId="77777777" w:rsidR="001C33F0" w:rsidRPr="009F1DC7" w:rsidRDefault="001C33F0">
            <w:pPr>
              <w:spacing w:after="0" w:line="240" w:lineRule="auto"/>
              <w:jc w:val="both"/>
              <w:rPr>
                <w:rFonts w:ascii="Times New Roman" w:hAnsi="Times New Roman" w:cs="Times New Roman"/>
                <w:noProof/>
                <w:sz w:val="24"/>
                <w:szCs w:val="24"/>
              </w:rPr>
            </w:pPr>
          </w:p>
        </w:tc>
      </w:tr>
      <w:tr w:rsidR="000A27B3" w:rsidRPr="000A27B3" w14:paraId="57BECA90" w14:textId="77777777" w:rsidTr="00B74F9A">
        <w:trPr>
          <w:trHeight w:val="309"/>
        </w:trPr>
        <w:tc>
          <w:tcPr>
            <w:tcW w:w="822" w:type="dxa"/>
            <w:shd w:val="clear" w:color="auto" w:fill="C6EFCE"/>
            <w:noWrap/>
          </w:tcPr>
          <w:p w14:paraId="16902444"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412</w:t>
            </w:r>
          </w:p>
        </w:tc>
        <w:tc>
          <w:tcPr>
            <w:tcW w:w="2391" w:type="dxa"/>
            <w:shd w:val="clear" w:color="auto" w:fill="C6EFCE"/>
            <w:noWrap/>
          </w:tcPr>
          <w:p w14:paraId="32CC0D1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1. 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 </w:t>
            </w:r>
          </w:p>
        </w:tc>
        <w:tc>
          <w:tcPr>
            <w:tcW w:w="1226" w:type="dxa"/>
            <w:shd w:val="clear" w:color="auto" w:fill="C6EFCE"/>
            <w:noWrap/>
          </w:tcPr>
          <w:p w14:paraId="591ECA4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0D43C67D" w14:textId="77777777" w:rsidR="001C33F0" w:rsidRPr="000A27B3" w:rsidRDefault="001C33F0">
            <w:pPr>
              <w:spacing w:after="0" w:line="240" w:lineRule="auto"/>
              <w:jc w:val="both"/>
              <w:rPr>
                <w:rFonts w:ascii="Times New Roman" w:hAnsi="Times New Roman" w:cs="Times New Roman"/>
                <w:noProof/>
                <w:sz w:val="24"/>
                <w:szCs w:val="24"/>
              </w:rPr>
            </w:pPr>
            <w:bookmarkStart w:id="14" w:name="_Hlk80360715"/>
            <w:r>
              <w:rPr>
                <w:rFonts w:ascii="Times New Roman" w:hAnsi="Times New Roman"/>
                <w:noProof/>
                <w:sz w:val="24"/>
              </w:rPr>
              <w:t>Intrarea în vigoare a modificărilor legislative menite să asigure publicarea textului integral al legilor după ce au fost modificate</w:t>
            </w:r>
            <w:bookmarkEnd w:id="14"/>
          </w:p>
        </w:tc>
        <w:tc>
          <w:tcPr>
            <w:tcW w:w="1547" w:type="dxa"/>
            <w:shd w:val="clear" w:color="auto" w:fill="C6EFCE"/>
            <w:noWrap/>
          </w:tcPr>
          <w:p w14:paraId="7C226D1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care indică intrarea în vigoare a actului legislativ privind publicarea textului integral al legilor după ce acestea au fost modificate </w:t>
            </w:r>
          </w:p>
        </w:tc>
        <w:tc>
          <w:tcPr>
            <w:tcW w:w="1034" w:type="dxa"/>
            <w:shd w:val="clear" w:color="auto" w:fill="C6EFCE"/>
            <w:noWrap/>
          </w:tcPr>
          <w:p w14:paraId="4FBF2634" w14:textId="77777777" w:rsidR="001C33F0" w:rsidRPr="009F1DC7" w:rsidRDefault="001C33F0">
            <w:pPr>
              <w:spacing w:after="0" w:line="240" w:lineRule="auto"/>
              <w:rPr>
                <w:rFonts w:ascii="Times New Roman" w:hAnsi="Times New Roman" w:cs="Times New Roman"/>
                <w:noProof/>
                <w:sz w:val="24"/>
                <w:szCs w:val="24"/>
              </w:rPr>
            </w:pPr>
          </w:p>
        </w:tc>
        <w:tc>
          <w:tcPr>
            <w:tcW w:w="1200" w:type="dxa"/>
            <w:shd w:val="clear" w:color="auto" w:fill="C6EFCE"/>
            <w:noWrap/>
          </w:tcPr>
          <w:p w14:paraId="73296AA2" w14:textId="77777777" w:rsidR="001C33F0" w:rsidRPr="009F1DC7" w:rsidRDefault="001C33F0">
            <w:pPr>
              <w:spacing w:after="0" w:line="240" w:lineRule="auto"/>
              <w:rPr>
                <w:rFonts w:ascii="Times New Roman" w:hAnsi="Times New Roman" w:cs="Times New Roman"/>
                <w:noProof/>
                <w:sz w:val="24"/>
                <w:szCs w:val="24"/>
              </w:rPr>
            </w:pPr>
          </w:p>
        </w:tc>
        <w:tc>
          <w:tcPr>
            <w:tcW w:w="1091" w:type="dxa"/>
            <w:shd w:val="clear" w:color="auto" w:fill="C6EFCE"/>
            <w:noWrap/>
          </w:tcPr>
          <w:p w14:paraId="16ECCF93" w14:textId="77777777" w:rsidR="001C33F0" w:rsidRPr="009F1DC7" w:rsidRDefault="001C33F0">
            <w:pPr>
              <w:spacing w:after="0" w:line="240" w:lineRule="auto"/>
              <w:rPr>
                <w:rFonts w:ascii="Times New Roman" w:hAnsi="Times New Roman" w:cs="Times New Roman"/>
                <w:noProof/>
                <w:sz w:val="24"/>
                <w:szCs w:val="24"/>
              </w:rPr>
            </w:pPr>
          </w:p>
        </w:tc>
        <w:tc>
          <w:tcPr>
            <w:tcW w:w="1309" w:type="dxa"/>
            <w:shd w:val="clear" w:color="auto" w:fill="C6EFCE"/>
            <w:noWrap/>
          </w:tcPr>
          <w:p w14:paraId="15E404A9"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0" w:type="dxa"/>
            <w:shd w:val="clear" w:color="auto" w:fill="C6EFCE"/>
            <w:noWrap/>
          </w:tcPr>
          <w:p w14:paraId="67937B18"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1FE62E4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Modificările aduse Legii nr. 24/2000 privind tehnica legislativă vor asigura publicarea textului integral al legilor după ce acestea au fost modificate, ceea ce în prezent nu se realizează în mod sistematic. </w:t>
            </w:r>
          </w:p>
          <w:p w14:paraId="5C8AE6A2" w14:textId="77777777" w:rsidR="001C33F0" w:rsidRPr="009F1DC7" w:rsidRDefault="001C33F0">
            <w:pPr>
              <w:spacing w:after="0" w:line="240" w:lineRule="auto"/>
              <w:rPr>
                <w:rFonts w:ascii="Times New Roman" w:hAnsi="Times New Roman" w:cs="Times New Roman"/>
                <w:noProof/>
                <w:sz w:val="24"/>
                <w:szCs w:val="24"/>
              </w:rPr>
            </w:pPr>
          </w:p>
        </w:tc>
      </w:tr>
      <w:tr w:rsidR="000A27B3" w:rsidRPr="000A27B3" w14:paraId="142D8555" w14:textId="77777777" w:rsidTr="00B74F9A">
        <w:trPr>
          <w:trHeight w:val="309"/>
        </w:trPr>
        <w:tc>
          <w:tcPr>
            <w:tcW w:w="822" w:type="dxa"/>
            <w:shd w:val="clear" w:color="auto" w:fill="C6EFCE"/>
            <w:noWrap/>
          </w:tcPr>
          <w:p w14:paraId="4D6DDDDD"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413</w:t>
            </w:r>
          </w:p>
        </w:tc>
        <w:tc>
          <w:tcPr>
            <w:tcW w:w="2391" w:type="dxa"/>
            <w:shd w:val="clear" w:color="auto" w:fill="C6EFCE"/>
            <w:noWrap/>
          </w:tcPr>
          <w:p w14:paraId="0AE5422D" w14:textId="0217BE92"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Întărirea coordonării la Centrul Guvernului printr-o abordare integrată și coerentă a inițiativelor în domeniul schimbărilor climatice și a dezvoltării durabile </w:t>
            </w:r>
          </w:p>
        </w:tc>
        <w:tc>
          <w:tcPr>
            <w:tcW w:w="1226" w:type="dxa"/>
            <w:shd w:val="clear" w:color="auto" w:fill="C6EFCE"/>
            <w:noWrap/>
          </w:tcPr>
          <w:p w14:paraId="1828787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Jalon </w:t>
            </w:r>
          </w:p>
        </w:tc>
        <w:tc>
          <w:tcPr>
            <w:tcW w:w="1495" w:type="dxa"/>
            <w:shd w:val="clear" w:color="auto" w:fill="C6EFCE"/>
            <w:noWrap/>
          </w:tcPr>
          <w:p w14:paraId="63A3197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Operaționalizarea unui comitet interinstituțional privind schimbările climatice </w:t>
            </w:r>
          </w:p>
        </w:tc>
        <w:tc>
          <w:tcPr>
            <w:tcW w:w="1547" w:type="dxa"/>
            <w:shd w:val="clear" w:color="auto" w:fill="C6EFCE"/>
            <w:noWrap/>
          </w:tcPr>
          <w:p w14:paraId="0314E41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Comitetul interinstituțional privind schimbările climatice operaționalizat</w:t>
            </w:r>
          </w:p>
        </w:tc>
        <w:tc>
          <w:tcPr>
            <w:tcW w:w="1034" w:type="dxa"/>
            <w:shd w:val="clear" w:color="auto" w:fill="C6EFCE"/>
            <w:noWrap/>
          </w:tcPr>
          <w:p w14:paraId="537E20F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28C46853"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noWrap/>
          </w:tcPr>
          <w:p w14:paraId="11E2FD8A"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4C25524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4ED14727"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4DA37E3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Comitetul privind schimbările climatice se va axa, în conformitate cu mandatul său propus, pe: (i) stabilirea unor politici prioritare anuale în domeniul schimbărilor climatice în conformitate cu obiectivele Pactului verde european și cu calendarul asumat de România prin intermediul Planului național integrat în domeniul energiei și schimbărilor climatice (PNIESC); (ii) coordonarea, monitorizarea și evaluarea autorităților responsabile cu punerea în aplicare a politicilor și măsurilor în cadrul activităților PNIESC; (iii) aprobarea indicatorilor de măsurare a angajamentelor României în materie de climă. Prioritățile comitetului vor fi stabilite și decise în cadrul reuniunilor sale, iar acestea pot fi de natură legislativă, financiară sau fiscală, legate de dezvoltarea politicilor publice pentru investiții verzi sau de stabilirea cadrului metodologic sau administrativ. Prioritățile vor fi aprobate anual în mod oficial de către Guvern și se va adopta un plan de acțiune privind etapele de realizare a fiecărei priorități propuse, termene clare de realizare pentru fiecare etapă și instituțiile responsabile. </w:t>
            </w:r>
          </w:p>
        </w:tc>
      </w:tr>
      <w:tr w:rsidR="000A27B3" w:rsidRPr="000A27B3" w14:paraId="7C531673" w14:textId="77777777" w:rsidTr="00B74F9A">
        <w:trPr>
          <w:trHeight w:val="309"/>
        </w:trPr>
        <w:tc>
          <w:tcPr>
            <w:tcW w:w="822" w:type="dxa"/>
            <w:shd w:val="clear" w:color="auto" w:fill="C6EFCE"/>
            <w:noWrap/>
          </w:tcPr>
          <w:p w14:paraId="3160CBB2"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414</w:t>
            </w:r>
          </w:p>
        </w:tc>
        <w:tc>
          <w:tcPr>
            <w:tcW w:w="2391" w:type="dxa"/>
            <w:shd w:val="clear" w:color="auto" w:fill="C6EFCE"/>
            <w:noWrap/>
          </w:tcPr>
          <w:p w14:paraId="69733FE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Întărirea coordonării la Centrul Guvernului printr-o abordare integrată și coerentă a inițiativelor în domeniul schimbărilor climatice și a dezvoltării durabile </w:t>
            </w:r>
          </w:p>
        </w:tc>
        <w:tc>
          <w:tcPr>
            <w:tcW w:w="1226" w:type="dxa"/>
            <w:shd w:val="clear" w:color="auto" w:fill="C6EFCE"/>
            <w:noWrap/>
          </w:tcPr>
          <w:p w14:paraId="0566A13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4D44565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Realizarea a 90 % din prioritățile stabilite de Comitetul interinstituțional privind schimbările climatice pentru 2025 </w:t>
            </w:r>
          </w:p>
        </w:tc>
        <w:tc>
          <w:tcPr>
            <w:tcW w:w="1547" w:type="dxa"/>
            <w:shd w:val="clear" w:color="auto" w:fill="C6EFCE"/>
            <w:noWrap/>
          </w:tcPr>
          <w:p w14:paraId="51B1DFE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2FE7DB5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Procent (%)</w:t>
            </w:r>
          </w:p>
        </w:tc>
        <w:tc>
          <w:tcPr>
            <w:tcW w:w="1200" w:type="dxa"/>
            <w:shd w:val="clear" w:color="auto" w:fill="C6EFCE"/>
            <w:noWrap/>
          </w:tcPr>
          <w:p w14:paraId="6CD66F7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noWrap/>
          </w:tcPr>
          <w:p w14:paraId="797E564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90</w:t>
            </w:r>
          </w:p>
        </w:tc>
        <w:tc>
          <w:tcPr>
            <w:tcW w:w="1309" w:type="dxa"/>
            <w:shd w:val="clear" w:color="auto" w:fill="C6EFCE"/>
            <w:noWrap/>
          </w:tcPr>
          <w:p w14:paraId="7EC006E7"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shd w:val="clear" w:color="auto" w:fill="C6EFCE"/>
            <w:noWrap/>
          </w:tcPr>
          <w:p w14:paraId="27D5BF89"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41" w:type="dxa"/>
            <w:shd w:val="clear" w:color="auto" w:fill="C6EFCE"/>
            <w:noWrap/>
          </w:tcPr>
          <w:p w14:paraId="4E21A8B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90 % din prioritățile stabilite de Comitetul interinstituțional privind schimbările climatice pentru 2025 vor fi atinse. Prioritățile vor fi aprobate în cadrul Comitetului interinstituțional privind schimbările climatice (CISC) în decembrie 2024. </w:t>
            </w:r>
          </w:p>
        </w:tc>
      </w:tr>
      <w:tr w:rsidR="000A27B3" w:rsidRPr="000A27B3" w14:paraId="6A562663" w14:textId="77777777" w:rsidTr="00B74F9A">
        <w:trPr>
          <w:trHeight w:val="309"/>
        </w:trPr>
        <w:tc>
          <w:tcPr>
            <w:tcW w:w="822" w:type="dxa"/>
            <w:shd w:val="clear" w:color="auto" w:fill="C6EFCE"/>
            <w:noWrap/>
          </w:tcPr>
          <w:p w14:paraId="1A913809"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415</w:t>
            </w:r>
          </w:p>
        </w:tc>
        <w:tc>
          <w:tcPr>
            <w:tcW w:w="2391" w:type="dxa"/>
            <w:shd w:val="clear" w:color="auto" w:fill="C6EFCE"/>
            <w:noWrap/>
          </w:tcPr>
          <w:p w14:paraId="501F674B" w14:textId="07394421"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2. Întărirea coordonării la Centrul Guvernului printr-o abordare integrată și coerentă a inițiativelor în domeniul schimbărilor climatice și a dezvoltării durabile </w:t>
            </w:r>
          </w:p>
        </w:tc>
        <w:tc>
          <w:tcPr>
            <w:tcW w:w="1226" w:type="dxa"/>
            <w:shd w:val="clear" w:color="auto" w:fill="C6EFCE"/>
            <w:noWrap/>
          </w:tcPr>
          <w:p w14:paraId="5FCA80A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76B6BA1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Funcționari publici calificați să îndeplinească funcția de „experți în dezvoltare durabilă” în instituțiile publice de la nivel central și local</w:t>
            </w:r>
          </w:p>
        </w:tc>
        <w:tc>
          <w:tcPr>
            <w:tcW w:w="1547" w:type="dxa"/>
            <w:shd w:val="clear" w:color="auto" w:fill="C6EFCE"/>
            <w:noWrap/>
          </w:tcPr>
          <w:p w14:paraId="5B0F123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6C3B025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2ED5206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noWrap/>
          </w:tcPr>
          <w:p w14:paraId="4148681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2 000</w:t>
            </w:r>
          </w:p>
        </w:tc>
        <w:tc>
          <w:tcPr>
            <w:tcW w:w="1309" w:type="dxa"/>
            <w:shd w:val="clear" w:color="auto" w:fill="C6EFCE"/>
            <w:noWrap/>
          </w:tcPr>
          <w:p w14:paraId="11CDB99C"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720" w:type="dxa"/>
            <w:shd w:val="clear" w:color="auto" w:fill="C6EFCE"/>
            <w:noWrap/>
          </w:tcPr>
          <w:p w14:paraId="1C565032"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41" w:type="dxa"/>
            <w:shd w:val="clear" w:color="auto" w:fill="C6EFCE"/>
            <w:noWrap/>
          </w:tcPr>
          <w:p w14:paraId="364F3C5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Ținta va fi atinsă prin următoarele etape:</w:t>
            </w:r>
          </w:p>
          <w:p w14:paraId="18C9EB6F" w14:textId="77777777" w:rsidR="001C33F0" w:rsidRPr="000A27B3" w:rsidRDefault="001C33F0">
            <w:pPr>
              <w:spacing w:after="0" w:line="240" w:lineRule="auto"/>
              <w:ind w:left="-24"/>
              <w:jc w:val="both"/>
              <w:rPr>
                <w:rFonts w:ascii="Times New Roman" w:hAnsi="Times New Roman" w:cs="Times New Roman"/>
                <w:noProof/>
                <w:sz w:val="24"/>
              </w:rPr>
            </w:pPr>
            <w:r>
              <w:rPr>
                <w:rFonts w:ascii="Times New Roman" w:hAnsi="Times New Roman"/>
                <w:noProof/>
                <w:sz w:val="24"/>
              </w:rPr>
              <w:t xml:space="preserve">(1) se va întocmi un raport de evaluare a nevoilor și a nivelului de competențe în domeniul dezvoltării durabile în rândul administratorilor publici la nivel central și local; </w:t>
            </w:r>
          </w:p>
          <w:p w14:paraId="1559CC68" w14:textId="77777777" w:rsidR="001C33F0" w:rsidRPr="000A27B3" w:rsidRDefault="001C33F0">
            <w:pPr>
              <w:spacing w:after="0" w:line="240" w:lineRule="auto"/>
              <w:ind w:left="-21"/>
              <w:jc w:val="both"/>
              <w:rPr>
                <w:rFonts w:ascii="Times New Roman" w:hAnsi="Times New Roman" w:cs="Times New Roman"/>
                <w:noProof/>
                <w:sz w:val="24"/>
              </w:rPr>
            </w:pPr>
            <w:r>
              <w:rPr>
                <w:rFonts w:ascii="Times New Roman" w:hAnsi="Times New Roman"/>
                <w:noProof/>
                <w:sz w:val="24"/>
              </w:rPr>
              <w:t>(2) se vor adopta și vor intra în vigoare modificările legislative care completează anexa 5 la Codul administrativ prin adăugarea funcției de „expert în dezvoltare durabilă”;</w:t>
            </w:r>
          </w:p>
          <w:p w14:paraId="31036568" w14:textId="77777777" w:rsidR="001C33F0" w:rsidRPr="000A27B3" w:rsidRDefault="001C33F0">
            <w:pPr>
              <w:spacing w:after="0" w:line="240" w:lineRule="auto"/>
              <w:ind w:left="-21"/>
              <w:jc w:val="both"/>
              <w:rPr>
                <w:rFonts w:ascii="Times New Roman" w:hAnsi="Times New Roman" w:cs="Times New Roman"/>
                <w:noProof/>
                <w:sz w:val="24"/>
                <w:szCs w:val="24"/>
              </w:rPr>
            </w:pPr>
            <w:r>
              <w:rPr>
                <w:rFonts w:ascii="Times New Roman" w:hAnsi="Times New Roman"/>
                <w:noProof/>
                <w:sz w:val="24"/>
              </w:rPr>
              <w:t>(3) programul de formare va fi elaborat și furnizat de instituții publice, private și academice.</w:t>
            </w:r>
          </w:p>
        </w:tc>
      </w:tr>
      <w:tr w:rsidR="000A27B3" w:rsidRPr="000A27B3" w14:paraId="3249B7F6" w14:textId="77777777" w:rsidTr="00B74F9A">
        <w:trPr>
          <w:trHeight w:val="3587"/>
        </w:trPr>
        <w:tc>
          <w:tcPr>
            <w:tcW w:w="822" w:type="dxa"/>
            <w:shd w:val="clear" w:color="auto" w:fill="C6EFCE"/>
            <w:noWrap/>
          </w:tcPr>
          <w:p w14:paraId="060B9B7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416</w:t>
            </w:r>
          </w:p>
        </w:tc>
        <w:tc>
          <w:tcPr>
            <w:tcW w:w="2391" w:type="dxa"/>
            <w:shd w:val="clear" w:color="auto" w:fill="C6EFCE"/>
            <w:noWrap/>
          </w:tcPr>
          <w:p w14:paraId="0658664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Management performant al resurselor umane în sectorul public </w:t>
            </w:r>
          </w:p>
        </w:tc>
        <w:tc>
          <w:tcPr>
            <w:tcW w:w="1226" w:type="dxa"/>
            <w:shd w:val="clear" w:color="auto" w:fill="C6EFCE"/>
            <w:noWrap/>
          </w:tcPr>
          <w:p w14:paraId="0859365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6185B0E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Analiza ex-post a concursului național (pilot) pentru selectarea a două categorii de funcții publice în administrația centrală</w:t>
            </w:r>
          </w:p>
        </w:tc>
        <w:tc>
          <w:tcPr>
            <w:tcW w:w="1547" w:type="dxa"/>
            <w:shd w:val="clear" w:color="auto" w:fill="C6EFCE"/>
            <w:noWrap/>
          </w:tcPr>
          <w:p w14:paraId="60E10C00" w14:textId="02E63C2D"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Publicarea raportului de analiză </w:t>
            </w:r>
            <w:r>
              <w:rPr>
                <w:rFonts w:ascii="Times New Roman" w:hAnsi="Times New Roman"/>
                <w:i/>
                <w:iCs/>
                <w:noProof/>
                <w:sz w:val="24"/>
              </w:rPr>
              <w:t>ex post</w:t>
            </w:r>
            <w:r w:rsidR="004C4C72">
              <w:rPr>
                <w:rFonts w:ascii="Times New Roman" w:hAnsi="Times New Roman"/>
                <w:noProof/>
                <w:sz w:val="24"/>
              </w:rPr>
              <w:t xml:space="preserve"> </w:t>
            </w:r>
          </w:p>
          <w:p w14:paraId="349633AB" w14:textId="77777777" w:rsidR="001C33F0" w:rsidRPr="009F1DC7" w:rsidRDefault="001C33F0">
            <w:pPr>
              <w:spacing w:after="0" w:line="240" w:lineRule="auto"/>
              <w:jc w:val="both"/>
              <w:rPr>
                <w:rFonts w:ascii="Times New Roman" w:hAnsi="Times New Roman" w:cs="Times New Roman"/>
                <w:noProof/>
                <w:sz w:val="24"/>
                <w:szCs w:val="24"/>
                <w:lang w:val="fr-FR"/>
              </w:rPr>
            </w:pPr>
          </w:p>
        </w:tc>
        <w:tc>
          <w:tcPr>
            <w:tcW w:w="1034" w:type="dxa"/>
            <w:shd w:val="clear" w:color="auto" w:fill="C6EFCE"/>
            <w:noWrap/>
          </w:tcPr>
          <w:p w14:paraId="0148EE88"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65F38ED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4BBC2AE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0CC769FE"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5939E8F9"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1DAB7F0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Concursul național (pilot) pentru selectarea a două categorii de funcții publice în administrația centrală se va organiza și se va finaliza în conformitate cu procedurile aprobate de Guvern. </w:t>
            </w:r>
          </w:p>
          <w:p w14:paraId="5735494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După realizarea proiectului-pilot, se va efectua o analiză ex-post a rezultatelor și a impactului obținut, ale cărei rezultate vor permite adaptarea concursului național de recrutare realizat pe scară mai largă.</w:t>
            </w:r>
          </w:p>
        </w:tc>
      </w:tr>
      <w:tr w:rsidR="000A27B3" w:rsidRPr="000A27B3" w14:paraId="709E8AF3" w14:textId="77777777" w:rsidTr="00B74F9A">
        <w:trPr>
          <w:trHeight w:val="309"/>
        </w:trPr>
        <w:tc>
          <w:tcPr>
            <w:tcW w:w="822" w:type="dxa"/>
            <w:shd w:val="clear" w:color="auto" w:fill="C6EFCE"/>
            <w:noWrap/>
          </w:tcPr>
          <w:p w14:paraId="5123198E"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417</w:t>
            </w:r>
          </w:p>
        </w:tc>
        <w:tc>
          <w:tcPr>
            <w:tcW w:w="2391" w:type="dxa"/>
            <w:shd w:val="clear" w:color="auto" w:fill="C6EFCE"/>
            <w:noWrap/>
          </w:tcPr>
          <w:p w14:paraId="4A98377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Management performant al resurselor umane în sectorul public </w:t>
            </w:r>
          </w:p>
        </w:tc>
        <w:tc>
          <w:tcPr>
            <w:tcW w:w="1226" w:type="dxa"/>
            <w:shd w:val="clear" w:color="auto" w:fill="C6EFCE"/>
            <w:noWrap/>
          </w:tcPr>
          <w:p w14:paraId="4C95037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0BB28BE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Finalizarea anuală a cel puțin două concursuri naționale de recrutare a funcționarilor publici pentru cel puțin 3 categorii/grade de funcții publice </w:t>
            </w:r>
          </w:p>
        </w:tc>
        <w:tc>
          <w:tcPr>
            <w:tcW w:w="1547" w:type="dxa"/>
            <w:shd w:val="clear" w:color="auto" w:fill="C6EFCE"/>
            <w:noWrap/>
          </w:tcPr>
          <w:p w14:paraId="5BAED69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Finalizarea a două concursuri naționale de recrutare a funcționarilor publici </w:t>
            </w:r>
          </w:p>
        </w:tc>
        <w:tc>
          <w:tcPr>
            <w:tcW w:w="1034" w:type="dxa"/>
            <w:shd w:val="clear" w:color="auto" w:fill="C6EFCE"/>
            <w:noWrap/>
          </w:tcPr>
          <w:p w14:paraId="5D6A5FD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54EC0C9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7EAC6B0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3793BC46"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39AA884C"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5E3B8E4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Se vor realiza următoarele:</w:t>
            </w:r>
          </w:p>
          <w:p w14:paraId="2DCEC66A" w14:textId="403E043C"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(1) aprobarea de către Guvern a procedurii de organizare și desfășurare a concursului național extins la celelalte categorii de funcții publice generale din administrația publică (pe lângă cele care fac obiectul proiectului-pilot), în conformitate cu legislația în vigoare.</w:t>
            </w:r>
            <w:r>
              <w:rPr>
                <w:noProof/>
              </w:rPr>
              <w:t xml:space="preserve"> </w:t>
            </w:r>
            <w:r>
              <w:rPr>
                <w:noProof/>
              </w:rPr>
              <w:br/>
            </w:r>
            <w:r>
              <w:rPr>
                <w:rFonts w:ascii="Times New Roman" w:hAnsi="Times New Roman"/>
                <w:noProof/>
                <w:sz w:val="24"/>
              </w:rPr>
              <w:t>(2) analize bazate pe colectarea de date, pe studii, sondaje și planuri de recrutare pentru a stabili modul de operaționalizare a concursului național vor fi desfășurate înainte de pregătirea proiectului de act legislativ;</w:t>
            </w:r>
            <w:r>
              <w:rPr>
                <w:noProof/>
              </w:rPr>
              <w:t xml:space="preserve"> </w:t>
            </w:r>
            <w:r>
              <w:rPr>
                <w:noProof/>
              </w:rPr>
              <w:br/>
            </w:r>
            <w:r>
              <w:rPr>
                <w:rFonts w:ascii="Times New Roman" w:hAnsi="Times New Roman"/>
                <w:noProof/>
                <w:sz w:val="24"/>
              </w:rPr>
              <w:t xml:space="preserve">(3) organizarea și finalizarea a două concursuri naționale. </w:t>
            </w:r>
          </w:p>
        </w:tc>
      </w:tr>
      <w:tr w:rsidR="000A27B3" w:rsidRPr="000A27B3" w14:paraId="19A762A5" w14:textId="77777777" w:rsidTr="00B74F9A">
        <w:trPr>
          <w:trHeight w:val="309"/>
        </w:trPr>
        <w:tc>
          <w:tcPr>
            <w:tcW w:w="822" w:type="dxa"/>
            <w:shd w:val="clear" w:color="auto" w:fill="C6EFCE"/>
            <w:noWrap/>
          </w:tcPr>
          <w:p w14:paraId="0D458032"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418</w:t>
            </w:r>
          </w:p>
        </w:tc>
        <w:tc>
          <w:tcPr>
            <w:tcW w:w="2391" w:type="dxa"/>
            <w:shd w:val="clear" w:color="auto" w:fill="C6EFCE"/>
            <w:noWrap/>
          </w:tcPr>
          <w:p w14:paraId="3E53B1A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3. Management performant al resurselor umane în sectorul public </w:t>
            </w:r>
          </w:p>
        </w:tc>
        <w:tc>
          <w:tcPr>
            <w:tcW w:w="1226" w:type="dxa"/>
            <w:shd w:val="clear" w:color="auto" w:fill="C6EFCE"/>
            <w:noWrap/>
          </w:tcPr>
          <w:p w14:paraId="2BD2B24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4D0D1AA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două acte legislative privind managementul resurselor umane </w:t>
            </w:r>
          </w:p>
          <w:p w14:paraId="0AC3D3CF" w14:textId="77777777" w:rsidR="001C33F0" w:rsidRPr="000A27B3" w:rsidRDefault="001C33F0">
            <w:pPr>
              <w:spacing w:after="0" w:line="240" w:lineRule="auto"/>
              <w:jc w:val="both"/>
              <w:rPr>
                <w:rFonts w:ascii="Times New Roman" w:hAnsi="Times New Roman" w:cs="Times New Roman"/>
                <w:noProof/>
                <w:sz w:val="24"/>
                <w:szCs w:val="24"/>
              </w:rPr>
            </w:pPr>
            <w:r>
              <w:rPr>
                <w:noProof/>
              </w:rPr>
              <w:t xml:space="preserve"> </w:t>
            </w:r>
            <w:r>
              <w:rPr>
                <w:noProof/>
              </w:rPr>
              <w:br/>
            </w:r>
          </w:p>
        </w:tc>
        <w:tc>
          <w:tcPr>
            <w:tcW w:w="1547" w:type="dxa"/>
            <w:shd w:val="clear" w:color="auto" w:fill="C6EFCE"/>
            <w:noWrap/>
          </w:tcPr>
          <w:p w14:paraId="15A1519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actelor legislative privind managementul resurselor umane</w:t>
            </w:r>
          </w:p>
        </w:tc>
        <w:tc>
          <w:tcPr>
            <w:tcW w:w="1034" w:type="dxa"/>
            <w:shd w:val="clear" w:color="auto" w:fill="C6EFCE"/>
            <w:noWrap/>
          </w:tcPr>
          <w:p w14:paraId="68C3D9D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3C88A14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609F5BD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5C93DC9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2F8171C1"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41" w:type="dxa"/>
            <w:shd w:val="clear" w:color="auto" w:fill="C6EFCE"/>
            <w:noWrap/>
          </w:tcPr>
          <w:p w14:paraId="13F5D31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Următoarele acte legislative vor fi adoptate și vor intra în vigoare: </w:t>
            </w:r>
          </w:p>
          <w:p w14:paraId="58B06C0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introducerea unor modificări privind gestionarea carierei funcționarilor publici pentru ca aceasta să se bazeze pe meritocrație și, în special, dezvoltarea unei politici de mobilitate orizontală/prin rotație și structurarea carierei astfel încât activitatea funcționarilor publici să fie mai bine direcționată; </w:t>
            </w:r>
          </w:p>
          <w:p w14:paraId="032E263D" w14:textId="77777777" w:rsidR="001C33F0" w:rsidRPr="000A27B3" w:rsidRDefault="001C33F0">
            <w:pPr>
              <w:spacing w:after="0" w:line="240" w:lineRule="auto"/>
              <w:rPr>
                <w:rFonts w:ascii="Times New Roman" w:hAnsi="Times New Roman" w:cs="Times New Roman"/>
                <w:noProof/>
                <w:sz w:val="24"/>
              </w:rPr>
            </w:pPr>
            <w:r>
              <w:rPr>
                <w:rFonts w:ascii="Times New Roman" w:hAnsi="Times New Roman"/>
                <w:noProof/>
                <w:sz w:val="24"/>
              </w:rPr>
              <w:t xml:space="preserve">(2) gestiunea personalului contractual din administrația publică. </w:t>
            </w:r>
          </w:p>
          <w:p w14:paraId="1C7D9AC6" w14:textId="77777777" w:rsidR="001C33F0" w:rsidRPr="000A27B3" w:rsidRDefault="001C33F0">
            <w:pPr>
              <w:spacing w:after="0" w:line="240" w:lineRule="auto"/>
              <w:rPr>
                <w:rFonts w:ascii="Times New Roman" w:hAnsi="Times New Roman" w:cs="Times New Roman"/>
                <w:noProof/>
                <w:sz w:val="24"/>
                <w:szCs w:val="24"/>
                <w:lang w:val="en-GB"/>
              </w:rPr>
            </w:pPr>
          </w:p>
        </w:tc>
      </w:tr>
      <w:tr w:rsidR="000A27B3" w:rsidRPr="000A27B3" w14:paraId="7F1D2489" w14:textId="77777777" w:rsidTr="00B74F9A">
        <w:trPr>
          <w:trHeight w:val="309"/>
        </w:trPr>
        <w:tc>
          <w:tcPr>
            <w:tcW w:w="822" w:type="dxa"/>
            <w:shd w:val="clear" w:color="auto" w:fill="C6EFCE"/>
            <w:noWrap/>
          </w:tcPr>
          <w:p w14:paraId="45800DB6"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419</w:t>
            </w:r>
          </w:p>
        </w:tc>
        <w:tc>
          <w:tcPr>
            <w:tcW w:w="2391" w:type="dxa"/>
            <w:shd w:val="clear" w:color="auto" w:fill="C6EFCE"/>
            <w:noWrap/>
          </w:tcPr>
          <w:p w14:paraId="5C9ADAA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3. Management performant al resurselor umane în sectorul public</w:t>
            </w:r>
          </w:p>
        </w:tc>
        <w:tc>
          <w:tcPr>
            <w:tcW w:w="1226" w:type="dxa"/>
            <w:shd w:val="clear" w:color="auto" w:fill="C6EFCE"/>
            <w:noWrap/>
          </w:tcPr>
          <w:p w14:paraId="3BC41DB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6DB449B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Cadrele de competență în administrația publică centrală sunt operaționale</w:t>
            </w:r>
          </w:p>
        </w:tc>
        <w:tc>
          <w:tcPr>
            <w:tcW w:w="1547" w:type="dxa"/>
            <w:shd w:val="clear" w:color="auto" w:fill="C6EFCE"/>
            <w:noWrap/>
          </w:tcPr>
          <w:p w14:paraId="387D150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Cadrul de competență este operațional</w:t>
            </w:r>
          </w:p>
        </w:tc>
        <w:tc>
          <w:tcPr>
            <w:tcW w:w="1034" w:type="dxa"/>
            <w:shd w:val="clear" w:color="auto" w:fill="C6EFCE"/>
            <w:noWrap/>
          </w:tcPr>
          <w:p w14:paraId="319D5B48"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7CC39E8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77A5F59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34CC6E03"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21A54B2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2025 </w:t>
            </w:r>
          </w:p>
          <w:p w14:paraId="5D41A7E8" w14:textId="77777777" w:rsidR="001C33F0" w:rsidRPr="000A27B3" w:rsidRDefault="001C33F0">
            <w:pPr>
              <w:spacing w:after="0" w:line="240" w:lineRule="auto"/>
              <w:jc w:val="center"/>
              <w:rPr>
                <w:rFonts w:ascii="Times New Roman" w:hAnsi="Times New Roman" w:cs="Times New Roman"/>
                <w:noProof/>
                <w:sz w:val="24"/>
                <w:szCs w:val="24"/>
                <w:lang w:val="en-GB"/>
              </w:rPr>
            </w:pPr>
          </w:p>
        </w:tc>
        <w:tc>
          <w:tcPr>
            <w:tcW w:w="3041" w:type="dxa"/>
            <w:shd w:val="clear" w:color="auto" w:fill="C6EFCE"/>
            <w:noWrap/>
          </w:tcPr>
          <w:p w14:paraId="3AD34FB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Jalonul include intrarea în vigoare a actului legislativ și punerea în aplicare efectivă a acestuia. </w:t>
            </w:r>
          </w:p>
          <w:p w14:paraId="57A5F08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Proiectul de act legislativ privind cadrele generale de competențe pentru funcționarii publici va fi utilizat pentru punerea în aplicare a proiectului-pilot. </w:t>
            </w:r>
          </w:p>
          <w:p w14:paraId="140A3F9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Propunerea legislativă va viza punerea în aplicare etapizată a cadrelor de competențe în instituțiile publice și se va baza pe modelul/proiectul dezvoltat de proiectul SIPOCA 136. Raportul privind acțiunile de recrutare și selecție în cadrul funcției publice va confirma utilizarea noilor proceduri. </w:t>
            </w:r>
          </w:p>
          <w:p w14:paraId="6836730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După finalizarea proiectului-pilot, pentru ajustarea și recalibrarea actului normativ, în urma analizei ex-post, se va utiliza sprijinul tehnic solicitat de planul național de redresare și reziliență.</w:t>
            </w:r>
          </w:p>
          <w:p w14:paraId="0BE8827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Implementarea va fi realizată în următoarele etape:</w:t>
            </w:r>
          </w:p>
          <w:p w14:paraId="71E26A7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(1) clarificarea rolurilor specifice posturilor și pregătirea pentru introducerea cadrului de competențe;</w:t>
            </w:r>
          </w:p>
          <w:p w14:paraId="161B69D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(2) simplificarea clasificării posturilor și corelarea infrastructurii TIC cu procesele de management al resurselor umane;</w:t>
            </w:r>
          </w:p>
          <w:p w14:paraId="34B92F4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(3) evaluarea performanței profesionale pe baza competențelor.</w:t>
            </w:r>
          </w:p>
          <w:p w14:paraId="3F56C70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Implementarea cadrului va face obiectul unei actualizări periodice.</w:t>
            </w:r>
          </w:p>
        </w:tc>
      </w:tr>
      <w:tr w:rsidR="000A27B3" w:rsidRPr="000A27B3" w14:paraId="18BF42C4" w14:textId="77777777" w:rsidTr="00B74F9A">
        <w:trPr>
          <w:trHeight w:val="309"/>
        </w:trPr>
        <w:tc>
          <w:tcPr>
            <w:tcW w:w="822" w:type="dxa"/>
            <w:shd w:val="clear" w:color="auto" w:fill="C6EFCE"/>
            <w:noWrap/>
          </w:tcPr>
          <w:p w14:paraId="1C0F9E4C"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420</w:t>
            </w:r>
          </w:p>
        </w:tc>
        <w:tc>
          <w:tcPr>
            <w:tcW w:w="2391" w:type="dxa"/>
            <w:shd w:val="clear" w:color="auto" w:fill="C6EFCE"/>
            <w:noWrap/>
          </w:tcPr>
          <w:p w14:paraId="1E388D4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4. Dezvoltarea unui sistem de salarizare echitabil și unitar în sectorul public</w:t>
            </w:r>
          </w:p>
        </w:tc>
        <w:tc>
          <w:tcPr>
            <w:tcW w:w="1226" w:type="dxa"/>
            <w:shd w:val="clear" w:color="auto" w:fill="C6EFCE"/>
            <w:noWrap/>
          </w:tcPr>
          <w:p w14:paraId="7A906AB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115B5989" w14:textId="26EE07EC"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noului cadru juridic privind remunerarea funcționarilor publici </w:t>
            </w:r>
          </w:p>
        </w:tc>
        <w:tc>
          <w:tcPr>
            <w:tcW w:w="1547" w:type="dxa"/>
            <w:shd w:val="clear" w:color="auto" w:fill="C6EFCE"/>
            <w:noWrap/>
          </w:tcPr>
          <w:p w14:paraId="788688E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privind remunerarea funcționarilor publici</w:t>
            </w:r>
          </w:p>
        </w:tc>
        <w:tc>
          <w:tcPr>
            <w:tcW w:w="1034" w:type="dxa"/>
            <w:shd w:val="clear" w:color="auto" w:fill="C6EFCE"/>
            <w:noWrap/>
          </w:tcPr>
          <w:p w14:paraId="5C3EDF3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7306C80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663590F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3006F91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168FE63E"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2980930B" w14:textId="14B2A880"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Noua lege privind remunerarea funcționarilor publici (Legea privind salarizarea personalului plătit din fonduri publice) va stabili o metodologie unitară de calcul în scopul de a spori echitatea salarizării în sectorul bugetar (aplicarea principiului plății egale pentru muncă de valoare egală), de a asigura tratamentul nediscriminatoriu în stabilirea sporurilor și corelarea performanțelor cu salariul plătit. </w:t>
            </w:r>
          </w:p>
          <w:p w14:paraId="4495E184" w14:textId="77777777" w:rsidR="001C33F0" w:rsidRPr="000A27B3" w:rsidRDefault="001C33F0">
            <w:pPr>
              <w:spacing w:after="0" w:line="240" w:lineRule="auto"/>
              <w:ind w:left="37" w:hanging="37"/>
              <w:jc w:val="both"/>
              <w:rPr>
                <w:rFonts w:ascii="Times New Roman" w:hAnsi="Times New Roman" w:cs="Times New Roman"/>
                <w:noProof/>
                <w:sz w:val="24"/>
              </w:rPr>
            </w:pPr>
            <w:r>
              <w:rPr>
                <w:rFonts w:ascii="Times New Roman" w:hAnsi="Times New Roman"/>
                <w:noProof/>
                <w:sz w:val="24"/>
              </w:rPr>
              <w:t>Metodologia propusă pentru recalcularea salariilor va fi sustenabilă din punct de vedere bugetar și se va baza pe:</w:t>
            </w:r>
          </w:p>
          <w:p w14:paraId="44F95A99" w14:textId="77777777" w:rsidR="001C33F0" w:rsidRPr="000A27B3" w:rsidRDefault="001C33F0">
            <w:pPr>
              <w:pStyle w:val="ListParagraph"/>
              <w:numPr>
                <w:ilvl w:val="0"/>
                <w:numId w:val="102"/>
              </w:numPr>
              <w:spacing w:after="0" w:line="240" w:lineRule="auto"/>
              <w:ind w:left="179" w:hanging="142"/>
              <w:jc w:val="both"/>
              <w:rPr>
                <w:rFonts w:ascii="Times New Roman" w:hAnsi="Times New Roman" w:cs="Times New Roman"/>
                <w:noProof/>
                <w:sz w:val="24"/>
              </w:rPr>
            </w:pPr>
            <w:r>
              <w:rPr>
                <w:rFonts w:ascii="Times New Roman" w:hAnsi="Times New Roman"/>
                <w:noProof/>
                <w:sz w:val="24"/>
              </w:rPr>
              <w:t>revizuirea coeficienților de ierarhizare pentru fiecare familie ocupațională de funcții bugetare;</w:t>
            </w:r>
          </w:p>
          <w:p w14:paraId="2D156AA9" w14:textId="77777777" w:rsidR="001C33F0" w:rsidRPr="000A27B3" w:rsidRDefault="001C33F0">
            <w:pPr>
              <w:pStyle w:val="ListParagraph"/>
              <w:numPr>
                <w:ilvl w:val="0"/>
                <w:numId w:val="102"/>
              </w:numPr>
              <w:spacing w:after="0" w:line="240" w:lineRule="auto"/>
              <w:ind w:left="179" w:hanging="142"/>
              <w:jc w:val="both"/>
              <w:rPr>
                <w:rFonts w:ascii="Times New Roman" w:hAnsi="Times New Roman" w:cs="Times New Roman"/>
                <w:noProof/>
                <w:sz w:val="24"/>
              </w:rPr>
            </w:pPr>
            <w:r>
              <w:rPr>
                <w:rFonts w:ascii="Times New Roman" w:hAnsi="Times New Roman"/>
                <w:noProof/>
                <w:sz w:val="24"/>
              </w:rPr>
              <w:t>reintroducerea unor grile de salarizare pentru administrația locală, corespunzătoare funcțiilor publice și funcțiilor contractuale;</w:t>
            </w:r>
          </w:p>
          <w:p w14:paraId="29A9AF63" w14:textId="63169E20" w:rsidR="001C33F0" w:rsidRPr="000A27B3" w:rsidRDefault="001C33F0">
            <w:pPr>
              <w:pStyle w:val="ListParagraph"/>
              <w:numPr>
                <w:ilvl w:val="0"/>
                <w:numId w:val="102"/>
              </w:numPr>
              <w:spacing w:after="0" w:line="240" w:lineRule="auto"/>
              <w:ind w:left="179" w:hanging="142"/>
              <w:jc w:val="both"/>
              <w:rPr>
                <w:rFonts w:ascii="Times New Roman" w:hAnsi="Times New Roman" w:cs="Times New Roman"/>
                <w:noProof/>
                <w:sz w:val="24"/>
                <w:szCs w:val="24"/>
              </w:rPr>
            </w:pPr>
            <w:r>
              <w:rPr>
                <w:rFonts w:ascii="Times New Roman" w:hAnsi="Times New Roman"/>
                <w:noProof/>
                <w:sz w:val="24"/>
              </w:rPr>
              <w:t>revizuirea sistemului de acordare a sporurilor și plafonarea sumei sporurilor la 20 % din salariul de bază, la nivel de ordonator principal de credite/autoritate de eliberare a creditelor.</w:t>
            </w:r>
          </w:p>
          <w:p w14:paraId="6DBA223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Noul cadru juridic va fi pus în aplicare în același timp pentru toate categoriile profesionale, pentru a se evita apariția unor noi dezechilibre în sistemul de salarizare din sectorul public. </w:t>
            </w:r>
          </w:p>
        </w:tc>
      </w:tr>
      <w:tr w:rsidR="000A27B3" w:rsidRPr="000A27B3" w14:paraId="1E011577" w14:textId="77777777" w:rsidTr="00B74F9A">
        <w:trPr>
          <w:trHeight w:val="309"/>
        </w:trPr>
        <w:tc>
          <w:tcPr>
            <w:tcW w:w="822" w:type="dxa"/>
            <w:shd w:val="clear" w:color="auto" w:fill="C6EFCE"/>
            <w:noWrap/>
          </w:tcPr>
          <w:p w14:paraId="7C712840"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421</w:t>
            </w:r>
          </w:p>
        </w:tc>
        <w:tc>
          <w:tcPr>
            <w:tcW w:w="2391" w:type="dxa"/>
            <w:shd w:val="clear" w:color="auto" w:fill="C6EFCE"/>
            <w:noWrap/>
          </w:tcPr>
          <w:p w14:paraId="1C22114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5. Garantarea independenței justiției, creșterea calității și eficienței acesteia</w:t>
            </w:r>
          </w:p>
        </w:tc>
        <w:tc>
          <w:tcPr>
            <w:tcW w:w="1226" w:type="dxa"/>
            <w:shd w:val="clear" w:color="auto" w:fill="C6EFCE"/>
            <w:noWrap/>
          </w:tcPr>
          <w:p w14:paraId="61FE2F6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6F6D755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hotărârii de guvern de aprobare a Strategiei de dezvoltare a sistemului judiciar 2022-2025 </w:t>
            </w:r>
          </w:p>
        </w:tc>
        <w:tc>
          <w:tcPr>
            <w:tcW w:w="1547" w:type="dxa"/>
            <w:shd w:val="clear" w:color="auto" w:fill="C6EFCE"/>
            <w:noWrap/>
          </w:tcPr>
          <w:p w14:paraId="553C165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a hotărârii de guvern care indică adoptarea Strategiei de dezvoltare a sistemului judiciar</w:t>
            </w:r>
          </w:p>
        </w:tc>
        <w:tc>
          <w:tcPr>
            <w:tcW w:w="1034" w:type="dxa"/>
            <w:shd w:val="clear" w:color="auto" w:fill="C6EFCE"/>
            <w:noWrap/>
          </w:tcPr>
          <w:p w14:paraId="7D31482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66A96CA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0CBB6D1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0D54B3F8"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720" w:type="dxa"/>
            <w:shd w:val="clear" w:color="auto" w:fill="C6EFCE"/>
            <w:noWrap/>
          </w:tcPr>
          <w:p w14:paraId="0588F5C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724AA8F7" w14:textId="56B234BE"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Ministerul Justiției va pregăti noua strategie pe baza analizelor interne și a propunerilor primite în timpul procesului de consultare publică, după care strategia va fi aprobată și va intra în vigoare.</w:t>
            </w:r>
            <w:r w:rsidR="004C4C72">
              <w:rPr>
                <w:rFonts w:ascii="Times New Roman" w:hAnsi="Times New Roman"/>
                <w:noProof/>
                <w:sz w:val="24"/>
              </w:rPr>
              <w:t xml:space="preserve"> </w:t>
            </w:r>
            <w:r>
              <w:rPr>
                <w:noProof/>
              </w:rPr>
              <w:br/>
            </w:r>
            <w:r>
              <w:rPr>
                <w:rFonts w:ascii="Times New Roman" w:hAnsi="Times New Roman"/>
                <w:noProof/>
                <w:sz w:val="24"/>
              </w:rPr>
              <w:t xml:space="preserve">Strategia va cuprinde doi piloni: </w:t>
            </w:r>
          </w:p>
          <w:p w14:paraId="3540F05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primul pilon va include politici de consolidare a independenței sistemului judiciar și a statului de drept. Rezultatele politicilor de consolidare a statului de drept vor fi evaluate în mod obiectiv prin intermediul unor indicatori de realizare specifici, care vor fi elaborați în cadrul strategiei. Măsurile și indicatorii vor fi pregătiți ținând seama de constatările Raportului privind statul de drept; </w:t>
            </w:r>
          </w:p>
          <w:p w14:paraId="1751D12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(2) pilonul al doilea va include politici de consolidare a capacității instituționale în ceea ce privește resursele, procesele și gestionarea, precum și politicile privind calitatea și eficiența serviciilor în sistemul judiciar, cum ar fi: a) utilizarea eficientă a resurselor umane (de ex. volumul de muncă); b) politica de optimizare a infrastructurii instanțelor, inclusiv a infrastructurii fizice; c) transformarea digitală – prin intermediul următoarelor măsuri:</w:t>
            </w:r>
          </w:p>
          <w:p w14:paraId="38D206A2" w14:textId="77777777" w:rsidR="001C33F0" w:rsidRPr="000A27B3" w:rsidRDefault="001C33F0">
            <w:pPr>
              <w:numPr>
                <w:ilvl w:val="0"/>
                <w:numId w:val="49"/>
              </w:numPr>
              <w:spacing w:after="0" w:line="240" w:lineRule="auto"/>
              <w:ind w:left="179" w:hanging="179"/>
              <w:jc w:val="both"/>
              <w:rPr>
                <w:rFonts w:ascii="Times New Roman" w:hAnsi="Times New Roman" w:cs="Times New Roman"/>
                <w:noProof/>
                <w:sz w:val="24"/>
              </w:rPr>
            </w:pPr>
            <w:r>
              <w:rPr>
                <w:rFonts w:ascii="Times New Roman" w:hAnsi="Times New Roman"/>
                <w:noProof/>
                <w:sz w:val="24"/>
              </w:rPr>
              <w:t xml:space="preserve">interacțiunea digitală a justițiabililor și a oricărei entități interesate cu sistemul judiciar; </w:t>
            </w:r>
          </w:p>
          <w:p w14:paraId="6C554E8A" w14:textId="77777777" w:rsidR="001C33F0" w:rsidRPr="000A27B3" w:rsidRDefault="001C33F0">
            <w:pPr>
              <w:numPr>
                <w:ilvl w:val="0"/>
                <w:numId w:val="49"/>
              </w:numPr>
              <w:spacing w:after="0" w:line="240" w:lineRule="auto"/>
              <w:ind w:left="179" w:hanging="179"/>
              <w:jc w:val="both"/>
              <w:rPr>
                <w:rFonts w:ascii="Times New Roman" w:hAnsi="Times New Roman" w:cs="Times New Roman"/>
                <w:noProof/>
                <w:sz w:val="24"/>
              </w:rPr>
            </w:pPr>
            <w:r>
              <w:rPr>
                <w:rFonts w:ascii="Times New Roman" w:hAnsi="Times New Roman"/>
                <w:noProof/>
                <w:sz w:val="24"/>
              </w:rPr>
              <w:t xml:space="preserve">semnătura electronică și sigiliul electronic; </w:t>
            </w:r>
          </w:p>
          <w:p w14:paraId="1FB2EE3C" w14:textId="77777777" w:rsidR="001C33F0" w:rsidRPr="000A27B3" w:rsidRDefault="001C33F0">
            <w:pPr>
              <w:numPr>
                <w:ilvl w:val="0"/>
                <w:numId w:val="101"/>
              </w:numPr>
              <w:spacing w:after="0" w:line="240" w:lineRule="auto"/>
              <w:ind w:left="179" w:hanging="179"/>
              <w:jc w:val="both"/>
              <w:rPr>
                <w:rFonts w:ascii="Times New Roman" w:hAnsi="Times New Roman" w:cs="Times New Roman"/>
                <w:noProof/>
                <w:sz w:val="24"/>
              </w:rPr>
            </w:pPr>
            <w:r>
              <w:rPr>
                <w:rFonts w:ascii="Times New Roman" w:hAnsi="Times New Roman"/>
                <w:noProof/>
                <w:sz w:val="24"/>
              </w:rPr>
              <w:t xml:space="preserve">disponibilitatea unei comunicări îmbunătățite a datelor pentru dosarul electronic (care reprezintă o opțiune pentru ca justițiabilii să aibă acces electronic la dosarele judiciare); </w:t>
            </w:r>
          </w:p>
          <w:p w14:paraId="2E6A2F11" w14:textId="77777777" w:rsidR="001C33F0" w:rsidRPr="000A27B3" w:rsidRDefault="001C33F0">
            <w:pPr>
              <w:numPr>
                <w:ilvl w:val="0"/>
                <w:numId w:val="101"/>
              </w:numPr>
              <w:spacing w:after="0" w:line="240" w:lineRule="auto"/>
              <w:ind w:left="179" w:hanging="179"/>
              <w:jc w:val="both"/>
              <w:rPr>
                <w:rFonts w:ascii="Times New Roman" w:hAnsi="Times New Roman" w:cs="Times New Roman"/>
                <w:noProof/>
                <w:sz w:val="24"/>
              </w:rPr>
            </w:pPr>
            <w:r>
              <w:rPr>
                <w:rFonts w:ascii="Times New Roman" w:hAnsi="Times New Roman"/>
                <w:noProof/>
                <w:sz w:val="24"/>
              </w:rPr>
              <w:t>elaborarea unei strategii la nivelul întregului sector judiciar pentru digitalizarea arhivei fizice.</w:t>
            </w:r>
          </w:p>
          <w:p w14:paraId="3A9C6CA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Progresele înregistrate în punerea în aplicare a strategiei vor fi monitorizate și evaluate utilizând un set de indicatori elaborați pe baza unor resurse obiective, cum ar fi Tabloul de bord privind justiția în UE și Raportul CE privind statul de drept.</w:t>
            </w:r>
          </w:p>
        </w:tc>
      </w:tr>
      <w:tr w:rsidR="000A27B3" w:rsidRPr="000A27B3" w14:paraId="6B352590" w14:textId="77777777" w:rsidTr="00B74F9A">
        <w:trPr>
          <w:trHeight w:val="309"/>
        </w:trPr>
        <w:tc>
          <w:tcPr>
            <w:tcW w:w="822" w:type="dxa"/>
            <w:shd w:val="clear" w:color="auto" w:fill="C6EFCE"/>
            <w:noWrap/>
          </w:tcPr>
          <w:p w14:paraId="2AA1450F"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422</w:t>
            </w:r>
          </w:p>
        </w:tc>
        <w:tc>
          <w:tcPr>
            <w:tcW w:w="2391" w:type="dxa"/>
            <w:shd w:val="clear" w:color="auto" w:fill="C6EFCE"/>
            <w:noWrap/>
          </w:tcPr>
          <w:p w14:paraId="07E3073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5. Garantarea independenței justiției, creșterea calității și eficienței acesteia</w:t>
            </w:r>
          </w:p>
        </w:tc>
        <w:tc>
          <w:tcPr>
            <w:tcW w:w="1226" w:type="dxa"/>
            <w:shd w:val="clear" w:color="auto" w:fill="C6EFCE"/>
            <w:noWrap/>
          </w:tcPr>
          <w:p w14:paraId="2B98E71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23E5CE2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legii de modificare a atribuțiilor Agenției Naționale de Administrare a Bunurilor Indisponibilizate</w:t>
            </w:r>
          </w:p>
        </w:tc>
        <w:tc>
          <w:tcPr>
            <w:tcW w:w="1547" w:type="dxa"/>
            <w:shd w:val="clear" w:color="auto" w:fill="C6EFCE"/>
            <w:noWrap/>
          </w:tcPr>
          <w:p w14:paraId="4222402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de modificare a atribuțiilor Agenției Naționale de Administrare a Bunurilor Indisponibilizate</w:t>
            </w:r>
          </w:p>
        </w:tc>
        <w:tc>
          <w:tcPr>
            <w:tcW w:w="1034" w:type="dxa"/>
            <w:shd w:val="clear" w:color="auto" w:fill="C6EFCE"/>
            <w:noWrap/>
          </w:tcPr>
          <w:p w14:paraId="3703E26C"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2B12234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71E1012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5FF75B76"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2F7CB39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5E021C5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Actul legislativ va transpune Directiva (UE) 2019/1153 și va introduce mai multe modificări legate de extinderea mandatului instituțional, țintind aspecte precum: administrarea și valorificarea bunurilor confiscate și colaborarea cu alte organisme relevante în procesul de recuperare a prejudiciilor. </w:t>
            </w:r>
          </w:p>
          <w:p w14:paraId="12052A51" w14:textId="77777777" w:rsidR="001C33F0" w:rsidRPr="009F1DC7" w:rsidRDefault="001C33F0">
            <w:pPr>
              <w:spacing w:after="0" w:line="240" w:lineRule="auto"/>
              <w:rPr>
                <w:rFonts w:ascii="Times New Roman" w:hAnsi="Times New Roman" w:cs="Times New Roman"/>
                <w:noProof/>
                <w:sz w:val="24"/>
                <w:szCs w:val="24"/>
                <w:lang w:val="fr-FR"/>
              </w:rPr>
            </w:pPr>
          </w:p>
        </w:tc>
      </w:tr>
      <w:tr w:rsidR="000A27B3" w:rsidRPr="000A27B3" w14:paraId="262CA01F" w14:textId="77777777" w:rsidTr="00B74F9A">
        <w:trPr>
          <w:trHeight w:val="309"/>
        </w:trPr>
        <w:tc>
          <w:tcPr>
            <w:tcW w:w="822" w:type="dxa"/>
            <w:shd w:val="clear" w:color="auto" w:fill="C6EFCE"/>
            <w:noWrap/>
          </w:tcPr>
          <w:p w14:paraId="70EEF1B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423</w:t>
            </w:r>
          </w:p>
        </w:tc>
        <w:tc>
          <w:tcPr>
            <w:tcW w:w="2391" w:type="dxa"/>
            <w:shd w:val="clear" w:color="auto" w:fill="C6EFCE"/>
            <w:noWrap/>
          </w:tcPr>
          <w:p w14:paraId="19BC8CD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5. Garantarea independenței justiției, creșterea calității și eficienței acesteia</w:t>
            </w:r>
          </w:p>
        </w:tc>
        <w:tc>
          <w:tcPr>
            <w:tcW w:w="1226" w:type="dxa"/>
            <w:shd w:val="clear" w:color="auto" w:fill="C6EFCE"/>
            <w:noWrap/>
          </w:tcPr>
          <w:p w14:paraId="7174025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0A8A0B6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„legilor justiției” (legi privind statutul magistraților, organizarea judiciară, Consiliul Superior al Magistraturii)</w:t>
            </w:r>
          </w:p>
        </w:tc>
        <w:tc>
          <w:tcPr>
            <w:tcW w:w="1547" w:type="dxa"/>
            <w:shd w:val="clear" w:color="auto" w:fill="C6EFCE"/>
            <w:noWrap/>
          </w:tcPr>
          <w:p w14:paraId="6CE48C4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legilor justiției</w:t>
            </w:r>
          </w:p>
        </w:tc>
        <w:tc>
          <w:tcPr>
            <w:tcW w:w="1034" w:type="dxa"/>
            <w:shd w:val="clear" w:color="auto" w:fill="C6EFCE"/>
            <w:noWrap/>
          </w:tcPr>
          <w:p w14:paraId="16E6E83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3367979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282E6CB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180E916A"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01ED419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05F8F1A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Noile legi ale justiției vor prevedea următoarele: </w:t>
            </w:r>
          </w:p>
          <w:p w14:paraId="3A5C54D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consolidarea independenței judecătorilor și procurorilor; </w:t>
            </w:r>
          </w:p>
          <w:p w14:paraId="032E8DA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 recrutarea și promovarea în carieră pe principii meritocratice, împreună cu consolidarea rolului Institutului Național al Magistraturii în organizarea și desfășurarea examenelor și a concursurilor; </w:t>
            </w:r>
          </w:p>
          <w:p w14:paraId="2BFD82B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(3) funcționarea eficientă a instanțelor, a Consiliului Superior al Magistraturii, precum și a Parchetului; </w:t>
            </w:r>
          </w:p>
          <w:p w14:paraId="378C2C5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 responsabilitatea efectivă a magistraților, dar și protecția acestora împotriva oricăror interferențe și abuzuri; </w:t>
            </w:r>
          </w:p>
          <w:p w14:paraId="178D637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(5) eficientizarea inspecției judiciare, asigurarea unor garanții mai mari de independență și imparțialitate.</w:t>
            </w:r>
          </w:p>
        </w:tc>
      </w:tr>
      <w:tr w:rsidR="000A27B3" w:rsidRPr="000A27B3" w14:paraId="1B1EE8BA" w14:textId="77777777" w:rsidTr="00B74F9A">
        <w:trPr>
          <w:trHeight w:val="309"/>
        </w:trPr>
        <w:tc>
          <w:tcPr>
            <w:tcW w:w="822" w:type="dxa"/>
            <w:shd w:val="clear" w:color="auto" w:fill="C6EFCE"/>
            <w:noWrap/>
          </w:tcPr>
          <w:p w14:paraId="19079656"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424</w:t>
            </w:r>
          </w:p>
        </w:tc>
        <w:tc>
          <w:tcPr>
            <w:tcW w:w="2391" w:type="dxa"/>
            <w:shd w:val="clear" w:color="auto" w:fill="C6EFCE"/>
            <w:noWrap/>
          </w:tcPr>
          <w:p w14:paraId="531F293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5. Garantarea independenței justiției, creșterea calității și eficienței acesteia</w:t>
            </w:r>
          </w:p>
        </w:tc>
        <w:tc>
          <w:tcPr>
            <w:tcW w:w="1226" w:type="dxa"/>
            <w:shd w:val="clear" w:color="auto" w:fill="C6EFCE"/>
            <w:noWrap/>
          </w:tcPr>
          <w:p w14:paraId="6D7E451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202CFF63" w14:textId="77777777" w:rsidR="001C33F0" w:rsidRPr="000A27B3" w:rsidRDefault="001C33F0">
            <w:pPr>
              <w:spacing w:after="0" w:line="240" w:lineRule="auto"/>
              <w:jc w:val="both"/>
              <w:rPr>
                <w:rFonts w:ascii="Times New Roman" w:hAnsi="Times New Roman" w:cs="Times New Roman"/>
                <w:noProof/>
                <w:sz w:val="24"/>
                <w:szCs w:val="24"/>
              </w:rPr>
            </w:pPr>
            <w:bookmarkStart w:id="15" w:name="_Hlk80360815"/>
            <w:r>
              <w:rPr>
                <w:rFonts w:ascii="Times New Roman" w:hAnsi="Times New Roman"/>
                <w:noProof/>
                <w:sz w:val="24"/>
              </w:rPr>
              <w:t xml:space="preserve">Modificarea Codului penal și a Codului de procedură penală </w:t>
            </w:r>
            <w:bookmarkEnd w:id="15"/>
          </w:p>
        </w:tc>
        <w:tc>
          <w:tcPr>
            <w:tcW w:w="1547" w:type="dxa"/>
            <w:shd w:val="clear" w:color="auto" w:fill="C6EFCE"/>
            <w:noWrap/>
          </w:tcPr>
          <w:p w14:paraId="794E3AD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care indică intrarea în vigoare a legii </w:t>
            </w:r>
          </w:p>
        </w:tc>
        <w:tc>
          <w:tcPr>
            <w:tcW w:w="1034" w:type="dxa"/>
            <w:shd w:val="clear" w:color="auto" w:fill="C6EFCE"/>
            <w:noWrap/>
          </w:tcPr>
          <w:p w14:paraId="4933A3E4"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5D2349C1"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noWrap/>
          </w:tcPr>
          <w:p w14:paraId="2DD1487B"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50D66894"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4C76E40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0817FBAE"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 xml:space="preserve">Modificările necesare ale Codului penal și ale Codului de procedură penală vor fi adoptate și vor intra în vigoare pentru a alinia dispozițiile Codului penal și ale Codului de procedură penală care au intrat în vigoare în 2014 la dispozițiile Constituției, în conformitate cu deciziile relevante ale Curții Constituționale naționale privind constituționalitatea modificărilor recente aduse Codului penal și Codului de procedură penală. </w:t>
            </w:r>
          </w:p>
        </w:tc>
      </w:tr>
      <w:tr w:rsidR="000A27B3" w:rsidRPr="000A27B3" w14:paraId="60B41695" w14:textId="77777777" w:rsidTr="00B74F9A">
        <w:trPr>
          <w:trHeight w:val="309"/>
        </w:trPr>
        <w:tc>
          <w:tcPr>
            <w:tcW w:w="822" w:type="dxa"/>
            <w:shd w:val="clear" w:color="auto" w:fill="C6EFCE"/>
            <w:noWrap/>
          </w:tcPr>
          <w:p w14:paraId="0BD2E8FC"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425</w:t>
            </w:r>
          </w:p>
        </w:tc>
        <w:tc>
          <w:tcPr>
            <w:tcW w:w="2391" w:type="dxa"/>
            <w:shd w:val="clear" w:color="auto" w:fill="C6EFCE"/>
            <w:noWrap/>
          </w:tcPr>
          <w:p w14:paraId="3540D4F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5. Garantarea independenței justiției, creșterea calității și eficienței acesteia</w:t>
            </w:r>
          </w:p>
        </w:tc>
        <w:tc>
          <w:tcPr>
            <w:tcW w:w="1226" w:type="dxa"/>
            <w:shd w:val="clear" w:color="auto" w:fill="C6EFCE"/>
            <w:noWrap/>
          </w:tcPr>
          <w:p w14:paraId="133754F6"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4CC3288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Cel puțin 6 000 de membri ai personalului judiciar (cum ar fi judecători, procurori și grefieri) au participat la cursuri de formare pentru a îmbunătăți calitatea și eficiența sistemului judiciar</w:t>
            </w:r>
          </w:p>
        </w:tc>
        <w:tc>
          <w:tcPr>
            <w:tcW w:w="1547" w:type="dxa"/>
            <w:shd w:val="clear" w:color="auto" w:fill="C6EFCE"/>
            <w:noWrap/>
          </w:tcPr>
          <w:p w14:paraId="75F7722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30E22BB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6FB3C92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noWrap/>
          </w:tcPr>
          <w:p w14:paraId="5F387D16"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6 000</w:t>
            </w:r>
          </w:p>
        </w:tc>
        <w:tc>
          <w:tcPr>
            <w:tcW w:w="1309" w:type="dxa"/>
            <w:shd w:val="clear" w:color="auto" w:fill="C6EFCE"/>
            <w:noWrap/>
          </w:tcPr>
          <w:p w14:paraId="15239D8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125EB9B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41" w:type="dxa"/>
            <w:shd w:val="clear" w:color="auto" w:fill="C6EFCE"/>
            <w:noWrap/>
          </w:tcPr>
          <w:p w14:paraId="570705A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vor organiza sesiuni de formare pentru magistrați și grefieri, pentru a îmbunătăți calitatea sistemului judiciar și pentru a-l face mai eficient. Se vor organiza următoarele activități de formare: </w:t>
            </w:r>
          </w:p>
          <w:p w14:paraId="4371D581" w14:textId="6109000D"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unificarea jurisprudenței în ceea ce privește noile coduri (Codul civil, Codul de procedură civilă, Codul penal și Codul de procedură penală); </w:t>
            </w:r>
          </w:p>
          <w:p w14:paraId="011881E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 achizițiile publice, dreptul administrativ, procedura fiscală; </w:t>
            </w:r>
          </w:p>
          <w:p w14:paraId="243CD5D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(3) cooperarea judiciară internațională în materie civilă și penală, jurisprudența Curții Europene de Justiție privind drepturile fundamentale; </w:t>
            </w:r>
          </w:p>
          <w:p w14:paraId="4CE5295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 gestionarea activității grefierilor; </w:t>
            </w:r>
          </w:p>
          <w:p w14:paraId="0E6F105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(5) jurisprudența Curții Europene a Drepturilor Omului; </w:t>
            </w:r>
          </w:p>
          <w:p w14:paraId="55D17CD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(6) executarea hotărârilor penale.</w:t>
            </w:r>
          </w:p>
          <w:p w14:paraId="60B02624" w14:textId="7E7AAE0C"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Cele 300 de sesiuni de formare se vor adresa unui număr de aproximativ 6</w:t>
            </w:r>
            <w:r w:rsidR="00B74F9A">
              <w:rPr>
                <w:rFonts w:ascii="Times New Roman" w:hAnsi="Times New Roman"/>
                <w:noProof/>
                <w:sz w:val="24"/>
              </w:rPr>
              <w:t> </w:t>
            </w:r>
            <w:r>
              <w:rPr>
                <w:rFonts w:ascii="Times New Roman" w:hAnsi="Times New Roman"/>
                <w:noProof/>
                <w:sz w:val="24"/>
              </w:rPr>
              <w:t>000</w:t>
            </w:r>
            <w:r w:rsidR="00B74F9A">
              <w:rPr>
                <w:rFonts w:ascii="Times New Roman" w:hAnsi="Times New Roman"/>
                <w:noProof/>
                <w:sz w:val="24"/>
              </w:rPr>
              <w:t> </w:t>
            </w:r>
            <w:r>
              <w:rPr>
                <w:rFonts w:ascii="Times New Roman" w:hAnsi="Times New Roman"/>
                <w:noProof/>
                <w:sz w:val="24"/>
              </w:rPr>
              <w:t xml:space="preserve">de judecători, procurori și grefieri. </w:t>
            </w:r>
          </w:p>
        </w:tc>
      </w:tr>
      <w:tr w:rsidR="000A27B3" w:rsidRPr="000A27B3" w14:paraId="0BB33479" w14:textId="77777777" w:rsidTr="00B74F9A">
        <w:trPr>
          <w:trHeight w:val="309"/>
        </w:trPr>
        <w:tc>
          <w:tcPr>
            <w:tcW w:w="822" w:type="dxa"/>
            <w:shd w:val="clear" w:color="auto" w:fill="C6EFCE"/>
            <w:noWrap/>
          </w:tcPr>
          <w:p w14:paraId="77D3345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426</w:t>
            </w:r>
          </w:p>
        </w:tc>
        <w:tc>
          <w:tcPr>
            <w:tcW w:w="2391" w:type="dxa"/>
            <w:shd w:val="clear" w:color="auto" w:fill="C6EFCE"/>
            <w:noWrap/>
          </w:tcPr>
          <w:p w14:paraId="7C8C8C4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6. Intensificarea luptei împotriva corupției </w:t>
            </w:r>
          </w:p>
        </w:tc>
        <w:tc>
          <w:tcPr>
            <w:tcW w:w="1226" w:type="dxa"/>
            <w:shd w:val="clear" w:color="auto" w:fill="C6EFCE"/>
            <w:noWrap/>
          </w:tcPr>
          <w:p w14:paraId="36EE7E7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7677ADF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hotărârii de guvern de aprobare a noii Strategii naționale anticorupție </w:t>
            </w:r>
          </w:p>
        </w:tc>
        <w:tc>
          <w:tcPr>
            <w:tcW w:w="1547" w:type="dxa"/>
            <w:shd w:val="clear" w:color="auto" w:fill="C6EFCE"/>
            <w:noWrap/>
          </w:tcPr>
          <w:p w14:paraId="6859E92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din hotărârea de guvern care indică adoptarea Strategii naționale anticorupție</w:t>
            </w:r>
          </w:p>
        </w:tc>
        <w:tc>
          <w:tcPr>
            <w:tcW w:w="1034" w:type="dxa"/>
            <w:shd w:val="clear" w:color="auto" w:fill="C6EFCE"/>
            <w:noWrap/>
          </w:tcPr>
          <w:p w14:paraId="5C52199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54ABA37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noWrap/>
          </w:tcPr>
          <w:p w14:paraId="57AA291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309" w:type="dxa"/>
            <w:shd w:val="clear" w:color="auto" w:fill="C6EFCE"/>
            <w:noWrap/>
          </w:tcPr>
          <w:p w14:paraId="35F7985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769D4AC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2021</w:t>
            </w:r>
          </w:p>
        </w:tc>
        <w:tc>
          <w:tcPr>
            <w:tcW w:w="3041" w:type="dxa"/>
            <w:shd w:val="clear" w:color="auto" w:fill="C6EFCE"/>
            <w:noWrap/>
          </w:tcPr>
          <w:p w14:paraId="0B49AA9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Obiectivele generale ale noii strategii anticorupție vor viza:</w:t>
            </w:r>
            <w:r>
              <w:rPr>
                <w:noProof/>
              </w:rPr>
              <w:t xml:space="preserve"> </w:t>
            </w:r>
            <w:r>
              <w:rPr>
                <w:noProof/>
              </w:rPr>
              <w:br/>
            </w:r>
            <w:r>
              <w:rPr>
                <w:rFonts w:ascii="Times New Roman" w:hAnsi="Times New Roman"/>
                <w:noProof/>
                <w:sz w:val="24"/>
              </w:rPr>
              <w:t>(1) reducerea impactului corupției asupra cetățenilor;</w:t>
            </w:r>
          </w:p>
          <w:p w14:paraId="2421A8F0" w14:textId="77777777" w:rsidR="001C33F0" w:rsidRPr="000A27B3" w:rsidRDefault="001C33F0">
            <w:pPr>
              <w:spacing w:line="240" w:lineRule="auto"/>
              <w:jc w:val="both"/>
              <w:rPr>
                <w:rFonts w:ascii="Times New Roman" w:hAnsi="Times New Roman" w:cs="Times New Roman"/>
                <w:noProof/>
                <w:sz w:val="24"/>
              </w:rPr>
            </w:pPr>
            <w:r>
              <w:rPr>
                <w:rFonts w:ascii="Times New Roman" w:hAnsi="Times New Roman"/>
                <w:noProof/>
                <w:sz w:val="24"/>
              </w:rPr>
              <w:t>(2) consolidarea managementului integrității și a capacității administrative pentru a preveni și combate corupția;</w:t>
            </w:r>
            <w:r>
              <w:rPr>
                <w:noProof/>
              </w:rPr>
              <w:t xml:space="preserve"> </w:t>
            </w:r>
            <w:r>
              <w:rPr>
                <w:noProof/>
              </w:rPr>
              <w:br/>
            </w:r>
            <w:r>
              <w:rPr>
                <w:rFonts w:ascii="Times New Roman" w:hAnsi="Times New Roman"/>
                <w:noProof/>
                <w:sz w:val="24"/>
              </w:rPr>
              <w:t>(3) consolidarea integrității în domenii prioritare;</w:t>
            </w:r>
            <w:r>
              <w:rPr>
                <w:noProof/>
              </w:rPr>
              <w:t xml:space="preserve"> </w:t>
            </w:r>
            <w:r>
              <w:rPr>
                <w:noProof/>
              </w:rPr>
              <w:br/>
            </w:r>
            <w:r>
              <w:rPr>
                <w:rFonts w:ascii="Times New Roman" w:hAnsi="Times New Roman"/>
                <w:noProof/>
                <w:sz w:val="24"/>
              </w:rPr>
              <w:t>(4) îmbunătățirea performanței de combatere a corupției prin mijloace penale și administrative;</w:t>
            </w:r>
            <w:r>
              <w:rPr>
                <w:noProof/>
              </w:rPr>
              <w:t xml:space="preserve"> </w:t>
            </w:r>
            <w:r>
              <w:rPr>
                <w:noProof/>
              </w:rPr>
              <w:br/>
            </w:r>
            <w:r>
              <w:rPr>
                <w:rFonts w:ascii="Times New Roman" w:hAnsi="Times New Roman"/>
                <w:noProof/>
                <w:sz w:val="24"/>
              </w:rPr>
              <w:t>(5) creșterea gradului de implementare a măsurilor anticorupție.</w:t>
            </w:r>
          </w:p>
          <w:p w14:paraId="3A5AC95E"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Obiectivele specifice ale noii strategii anticorupție vor viza:</w:t>
            </w:r>
          </w:p>
          <w:p w14:paraId="47EBEE3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formarea practicienilor implicați în prevenirea și combaterea infracțiunilor împotriva mediului; </w:t>
            </w:r>
          </w:p>
          <w:p w14:paraId="411FAB3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 alocarea resurselor necesare pentru funcționarea optimă a DNA (Direcția Națională Anticorupție), a structurii de sprijin a Parchetului European, a serviciului tehnic și pentru suplimentarea posturilor de ofițeri de poliție judiciară; </w:t>
            </w:r>
          </w:p>
          <w:p w14:paraId="76F8765B" w14:textId="778ADA18"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(3) promovarea unificării practicii judiciare în materie de corupție. În această privință, DNA va efectua o analiză a practicii judiciare în domeniul cazurilor de corupție. </w:t>
            </w:r>
            <w:r>
              <w:rPr>
                <w:noProof/>
              </w:rPr>
              <w:br/>
            </w:r>
            <w:r>
              <w:rPr>
                <w:rFonts w:ascii="Times New Roman" w:hAnsi="Times New Roman"/>
                <w:noProof/>
                <w:sz w:val="24"/>
              </w:rPr>
              <w:t>Noua strategie va stabili noi domenii prioritare: corupția legată de mediu, legătura dintre corupție și criminalitatea organizată, integritatea în domeniul protejării bunurilor culturale. Strategia va revizui, de asemenea, legislația privind integritatea și, prin urmare, va aduce posibile îmbunătățiri în ceea ce privește legislația specifică referitoare la:</w:t>
            </w:r>
          </w:p>
          <w:p w14:paraId="34E17A4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conflictele de interese, incompatibilități;</w:t>
            </w:r>
          </w:p>
          <w:p w14:paraId="491D653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declarația de avere;</w:t>
            </w:r>
          </w:p>
          <w:p w14:paraId="07BFC96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ușile turnante (pantouflage);</w:t>
            </w:r>
          </w:p>
          <w:p w14:paraId="639DCAD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consilierul de etică;</w:t>
            </w:r>
          </w:p>
          <w:p w14:paraId="377B2E7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standardul general pentru publicarea din oficiu a informațiilor de interes public la nivelul autorităților publice centrale și locale (pentru a asigura coerența aplicării).</w:t>
            </w:r>
          </w:p>
        </w:tc>
      </w:tr>
      <w:tr w:rsidR="000A27B3" w:rsidRPr="000A27B3" w14:paraId="4476245A" w14:textId="77777777" w:rsidTr="00B74F9A">
        <w:trPr>
          <w:trHeight w:val="309"/>
        </w:trPr>
        <w:tc>
          <w:tcPr>
            <w:tcW w:w="822" w:type="dxa"/>
            <w:shd w:val="clear" w:color="auto" w:fill="C6EFCE"/>
            <w:noWrap/>
          </w:tcPr>
          <w:p w14:paraId="74F0CF3C"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427</w:t>
            </w:r>
          </w:p>
        </w:tc>
        <w:tc>
          <w:tcPr>
            <w:tcW w:w="2391" w:type="dxa"/>
            <w:shd w:val="clear" w:color="auto" w:fill="C6EFCE"/>
            <w:noWrap/>
          </w:tcPr>
          <w:p w14:paraId="554B235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6. Intensificarea luptei împotriva corupției </w:t>
            </w:r>
          </w:p>
        </w:tc>
        <w:tc>
          <w:tcPr>
            <w:tcW w:w="1226" w:type="dxa"/>
            <w:shd w:val="clear" w:color="auto" w:fill="C6EFCE"/>
            <w:noWrap/>
          </w:tcPr>
          <w:p w14:paraId="3E98764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79FE9DA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O creștere a valorii activelor sechestrate gestionate de Agenția Națională de Administrare a Bunurilor Indisponibilizate</w:t>
            </w:r>
          </w:p>
        </w:tc>
        <w:tc>
          <w:tcPr>
            <w:tcW w:w="1547" w:type="dxa"/>
            <w:shd w:val="clear" w:color="auto" w:fill="C6EFCE"/>
            <w:noWrap/>
          </w:tcPr>
          <w:p w14:paraId="37F2959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706182D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Procent (%)</w:t>
            </w:r>
          </w:p>
        </w:tc>
        <w:tc>
          <w:tcPr>
            <w:tcW w:w="1200" w:type="dxa"/>
            <w:shd w:val="clear" w:color="auto" w:fill="C6EFCE"/>
            <w:noWrap/>
          </w:tcPr>
          <w:p w14:paraId="67E4784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noWrap/>
          </w:tcPr>
          <w:p w14:paraId="42E6E21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50</w:t>
            </w:r>
          </w:p>
        </w:tc>
        <w:tc>
          <w:tcPr>
            <w:tcW w:w="1309" w:type="dxa"/>
            <w:shd w:val="clear" w:color="auto" w:fill="C6EFCE"/>
            <w:noWrap/>
          </w:tcPr>
          <w:p w14:paraId="2E7C128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68DE8E4A"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41" w:type="dxa"/>
            <w:shd w:val="clear" w:color="auto" w:fill="C6EFCE"/>
            <w:noWrap/>
          </w:tcPr>
          <w:p w14:paraId="3D05AC43" w14:textId="687FD6EE"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Creșterea valorii activelor sechestrate gestionate de Agenția Națională de Administrare a Bunurilor Indisponibilizate se va realiza ca urmare a modificărilor legislative privind consolidarea mandatului legal al Agenției Naționale de Administrare a Bunurilor Indisponibilizate (ANABI) (jalonul 422) și prin construirea depozitelor (ținta 446) pentru bunurile confiscate. </w:t>
            </w:r>
          </w:p>
          <w:p w14:paraId="1DAE5817" w14:textId="0BBF5609"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Nivelul de referință pentru acest obiectiv este reprezentat de valoarea activelor confiscate, gestionate de agenție, în iunie 2021 (aproximativ 45 de milioane EUR).</w:t>
            </w:r>
            <w:r w:rsidR="004C4C72">
              <w:rPr>
                <w:rFonts w:ascii="Times New Roman" w:hAnsi="Times New Roman"/>
                <w:noProof/>
                <w:sz w:val="24"/>
              </w:rPr>
              <w:t xml:space="preserve"> </w:t>
            </w:r>
          </w:p>
        </w:tc>
      </w:tr>
      <w:tr w:rsidR="000A27B3" w:rsidRPr="000A27B3" w14:paraId="19AC28A5" w14:textId="77777777" w:rsidTr="00B74F9A">
        <w:trPr>
          <w:trHeight w:val="309"/>
        </w:trPr>
        <w:tc>
          <w:tcPr>
            <w:tcW w:w="822" w:type="dxa"/>
            <w:shd w:val="clear" w:color="auto" w:fill="C6EFCE"/>
            <w:noWrap/>
          </w:tcPr>
          <w:p w14:paraId="035D5ACE"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428</w:t>
            </w:r>
          </w:p>
        </w:tc>
        <w:tc>
          <w:tcPr>
            <w:tcW w:w="2391" w:type="dxa"/>
            <w:vMerge w:val="restart"/>
            <w:shd w:val="clear" w:color="auto" w:fill="C6EFCE"/>
            <w:noWrap/>
          </w:tcPr>
          <w:p w14:paraId="2F71369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6. Intensificarea luptei împotriva corupției </w:t>
            </w:r>
          </w:p>
          <w:p w14:paraId="25487A67" w14:textId="77777777" w:rsidR="001C33F0" w:rsidRPr="000A27B3" w:rsidRDefault="001C33F0">
            <w:pPr>
              <w:spacing w:after="0" w:line="240" w:lineRule="auto"/>
              <w:jc w:val="both"/>
              <w:rPr>
                <w:rFonts w:ascii="Times New Roman" w:eastAsia="Times New Roman" w:hAnsi="Times New Roman" w:cs="Times New Roman"/>
                <w:noProof/>
                <w:sz w:val="24"/>
                <w:szCs w:val="24"/>
                <w:lang w:val="en-GB" w:eastAsia="en-GB"/>
              </w:rPr>
            </w:pPr>
          </w:p>
          <w:p w14:paraId="688C8DB1" w14:textId="77777777" w:rsidR="001C33F0" w:rsidRPr="000A27B3" w:rsidRDefault="001C33F0">
            <w:pPr>
              <w:spacing w:after="0" w:line="240" w:lineRule="auto"/>
              <w:jc w:val="both"/>
              <w:rPr>
                <w:rFonts w:ascii="Times New Roman" w:eastAsia="Times New Roman" w:hAnsi="Times New Roman" w:cs="Times New Roman"/>
                <w:noProof/>
                <w:sz w:val="24"/>
                <w:szCs w:val="24"/>
                <w:lang w:val="en-GB" w:eastAsia="en-GB"/>
              </w:rPr>
            </w:pPr>
          </w:p>
        </w:tc>
        <w:tc>
          <w:tcPr>
            <w:tcW w:w="1226" w:type="dxa"/>
            <w:vMerge w:val="restart"/>
            <w:shd w:val="clear" w:color="auto" w:fill="C6EFCE"/>
            <w:noWrap/>
          </w:tcPr>
          <w:p w14:paraId="7324BC0E"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Țintă</w:t>
            </w:r>
          </w:p>
          <w:p w14:paraId="634F4F7B"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p w14:paraId="74A91F30" w14:textId="77777777" w:rsidR="001C33F0" w:rsidRPr="000A27B3" w:rsidRDefault="001C33F0">
            <w:pPr>
              <w:spacing w:after="0" w:line="240" w:lineRule="auto"/>
              <w:jc w:val="both"/>
              <w:rPr>
                <w:rFonts w:ascii="Times New Roman" w:hAnsi="Times New Roman" w:cs="Times New Roman"/>
                <w:noProof/>
                <w:sz w:val="24"/>
                <w:szCs w:val="24"/>
                <w:lang w:val="en-GB"/>
              </w:rPr>
            </w:pPr>
          </w:p>
          <w:p w14:paraId="171E57CC"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495" w:type="dxa"/>
            <w:vMerge w:val="restart"/>
            <w:shd w:val="clear" w:color="auto" w:fill="C6EFCE"/>
            <w:noWrap/>
          </w:tcPr>
          <w:p w14:paraId="021ADB32"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Finalizarea a cel puțin 70 % din măsurile prevăzute în noua strategie anticorupție</w:t>
            </w:r>
          </w:p>
          <w:p w14:paraId="78EC8787" w14:textId="77777777" w:rsidR="001C33F0" w:rsidRPr="000A27B3" w:rsidRDefault="001C33F0">
            <w:pPr>
              <w:spacing w:after="0" w:line="240" w:lineRule="auto"/>
              <w:jc w:val="both"/>
              <w:rPr>
                <w:rFonts w:ascii="Times New Roman" w:eastAsia="Times New Roman" w:hAnsi="Times New Roman" w:cs="Times New Roman"/>
                <w:noProof/>
                <w:sz w:val="24"/>
                <w:szCs w:val="24"/>
                <w:lang w:val="en-GB" w:eastAsia="en-GB"/>
              </w:rPr>
            </w:pPr>
          </w:p>
        </w:tc>
        <w:tc>
          <w:tcPr>
            <w:tcW w:w="1547" w:type="dxa"/>
            <w:vMerge w:val="restart"/>
            <w:shd w:val="clear" w:color="auto" w:fill="C6EFCE"/>
            <w:noWrap/>
          </w:tcPr>
          <w:p w14:paraId="25182D99"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w:t>
            </w:r>
          </w:p>
          <w:p w14:paraId="2B99FB42" w14:textId="77777777" w:rsidR="001C33F0" w:rsidRPr="000A27B3" w:rsidRDefault="001C33F0">
            <w:pPr>
              <w:spacing w:after="0" w:line="240" w:lineRule="auto"/>
              <w:jc w:val="both"/>
              <w:rPr>
                <w:rFonts w:ascii="Times New Roman" w:eastAsia="Times New Roman" w:hAnsi="Times New Roman" w:cs="Times New Roman"/>
                <w:noProof/>
                <w:sz w:val="24"/>
                <w:szCs w:val="24"/>
                <w:lang w:val="en-GB" w:eastAsia="en-GB"/>
              </w:rPr>
            </w:pPr>
          </w:p>
        </w:tc>
        <w:tc>
          <w:tcPr>
            <w:tcW w:w="1034" w:type="dxa"/>
            <w:vMerge w:val="restart"/>
            <w:shd w:val="clear" w:color="auto" w:fill="C6EFCE"/>
            <w:noWrap/>
          </w:tcPr>
          <w:p w14:paraId="4D48E10D" w14:textId="77777777" w:rsidR="001C33F0" w:rsidRPr="000A27B3" w:rsidRDefault="001C33F0">
            <w:pPr>
              <w:spacing w:after="0" w:line="240" w:lineRule="auto"/>
              <w:rPr>
                <w:rFonts w:ascii="Times New Roman" w:hAnsi="Times New Roman" w:cs="Times New Roman"/>
                <w:noProof/>
                <w:sz w:val="24"/>
              </w:rPr>
            </w:pPr>
            <w:r>
              <w:rPr>
                <w:rFonts w:ascii="Times New Roman" w:hAnsi="Times New Roman"/>
                <w:noProof/>
                <w:sz w:val="24"/>
              </w:rPr>
              <w:t>Procent (%)</w:t>
            </w:r>
          </w:p>
          <w:p w14:paraId="7FEE93E6"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200" w:type="dxa"/>
            <w:vMerge w:val="restart"/>
            <w:shd w:val="clear" w:color="auto" w:fill="C6EFCE"/>
            <w:noWrap/>
          </w:tcPr>
          <w:p w14:paraId="7EACD922"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0</w:t>
            </w:r>
          </w:p>
          <w:p w14:paraId="4812F3D9"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091" w:type="dxa"/>
            <w:vMerge w:val="restart"/>
            <w:shd w:val="clear" w:color="auto" w:fill="C6EFCE"/>
          </w:tcPr>
          <w:p w14:paraId="1A21A779"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70</w:t>
            </w:r>
          </w:p>
          <w:p w14:paraId="1822860E"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1309" w:type="dxa"/>
            <w:vMerge w:val="restart"/>
            <w:shd w:val="clear" w:color="auto" w:fill="C6EFCE"/>
            <w:noWrap/>
          </w:tcPr>
          <w:p w14:paraId="7F7D8A4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T4</w:t>
            </w:r>
          </w:p>
          <w:p w14:paraId="0E2F5CD4" w14:textId="77777777" w:rsidR="001C33F0" w:rsidRPr="000A27B3" w:rsidRDefault="001C33F0">
            <w:pPr>
              <w:spacing w:after="0" w:line="240" w:lineRule="auto"/>
              <w:rPr>
                <w:rFonts w:ascii="Times New Roman" w:eastAsia="Times New Roman" w:hAnsi="Times New Roman" w:cs="Times New Roman"/>
                <w:noProof/>
                <w:sz w:val="24"/>
                <w:szCs w:val="24"/>
                <w:lang w:val="en-GB" w:eastAsia="en-GB"/>
              </w:rPr>
            </w:pPr>
          </w:p>
        </w:tc>
        <w:tc>
          <w:tcPr>
            <w:tcW w:w="720" w:type="dxa"/>
            <w:vMerge w:val="restart"/>
            <w:shd w:val="clear" w:color="auto" w:fill="C6EFCE"/>
            <w:noWrap/>
          </w:tcPr>
          <w:p w14:paraId="4A08F4FA"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2025</w:t>
            </w:r>
          </w:p>
          <w:p w14:paraId="54AAEAFE" w14:textId="77777777" w:rsidR="001C33F0" w:rsidRPr="000A27B3" w:rsidRDefault="001C33F0">
            <w:pPr>
              <w:spacing w:after="0" w:line="240" w:lineRule="auto"/>
              <w:jc w:val="center"/>
              <w:rPr>
                <w:rFonts w:ascii="Times New Roman" w:eastAsia="Times New Roman" w:hAnsi="Times New Roman" w:cs="Times New Roman"/>
                <w:noProof/>
                <w:sz w:val="24"/>
                <w:szCs w:val="24"/>
                <w:lang w:val="en-GB" w:eastAsia="en-GB"/>
              </w:rPr>
            </w:pPr>
          </w:p>
        </w:tc>
        <w:tc>
          <w:tcPr>
            <w:tcW w:w="3041" w:type="dxa"/>
            <w:vMerge w:val="restart"/>
            <w:shd w:val="clear" w:color="auto" w:fill="C6EFCE"/>
            <w:noWrap/>
          </w:tcPr>
          <w:p w14:paraId="3C05F9C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Strategia prevede implementarea unui amplu mecanism de monitorizare, similar cu cel utilizat cu succes în ciclul 2016-2020. Acesta implică raportări periodice, misiuni de evaluare a conformității în instituțiile publice, rapoarte anuale de evaluare, validate de experți din sfera publică și privată. </w:t>
            </w:r>
          </w:p>
          <w:p w14:paraId="4C4B0EA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Mecanismul de evaluare a conformității strategiei include:</w:t>
            </w:r>
          </w:p>
          <w:p w14:paraId="767EA0B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misiuni de evaluare inter pares desfășurate în instituțiile publice de echipe de experți din cadrul autorităților independente, al instituțiilor anticorupție, al administrației publice, al mediului de afaceri și al societății civile (acest instrument reproduce parțial experiența internațională, de exemplu GRECO); </w:t>
            </w:r>
          </w:p>
          <w:p w14:paraId="72E9851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efectuarea auditurilor externe intermediare și finale privind punerea în aplicare a strategiei.</w:t>
            </w:r>
          </w:p>
          <w:p w14:paraId="03A2DAA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Evaluările externe analizează obiectivele strategiei, impactul acesteia, eficiența și eficacitatea măsurilor de punere în aplicare, precum și sustenabilitatea rezultatelor acesteia.</w:t>
            </w:r>
          </w:p>
        </w:tc>
      </w:tr>
      <w:tr w:rsidR="000A27B3" w:rsidRPr="000A27B3" w14:paraId="312D2252" w14:textId="77777777" w:rsidTr="00B74F9A">
        <w:trPr>
          <w:trHeight w:val="309"/>
        </w:trPr>
        <w:tc>
          <w:tcPr>
            <w:tcW w:w="822" w:type="dxa"/>
            <w:shd w:val="clear" w:color="auto" w:fill="C6EFCE"/>
            <w:noWrap/>
          </w:tcPr>
          <w:p w14:paraId="7C9FF6D6" w14:textId="77777777" w:rsidR="001C33F0" w:rsidRPr="009F1DC7" w:rsidRDefault="001C33F0">
            <w:pPr>
              <w:spacing w:after="0" w:line="240" w:lineRule="auto"/>
              <w:jc w:val="center"/>
              <w:rPr>
                <w:rFonts w:ascii="Times New Roman" w:hAnsi="Times New Roman" w:cs="Times New Roman"/>
                <w:noProof/>
                <w:sz w:val="24"/>
                <w:szCs w:val="24"/>
              </w:rPr>
            </w:pPr>
          </w:p>
        </w:tc>
        <w:tc>
          <w:tcPr>
            <w:tcW w:w="2391" w:type="dxa"/>
            <w:vMerge/>
            <w:noWrap/>
          </w:tcPr>
          <w:p w14:paraId="1FCD7917" w14:textId="77777777" w:rsidR="001C33F0" w:rsidRPr="009F1DC7" w:rsidRDefault="001C33F0">
            <w:pPr>
              <w:spacing w:after="0" w:line="240" w:lineRule="auto"/>
              <w:jc w:val="both"/>
              <w:rPr>
                <w:rFonts w:ascii="Times New Roman" w:hAnsi="Times New Roman" w:cs="Times New Roman"/>
                <w:noProof/>
                <w:sz w:val="24"/>
                <w:szCs w:val="24"/>
              </w:rPr>
            </w:pPr>
          </w:p>
        </w:tc>
        <w:tc>
          <w:tcPr>
            <w:tcW w:w="1226" w:type="dxa"/>
            <w:vMerge/>
            <w:noWrap/>
          </w:tcPr>
          <w:p w14:paraId="28AB18E3" w14:textId="77777777" w:rsidR="001C33F0" w:rsidRPr="009F1DC7" w:rsidRDefault="001C33F0">
            <w:pPr>
              <w:spacing w:after="0" w:line="240" w:lineRule="auto"/>
              <w:rPr>
                <w:rFonts w:ascii="Times New Roman" w:hAnsi="Times New Roman" w:cs="Times New Roman"/>
                <w:noProof/>
                <w:sz w:val="24"/>
                <w:szCs w:val="24"/>
              </w:rPr>
            </w:pPr>
          </w:p>
        </w:tc>
        <w:tc>
          <w:tcPr>
            <w:tcW w:w="1495" w:type="dxa"/>
            <w:vMerge/>
            <w:noWrap/>
          </w:tcPr>
          <w:p w14:paraId="46E6726A" w14:textId="77777777" w:rsidR="001C33F0" w:rsidRPr="009F1DC7" w:rsidRDefault="001C33F0">
            <w:pPr>
              <w:spacing w:after="0" w:line="240" w:lineRule="auto"/>
              <w:jc w:val="both"/>
              <w:rPr>
                <w:rFonts w:ascii="Times New Roman" w:hAnsi="Times New Roman" w:cs="Times New Roman"/>
                <w:noProof/>
                <w:sz w:val="24"/>
                <w:szCs w:val="24"/>
              </w:rPr>
            </w:pPr>
          </w:p>
        </w:tc>
        <w:tc>
          <w:tcPr>
            <w:tcW w:w="1547" w:type="dxa"/>
            <w:vMerge/>
            <w:noWrap/>
          </w:tcPr>
          <w:p w14:paraId="11C01DF5" w14:textId="77777777" w:rsidR="001C33F0" w:rsidRPr="009F1DC7" w:rsidRDefault="001C33F0">
            <w:pPr>
              <w:spacing w:after="0" w:line="240" w:lineRule="auto"/>
              <w:jc w:val="both"/>
              <w:rPr>
                <w:rFonts w:ascii="Times New Roman" w:hAnsi="Times New Roman" w:cs="Times New Roman"/>
                <w:noProof/>
                <w:sz w:val="24"/>
                <w:szCs w:val="24"/>
              </w:rPr>
            </w:pPr>
          </w:p>
        </w:tc>
        <w:tc>
          <w:tcPr>
            <w:tcW w:w="1034" w:type="dxa"/>
            <w:vMerge/>
            <w:noWrap/>
          </w:tcPr>
          <w:p w14:paraId="124A047E" w14:textId="77777777" w:rsidR="001C33F0" w:rsidRPr="009F1DC7" w:rsidRDefault="001C33F0">
            <w:pPr>
              <w:spacing w:after="0" w:line="240" w:lineRule="auto"/>
              <w:rPr>
                <w:rFonts w:ascii="Times New Roman" w:hAnsi="Times New Roman" w:cs="Times New Roman"/>
                <w:noProof/>
                <w:sz w:val="24"/>
                <w:szCs w:val="24"/>
              </w:rPr>
            </w:pPr>
          </w:p>
        </w:tc>
        <w:tc>
          <w:tcPr>
            <w:tcW w:w="1200" w:type="dxa"/>
            <w:vMerge/>
            <w:noWrap/>
          </w:tcPr>
          <w:p w14:paraId="3C9B0A00" w14:textId="77777777" w:rsidR="001C33F0" w:rsidRPr="009F1DC7" w:rsidRDefault="001C33F0">
            <w:pPr>
              <w:spacing w:after="0" w:line="240" w:lineRule="auto"/>
              <w:rPr>
                <w:rFonts w:ascii="Times New Roman" w:hAnsi="Times New Roman" w:cs="Times New Roman"/>
                <w:noProof/>
                <w:sz w:val="24"/>
                <w:szCs w:val="24"/>
              </w:rPr>
            </w:pPr>
          </w:p>
        </w:tc>
        <w:tc>
          <w:tcPr>
            <w:tcW w:w="1091" w:type="dxa"/>
            <w:vMerge/>
          </w:tcPr>
          <w:p w14:paraId="22DB6CA1" w14:textId="77777777" w:rsidR="001C33F0" w:rsidRPr="009F1DC7" w:rsidRDefault="001C33F0">
            <w:pPr>
              <w:spacing w:after="0" w:line="240" w:lineRule="auto"/>
              <w:rPr>
                <w:rFonts w:ascii="Times New Roman" w:hAnsi="Times New Roman" w:cs="Times New Roman"/>
                <w:noProof/>
                <w:sz w:val="24"/>
                <w:szCs w:val="24"/>
              </w:rPr>
            </w:pPr>
          </w:p>
        </w:tc>
        <w:tc>
          <w:tcPr>
            <w:tcW w:w="1309" w:type="dxa"/>
            <w:vMerge/>
            <w:noWrap/>
          </w:tcPr>
          <w:p w14:paraId="56E33308" w14:textId="77777777" w:rsidR="001C33F0" w:rsidRPr="009F1DC7" w:rsidRDefault="001C33F0">
            <w:pPr>
              <w:spacing w:after="0" w:line="240" w:lineRule="auto"/>
              <w:rPr>
                <w:rFonts w:ascii="Times New Roman" w:hAnsi="Times New Roman" w:cs="Times New Roman"/>
                <w:noProof/>
                <w:sz w:val="24"/>
                <w:szCs w:val="24"/>
              </w:rPr>
            </w:pPr>
          </w:p>
        </w:tc>
        <w:tc>
          <w:tcPr>
            <w:tcW w:w="720" w:type="dxa"/>
            <w:vMerge/>
            <w:noWrap/>
          </w:tcPr>
          <w:p w14:paraId="65298BE0" w14:textId="77777777" w:rsidR="001C33F0" w:rsidRPr="009F1DC7" w:rsidRDefault="001C33F0">
            <w:pPr>
              <w:spacing w:after="0" w:line="240" w:lineRule="auto"/>
              <w:jc w:val="center"/>
              <w:rPr>
                <w:rFonts w:ascii="Times New Roman" w:hAnsi="Times New Roman" w:cs="Times New Roman"/>
                <w:noProof/>
                <w:sz w:val="24"/>
                <w:szCs w:val="24"/>
              </w:rPr>
            </w:pPr>
          </w:p>
        </w:tc>
        <w:tc>
          <w:tcPr>
            <w:tcW w:w="3041" w:type="dxa"/>
            <w:vMerge/>
            <w:noWrap/>
          </w:tcPr>
          <w:p w14:paraId="05E805A4" w14:textId="77777777" w:rsidR="001C33F0" w:rsidRPr="009F1DC7" w:rsidRDefault="001C33F0">
            <w:pPr>
              <w:spacing w:after="0" w:line="240" w:lineRule="auto"/>
              <w:jc w:val="both"/>
              <w:rPr>
                <w:rFonts w:ascii="Times New Roman" w:hAnsi="Times New Roman" w:cs="Times New Roman"/>
                <w:noProof/>
                <w:sz w:val="24"/>
                <w:szCs w:val="24"/>
              </w:rPr>
            </w:pPr>
          </w:p>
        </w:tc>
      </w:tr>
      <w:tr w:rsidR="000A27B3" w:rsidRPr="000A27B3" w14:paraId="0AA2BF37" w14:textId="77777777" w:rsidTr="00B74F9A">
        <w:trPr>
          <w:trHeight w:val="309"/>
        </w:trPr>
        <w:tc>
          <w:tcPr>
            <w:tcW w:w="822" w:type="dxa"/>
            <w:shd w:val="clear" w:color="auto" w:fill="C6EFCE"/>
            <w:noWrap/>
          </w:tcPr>
          <w:p w14:paraId="2B8A710B"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429</w:t>
            </w:r>
          </w:p>
        </w:tc>
        <w:tc>
          <w:tcPr>
            <w:tcW w:w="2391" w:type="dxa"/>
            <w:shd w:val="clear" w:color="auto" w:fill="C6EFCE"/>
            <w:noWrap/>
          </w:tcPr>
          <w:p w14:paraId="791F70E2"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Reforma 6. Intensificarea luptei împotriva corupției </w:t>
            </w:r>
          </w:p>
        </w:tc>
        <w:tc>
          <w:tcPr>
            <w:tcW w:w="1226" w:type="dxa"/>
            <w:shd w:val="clear" w:color="auto" w:fill="C6EFCE"/>
            <w:noWrap/>
          </w:tcPr>
          <w:p w14:paraId="463A8FA7"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 xml:space="preserve">Țintă </w:t>
            </w:r>
          </w:p>
        </w:tc>
        <w:tc>
          <w:tcPr>
            <w:tcW w:w="1495" w:type="dxa"/>
            <w:shd w:val="clear" w:color="auto" w:fill="C6EFCE"/>
            <w:noWrap/>
          </w:tcPr>
          <w:p w14:paraId="4FA5D5C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Rata de ocupare a 85 % din posturile de procuror din cadrul Direcției Naționale Anticorupție </w:t>
            </w:r>
          </w:p>
        </w:tc>
        <w:tc>
          <w:tcPr>
            <w:tcW w:w="1547" w:type="dxa"/>
            <w:shd w:val="clear" w:color="auto" w:fill="C6EFCE"/>
            <w:noWrap/>
          </w:tcPr>
          <w:p w14:paraId="28063005" w14:textId="77777777" w:rsidR="001C33F0" w:rsidRPr="009F1DC7" w:rsidRDefault="001C33F0">
            <w:pPr>
              <w:spacing w:after="0" w:line="240" w:lineRule="auto"/>
              <w:jc w:val="both"/>
              <w:rPr>
                <w:rFonts w:ascii="Times New Roman" w:eastAsia="Times New Roman" w:hAnsi="Times New Roman" w:cs="Times New Roman"/>
                <w:noProof/>
                <w:sz w:val="24"/>
                <w:szCs w:val="24"/>
                <w:lang w:val="fr-FR" w:eastAsia="en-GB"/>
              </w:rPr>
            </w:pPr>
          </w:p>
        </w:tc>
        <w:tc>
          <w:tcPr>
            <w:tcW w:w="1034" w:type="dxa"/>
            <w:shd w:val="clear" w:color="auto" w:fill="C6EFCE"/>
            <w:noWrap/>
          </w:tcPr>
          <w:p w14:paraId="106D00AB"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40BF5339" w14:textId="77777777" w:rsidR="001C33F0" w:rsidRPr="000A27B3" w:rsidRDefault="001C33F0">
            <w:pPr>
              <w:spacing w:after="0" w:line="240" w:lineRule="auto"/>
              <w:rPr>
                <w:rFonts w:ascii="Times New Roman" w:eastAsia="Times New Roman" w:hAnsi="Times New Roman" w:cs="Times New Roman"/>
                <w:noProof/>
                <w:sz w:val="24"/>
                <w:lang w:val="en-GB" w:eastAsia="en-GB"/>
              </w:rPr>
            </w:pPr>
          </w:p>
        </w:tc>
        <w:tc>
          <w:tcPr>
            <w:tcW w:w="1200" w:type="dxa"/>
            <w:shd w:val="clear" w:color="auto" w:fill="C6EFCE"/>
            <w:noWrap/>
          </w:tcPr>
          <w:p w14:paraId="06E886E8"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0</w:t>
            </w:r>
          </w:p>
        </w:tc>
        <w:tc>
          <w:tcPr>
            <w:tcW w:w="1091" w:type="dxa"/>
            <w:shd w:val="clear" w:color="auto" w:fill="C6EFCE"/>
          </w:tcPr>
          <w:p w14:paraId="218C138D"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85</w:t>
            </w:r>
          </w:p>
        </w:tc>
        <w:tc>
          <w:tcPr>
            <w:tcW w:w="1309" w:type="dxa"/>
            <w:shd w:val="clear" w:color="auto" w:fill="C6EFCE"/>
            <w:noWrap/>
          </w:tcPr>
          <w:p w14:paraId="15D6D494"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T2</w:t>
            </w:r>
          </w:p>
        </w:tc>
        <w:tc>
          <w:tcPr>
            <w:tcW w:w="720" w:type="dxa"/>
            <w:shd w:val="clear" w:color="auto" w:fill="C6EFCE"/>
            <w:noWrap/>
          </w:tcPr>
          <w:p w14:paraId="6DA5E8C3" w14:textId="77777777" w:rsidR="001C33F0" w:rsidRPr="000A27B3" w:rsidRDefault="001C33F0">
            <w:pPr>
              <w:spacing w:after="0" w:line="240" w:lineRule="auto"/>
              <w:jc w:val="center"/>
              <w:rPr>
                <w:rFonts w:ascii="Times New Roman" w:eastAsia="Times New Roman" w:hAnsi="Times New Roman" w:cs="Times New Roman"/>
                <w:noProof/>
                <w:sz w:val="24"/>
              </w:rPr>
            </w:pPr>
            <w:r>
              <w:rPr>
                <w:rFonts w:ascii="Times New Roman" w:hAnsi="Times New Roman"/>
                <w:noProof/>
                <w:sz w:val="24"/>
              </w:rPr>
              <w:t>2023</w:t>
            </w:r>
          </w:p>
        </w:tc>
        <w:tc>
          <w:tcPr>
            <w:tcW w:w="3041" w:type="dxa"/>
            <w:shd w:val="clear" w:color="auto" w:fill="C6EFCE"/>
            <w:noWrap/>
          </w:tcPr>
          <w:p w14:paraId="10DF671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Rata de ocupare a 85 % din posturile de procuror din cadrul Direcției Naționale Anticorupție </w:t>
            </w:r>
          </w:p>
          <w:p w14:paraId="6583C17D" w14:textId="77777777" w:rsidR="001C33F0" w:rsidRPr="009F1DC7" w:rsidRDefault="001C33F0">
            <w:pPr>
              <w:spacing w:after="0" w:line="240" w:lineRule="auto"/>
              <w:rPr>
                <w:rFonts w:ascii="Times New Roman" w:eastAsia="Times New Roman" w:hAnsi="Times New Roman" w:cs="Times New Roman"/>
                <w:noProof/>
                <w:sz w:val="24"/>
                <w:szCs w:val="24"/>
                <w:lang w:val="fr-FR" w:eastAsia="en-GB"/>
              </w:rPr>
            </w:pPr>
          </w:p>
        </w:tc>
      </w:tr>
      <w:tr w:rsidR="000A27B3" w:rsidRPr="000A27B3" w14:paraId="70847846" w14:textId="77777777" w:rsidTr="00B74F9A">
        <w:trPr>
          <w:trHeight w:val="309"/>
        </w:trPr>
        <w:tc>
          <w:tcPr>
            <w:tcW w:w="822" w:type="dxa"/>
            <w:shd w:val="clear" w:color="auto" w:fill="C6EFCE"/>
            <w:noWrap/>
          </w:tcPr>
          <w:p w14:paraId="208E5C8D"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430</w:t>
            </w:r>
          </w:p>
        </w:tc>
        <w:tc>
          <w:tcPr>
            <w:tcW w:w="2391" w:type="dxa"/>
            <w:shd w:val="clear" w:color="auto" w:fill="C6EFCE"/>
            <w:noWrap/>
          </w:tcPr>
          <w:p w14:paraId="1081503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6. Intensificarea luptei împotriva corupției </w:t>
            </w:r>
          </w:p>
        </w:tc>
        <w:tc>
          <w:tcPr>
            <w:tcW w:w="1226" w:type="dxa"/>
            <w:shd w:val="clear" w:color="auto" w:fill="C6EFCE"/>
            <w:noWrap/>
          </w:tcPr>
          <w:p w14:paraId="4BEEE9E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Jalon </w:t>
            </w:r>
          </w:p>
          <w:p w14:paraId="27911FC9" w14:textId="77777777" w:rsidR="001C33F0" w:rsidRPr="000A27B3" w:rsidRDefault="001C33F0">
            <w:pPr>
              <w:spacing w:after="0" w:line="240" w:lineRule="auto"/>
              <w:jc w:val="both"/>
              <w:rPr>
                <w:rFonts w:ascii="Times New Roman" w:hAnsi="Times New Roman" w:cs="Times New Roman"/>
                <w:noProof/>
                <w:sz w:val="24"/>
                <w:szCs w:val="24"/>
                <w:lang w:val="en-GB"/>
              </w:rPr>
            </w:pPr>
          </w:p>
          <w:p w14:paraId="057D3113" w14:textId="77777777" w:rsidR="001C33F0" w:rsidRPr="000A27B3" w:rsidRDefault="001C33F0">
            <w:pPr>
              <w:spacing w:after="0" w:line="240" w:lineRule="auto"/>
              <w:rPr>
                <w:rFonts w:ascii="Times New Roman" w:hAnsi="Times New Roman" w:cs="Times New Roman"/>
                <w:noProof/>
                <w:sz w:val="24"/>
                <w:szCs w:val="24"/>
                <w:lang w:val="en-GB"/>
              </w:rPr>
            </w:pPr>
          </w:p>
        </w:tc>
        <w:tc>
          <w:tcPr>
            <w:tcW w:w="1495" w:type="dxa"/>
            <w:shd w:val="clear" w:color="auto" w:fill="C6EFCE"/>
            <w:noWrap/>
          </w:tcPr>
          <w:p w14:paraId="2ED04B3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legii privind protecția avertizorilor</w:t>
            </w:r>
          </w:p>
          <w:p w14:paraId="07E2685B" w14:textId="77777777" w:rsidR="001C33F0" w:rsidRPr="000A27B3" w:rsidRDefault="001C33F0">
            <w:pPr>
              <w:spacing w:after="0" w:line="240" w:lineRule="auto"/>
              <w:jc w:val="both"/>
              <w:rPr>
                <w:rFonts w:ascii="Times New Roman" w:hAnsi="Times New Roman" w:cs="Times New Roman"/>
                <w:noProof/>
                <w:sz w:val="24"/>
                <w:szCs w:val="24"/>
                <w:lang w:val="en-GB"/>
              </w:rPr>
            </w:pPr>
          </w:p>
          <w:p w14:paraId="13CA29B4" w14:textId="77777777" w:rsidR="001C33F0" w:rsidRPr="000A27B3" w:rsidRDefault="001C33F0">
            <w:pPr>
              <w:spacing w:after="0" w:line="240" w:lineRule="auto"/>
              <w:jc w:val="both"/>
              <w:rPr>
                <w:rFonts w:ascii="Times New Roman" w:hAnsi="Times New Roman" w:cs="Times New Roman"/>
                <w:noProof/>
                <w:sz w:val="24"/>
                <w:szCs w:val="24"/>
                <w:lang w:val="en-GB"/>
              </w:rPr>
            </w:pPr>
          </w:p>
          <w:p w14:paraId="4DAE8C2C" w14:textId="77777777" w:rsidR="001C33F0" w:rsidRPr="000A27B3" w:rsidRDefault="001C33F0">
            <w:pPr>
              <w:spacing w:after="0" w:line="240" w:lineRule="auto"/>
              <w:jc w:val="both"/>
              <w:rPr>
                <w:rFonts w:ascii="Times New Roman" w:hAnsi="Times New Roman" w:cs="Times New Roman"/>
                <w:strike/>
                <w:noProof/>
                <w:sz w:val="24"/>
                <w:szCs w:val="24"/>
                <w:lang w:val="en-GB"/>
              </w:rPr>
            </w:pPr>
          </w:p>
        </w:tc>
        <w:tc>
          <w:tcPr>
            <w:tcW w:w="1547" w:type="dxa"/>
            <w:shd w:val="clear" w:color="auto" w:fill="C6EFCE"/>
            <w:noWrap/>
          </w:tcPr>
          <w:p w14:paraId="3C444D26"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w:t>
            </w:r>
          </w:p>
        </w:tc>
        <w:tc>
          <w:tcPr>
            <w:tcW w:w="1034" w:type="dxa"/>
            <w:shd w:val="clear" w:color="auto" w:fill="C6EFCE"/>
            <w:noWrap/>
          </w:tcPr>
          <w:p w14:paraId="23508A7D"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63DDB586"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tcPr>
          <w:p w14:paraId="4B89C6E5"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7FA02AA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T1</w:t>
            </w:r>
          </w:p>
        </w:tc>
        <w:tc>
          <w:tcPr>
            <w:tcW w:w="720" w:type="dxa"/>
            <w:shd w:val="clear" w:color="auto" w:fill="C6EFCE"/>
            <w:noWrap/>
          </w:tcPr>
          <w:p w14:paraId="3E909B3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4C9E5089"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legii privind protecția avertizorilor. Legea va transpune Directiva (UE) 2019/1937 privind protecția persoanelor care raportează încălcări ale dreptului Uniunii și va include dispoziții suplimentare, specifice contextului național, pentru a aborda în mod eficient aspectele legate de politica în materie de integritate. </w:t>
            </w:r>
          </w:p>
        </w:tc>
      </w:tr>
      <w:tr w:rsidR="000A27B3" w:rsidRPr="000A27B3" w14:paraId="291A4E43" w14:textId="77777777" w:rsidTr="00B74F9A">
        <w:trPr>
          <w:trHeight w:val="309"/>
        </w:trPr>
        <w:tc>
          <w:tcPr>
            <w:tcW w:w="822" w:type="dxa"/>
            <w:shd w:val="clear" w:color="auto" w:fill="C6EFCE"/>
            <w:noWrap/>
          </w:tcPr>
          <w:p w14:paraId="250713D6"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431</w:t>
            </w:r>
          </w:p>
        </w:tc>
        <w:tc>
          <w:tcPr>
            <w:tcW w:w="2391" w:type="dxa"/>
            <w:shd w:val="clear" w:color="auto" w:fill="C6EFCE"/>
            <w:noWrap/>
          </w:tcPr>
          <w:p w14:paraId="1B90BCB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7. Evaluarea și actualizarea legislației privind cadrul de integritate</w:t>
            </w:r>
          </w:p>
        </w:tc>
        <w:tc>
          <w:tcPr>
            <w:tcW w:w="1226" w:type="dxa"/>
            <w:shd w:val="clear" w:color="auto" w:fill="C6EFCE"/>
            <w:noWrap/>
          </w:tcPr>
          <w:p w14:paraId="1AA4159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23DC1CC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legilor consolidate privind integritatea </w:t>
            </w:r>
          </w:p>
        </w:tc>
        <w:tc>
          <w:tcPr>
            <w:tcW w:w="1547" w:type="dxa"/>
            <w:shd w:val="clear" w:color="auto" w:fill="C6EFCE"/>
            <w:noWrap/>
          </w:tcPr>
          <w:p w14:paraId="4E49454D"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Dispoziție legală care indică intrarea în vigoare a legii privind integritatea</w:t>
            </w:r>
          </w:p>
        </w:tc>
        <w:tc>
          <w:tcPr>
            <w:tcW w:w="1034" w:type="dxa"/>
            <w:shd w:val="clear" w:color="auto" w:fill="C6EFCE"/>
            <w:noWrap/>
          </w:tcPr>
          <w:p w14:paraId="6BF48598"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1EB60445"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tcPr>
          <w:p w14:paraId="47CE7BD8"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5771F0D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4930A2F2"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41" w:type="dxa"/>
            <w:shd w:val="clear" w:color="auto" w:fill="C6EFCE"/>
            <w:noWrap/>
          </w:tcPr>
          <w:p w14:paraId="69E8050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Legile consolidate privind integritatea vor intra în vigoare.</w:t>
            </w:r>
          </w:p>
          <w:p w14:paraId="051541E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Actualizarea legislației privind integritatea se va realiza pe baza unei evaluări și analize prealabile a legilor privind integritatea, împreună cu o grupare inițială a actelor normative. </w:t>
            </w:r>
          </w:p>
          <w:p w14:paraId="1B8DC70F" w14:textId="77777777" w:rsidR="001C33F0" w:rsidRPr="000A27B3" w:rsidRDefault="001C33F0">
            <w:p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În cadrul celei de a doua etape a proiectului, legile existente vor fi unificate și actualizate sau se vor propune noi acte normative. </w:t>
            </w:r>
          </w:p>
        </w:tc>
      </w:tr>
      <w:tr w:rsidR="000A27B3" w:rsidRPr="000A27B3" w14:paraId="31AB0AD9" w14:textId="77777777" w:rsidTr="00B74F9A">
        <w:trPr>
          <w:trHeight w:val="309"/>
        </w:trPr>
        <w:tc>
          <w:tcPr>
            <w:tcW w:w="822" w:type="dxa"/>
            <w:shd w:val="clear" w:color="auto" w:fill="C6EFCE"/>
            <w:noWrap/>
          </w:tcPr>
          <w:p w14:paraId="71392293"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432</w:t>
            </w:r>
          </w:p>
        </w:tc>
        <w:tc>
          <w:tcPr>
            <w:tcW w:w="2391" w:type="dxa"/>
            <w:shd w:val="clear" w:color="auto" w:fill="C6EFCE"/>
            <w:noWrap/>
          </w:tcPr>
          <w:p w14:paraId="37F0511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7. Evaluarea și actualizarea legislației privind cadrul de integritate</w:t>
            </w:r>
          </w:p>
        </w:tc>
        <w:tc>
          <w:tcPr>
            <w:tcW w:w="1226" w:type="dxa"/>
            <w:shd w:val="clear" w:color="auto" w:fill="C6EFCE"/>
            <w:noWrap/>
          </w:tcPr>
          <w:p w14:paraId="1964E58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Jalon </w:t>
            </w:r>
          </w:p>
        </w:tc>
        <w:tc>
          <w:tcPr>
            <w:tcW w:w="1495" w:type="dxa"/>
            <w:shd w:val="clear" w:color="auto" w:fill="C6EFCE"/>
            <w:noWrap/>
          </w:tcPr>
          <w:p w14:paraId="4EC57E7F" w14:textId="09EE4845"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Aprobarea versiunii revizuite a codului de etică și conduită pentru guvern, în plus față de cele existente pentru funcționarii publici și adoptarea și implementarea măsurilor de aplicare </w:t>
            </w:r>
          </w:p>
        </w:tc>
        <w:tc>
          <w:tcPr>
            <w:tcW w:w="1547" w:type="dxa"/>
            <w:shd w:val="clear" w:color="auto" w:fill="C6EFCE"/>
            <w:noWrap/>
          </w:tcPr>
          <w:p w14:paraId="0992B8EA" w14:textId="77777777" w:rsidR="001C33F0" w:rsidRPr="000A27B3" w:rsidRDefault="001C33F0">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Dispoziție legală care indică intrarea în vigoare a versiunii revizuite a codului de etică și conduită pentru guvern </w:t>
            </w:r>
          </w:p>
        </w:tc>
        <w:tc>
          <w:tcPr>
            <w:tcW w:w="1034" w:type="dxa"/>
            <w:shd w:val="clear" w:color="auto" w:fill="C6EFCE"/>
            <w:noWrap/>
          </w:tcPr>
          <w:p w14:paraId="5CCC9643" w14:textId="77777777" w:rsidR="001C33F0" w:rsidRPr="009F1DC7" w:rsidRDefault="001C33F0">
            <w:pPr>
              <w:spacing w:after="0" w:line="240" w:lineRule="auto"/>
              <w:rPr>
                <w:rFonts w:ascii="Times New Roman" w:hAnsi="Times New Roman" w:cs="Times New Roman"/>
                <w:noProof/>
                <w:sz w:val="24"/>
                <w:szCs w:val="24"/>
              </w:rPr>
            </w:pPr>
          </w:p>
        </w:tc>
        <w:tc>
          <w:tcPr>
            <w:tcW w:w="1200" w:type="dxa"/>
            <w:shd w:val="clear" w:color="auto" w:fill="C6EFCE"/>
            <w:noWrap/>
          </w:tcPr>
          <w:p w14:paraId="2FAD7D74" w14:textId="77777777" w:rsidR="001C33F0" w:rsidRPr="009F1DC7" w:rsidRDefault="001C33F0">
            <w:pPr>
              <w:spacing w:after="0" w:line="240" w:lineRule="auto"/>
              <w:rPr>
                <w:rFonts w:ascii="Times New Roman" w:hAnsi="Times New Roman" w:cs="Times New Roman"/>
                <w:noProof/>
                <w:sz w:val="24"/>
                <w:szCs w:val="24"/>
              </w:rPr>
            </w:pPr>
          </w:p>
        </w:tc>
        <w:tc>
          <w:tcPr>
            <w:tcW w:w="1091" w:type="dxa"/>
            <w:shd w:val="clear" w:color="auto" w:fill="C6EFCE"/>
          </w:tcPr>
          <w:p w14:paraId="2DB2A14F" w14:textId="77777777" w:rsidR="001C33F0" w:rsidRPr="009F1DC7" w:rsidRDefault="001C33F0">
            <w:pPr>
              <w:spacing w:after="0" w:line="240" w:lineRule="auto"/>
              <w:rPr>
                <w:rFonts w:ascii="Times New Roman" w:hAnsi="Times New Roman" w:cs="Times New Roman"/>
                <w:noProof/>
                <w:sz w:val="24"/>
                <w:szCs w:val="24"/>
              </w:rPr>
            </w:pPr>
          </w:p>
        </w:tc>
        <w:tc>
          <w:tcPr>
            <w:tcW w:w="1309" w:type="dxa"/>
            <w:shd w:val="clear" w:color="auto" w:fill="C6EFCE"/>
            <w:noWrap/>
          </w:tcPr>
          <w:p w14:paraId="38E3293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7DB0204D"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2024</w:t>
            </w:r>
          </w:p>
        </w:tc>
        <w:tc>
          <w:tcPr>
            <w:tcW w:w="3041" w:type="dxa"/>
            <w:shd w:val="clear" w:color="auto" w:fill="C6EFCE"/>
            <w:noWrap/>
          </w:tcPr>
          <w:p w14:paraId="68D4329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Revizuirea codului de etică:</w:t>
            </w:r>
          </w:p>
          <w:p w14:paraId="2FA4C39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 xml:space="preserve">va clarifica implicațiile pentru membrii Guvernului ale dispozițiilor actuale privind conflictele de interese, indiferent dacă un astfel de conflict ar putea fi evidențiat și de declarațiile de avere și interese; </w:t>
            </w:r>
          </w:p>
          <w:p w14:paraId="5EF116D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va extinde definiția dincolo de interesele financiare personale;</w:t>
            </w:r>
          </w:p>
          <w:p w14:paraId="6205B714"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 xml:space="preserve">va introduce o cerință de divulgare ad hoc în cazul în care poate apărea un conflict între anumite interese private ale unui membru al Guvernului și o chestiune aflată în discuție în cadrul procedurilor guvernamentale sau al altor activități legate de mandatul acestuia; </w:t>
            </w:r>
          </w:p>
          <w:p w14:paraId="104D61F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va stabili un set solid de restricții privind cadourile, ospitalitatea, favorizarea și alte beneficii pentru membri și asigurarea faptului că viitorul sistem este înțeles și aplicabil în mod corespunzător;</w:t>
            </w:r>
          </w:p>
          <w:p w14:paraId="03B4298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va introduce norme privind modul în care membrii Guvernului interacționează cu lobbyiștii și cu alte părți terțe care încearcă să influențeze procesul legislativ.</w:t>
            </w:r>
          </w:p>
        </w:tc>
      </w:tr>
      <w:tr w:rsidR="000A27B3" w:rsidRPr="000A27B3" w14:paraId="4217A76C" w14:textId="77777777" w:rsidTr="00B74F9A">
        <w:trPr>
          <w:trHeight w:val="309"/>
        </w:trPr>
        <w:tc>
          <w:tcPr>
            <w:tcW w:w="822" w:type="dxa"/>
            <w:shd w:val="clear" w:color="auto" w:fill="C6EFCE"/>
            <w:noWrap/>
          </w:tcPr>
          <w:p w14:paraId="09CBEDA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433</w:t>
            </w:r>
          </w:p>
        </w:tc>
        <w:tc>
          <w:tcPr>
            <w:tcW w:w="2391" w:type="dxa"/>
            <w:shd w:val="clear" w:color="auto" w:fill="C6EFCE"/>
            <w:noWrap/>
          </w:tcPr>
          <w:p w14:paraId="6F68790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8. Reformarea sistemului național de achiziții publice</w:t>
            </w:r>
          </w:p>
        </w:tc>
        <w:tc>
          <w:tcPr>
            <w:tcW w:w="1226" w:type="dxa"/>
            <w:shd w:val="clear" w:color="auto" w:fill="C6EFCE"/>
            <w:noWrap/>
          </w:tcPr>
          <w:p w14:paraId="15F6FFB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3FBC0B8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modificării legislației naționale privind căile de atac (Legea nr. 101/2016) </w:t>
            </w:r>
          </w:p>
        </w:tc>
        <w:tc>
          <w:tcPr>
            <w:tcW w:w="1547" w:type="dxa"/>
            <w:shd w:val="clear" w:color="auto" w:fill="C6EFCE"/>
            <w:noWrap/>
          </w:tcPr>
          <w:p w14:paraId="2C133F44" w14:textId="4D3AD02B"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privind căile de atac</w:t>
            </w:r>
          </w:p>
        </w:tc>
        <w:tc>
          <w:tcPr>
            <w:tcW w:w="1034" w:type="dxa"/>
            <w:shd w:val="clear" w:color="auto" w:fill="C6EFCE"/>
            <w:noWrap/>
          </w:tcPr>
          <w:p w14:paraId="796EEBE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2F5C820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tcPr>
          <w:p w14:paraId="0AF4946B"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63EE92D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T1</w:t>
            </w:r>
          </w:p>
        </w:tc>
        <w:tc>
          <w:tcPr>
            <w:tcW w:w="720" w:type="dxa"/>
            <w:shd w:val="clear" w:color="auto" w:fill="C6EFCE"/>
            <w:noWrap/>
          </w:tcPr>
          <w:p w14:paraId="5284A80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463032BF" w14:textId="77777777" w:rsidR="001C33F0" w:rsidRPr="000A27B3" w:rsidRDefault="001C33F0">
            <w:p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Modificarea legislației naționale privind căile de atac (Legea nr. 101/2016) va introduce obligația semnării contractului cu ofertantul câștigător imediat după adoptarea deciziei Consiliului Național pentru Soluționarea Contestațiilor (CNSC), înainte de soluționarea în instanță a plângerii împotriva unei decizii a CNSC. </w:t>
            </w:r>
          </w:p>
        </w:tc>
      </w:tr>
      <w:tr w:rsidR="000A27B3" w:rsidRPr="000A27B3" w14:paraId="675CA65A" w14:textId="77777777" w:rsidTr="00B74F9A">
        <w:trPr>
          <w:trHeight w:val="309"/>
        </w:trPr>
        <w:tc>
          <w:tcPr>
            <w:tcW w:w="822" w:type="dxa"/>
            <w:shd w:val="clear" w:color="auto" w:fill="C6EFCE"/>
            <w:noWrap/>
          </w:tcPr>
          <w:p w14:paraId="207EB281"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434</w:t>
            </w:r>
          </w:p>
        </w:tc>
        <w:tc>
          <w:tcPr>
            <w:tcW w:w="2391" w:type="dxa"/>
            <w:shd w:val="clear" w:color="auto" w:fill="C6EFCE"/>
            <w:noWrap/>
          </w:tcPr>
          <w:p w14:paraId="3792B14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8. Reformarea sistemului național de achiziții publice. </w:t>
            </w:r>
          </w:p>
        </w:tc>
        <w:tc>
          <w:tcPr>
            <w:tcW w:w="1226" w:type="dxa"/>
            <w:shd w:val="clear" w:color="auto" w:fill="C6EFCE"/>
            <w:noWrap/>
          </w:tcPr>
          <w:p w14:paraId="11A8471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7FBC03B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Strategiei privind achizițiile publice, inclusiv a măsurilor orizontale de sprijinire a implementării planului național de redresare și reziliență </w:t>
            </w:r>
          </w:p>
        </w:tc>
        <w:tc>
          <w:tcPr>
            <w:tcW w:w="1547" w:type="dxa"/>
            <w:shd w:val="clear" w:color="auto" w:fill="C6EFCE"/>
            <w:noWrap/>
          </w:tcPr>
          <w:p w14:paraId="6AE74C75" w14:textId="0CEED052"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Dispoziție a hotărârii de guvern care indică intrarea în vigoare a Strategiei privind achizițiile publice</w:t>
            </w:r>
          </w:p>
        </w:tc>
        <w:tc>
          <w:tcPr>
            <w:tcW w:w="1034" w:type="dxa"/>
            <w:shd w:val="clear" w:color="auto" w:fill="C6EFCE"/>
            <w:noWrap/>
          </w:tcPr>
          <w:p w14:paraId="466D21B6"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63B30AAC"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tcPr>
          <w:p w14:paraId="66AD543B"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22853CE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6C7EC2E8"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56083FA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Obiectivele viitoarei strategii vor fi conforme cu prioritățile strategice prezentate în strategia Comisiei Europene privind achizițiile publice. În consecință, măsurile care urmează să fie incluse în planul de acțiune al viitoarei strategii se vor concentra asupra celor șase priorități de politică ale strategiei Comisiei, cu scopul de a îmbunătăți practicile de achiziții publice într-un mod colaborativ, prin colaborarea cu celelalte autorități publice și cu alte părți interesate.</w:t>
            </w:r>
          </w:p>
          <w:p w14:paraId="157FEAB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Strategia și măsurile sale exacte, precum și calendarul de punere în aplicare și atribuirea responsabilităților aferente vor fi convenite de Comitetul interministerial pentru achiziții publice. </w:t>
            </w:r>
          </w:p>
        </w:tc>
      </w:tr>
      <w:tr w:rsidR="000A27B3" w:rsidRPr="000A27B3" w14:paraId="5A581407" w14:textId="77777777" w:rsidTr="00B74F9A">
        <w:trPr>
          <w:trHeight w:val="309"/>
        </w:trPr>
        <w:tc>
          <w:tcPr>
            <w:tcW w:w="822" w:type="dxa"/>
            <w:shd w:val="clear" w:color="auto" w:fill="C6EFCE"/>
            <w:noWrap/>
          </w:tcPr>
          <w:p w14:paraId="6866C128"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435</w:t>
            </w:r>
          </w:p>
        </w:tc>
        <w:tc>
          <w:tcPr>
            <w:tcW w:w="2391" w:type="dxa"/>
            <w:shd w:val="clear" w:color="auto" w:fill="C6EFCE"/>
            <w:noWrap/>
          </w:tcPr>
          <w:p w14:paraId="490CFC0A" w14:textId="4DADD3B0"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8. Reformarea sistemului național de achiziții publice </w:t>
            </w:r>
          </w:p>
        </w:tc>
        <w:tc>
          <w:tcPr>
            <w:tcW w:w="1226" w:type="dxa"/>
            <w:shd w:val="clear" w:color="auto" w:fill="C6EFCE"/>
            <w:noWrap/>
          </w:tcPr>
          <w:p w14:paraId="122DE3A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058427B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Organisme operaționale centralizate de achiziții publice (CPB) pentru autoritățile locale</w:t>
            </w:r>
          </w:p>
        </w:tc>
        <w:tc>
          <w:tcPr>
            <w:tcW w:w="1547" w:type="dxa"/>
            <w:shd w:val="clear" w:color="auto" w:fill="C6EFCE"/>
            <w:noWrap/>
          </w:tcPr>
          <w:p w14:paraId="39F52081" w14:textId="77777777" w:rsidR="001C33F0" w:rsidRPr="009F1DC7" w:rsidRDefault="001C33F0">
            <w:pPr>
              <w:spacing w:after="0" w:line="240" w:lineRule="auto"/>
              <w:jc w:val="both"/>
              <w:rPr>
                <w:rFonts w:ascii="Times New Roman" w:hAnsi="Times New Roman" w:cs="Times New Roman"/>
                <w:noProof/>
                <w:sz w:val="24"/>
                <w:szCs w:val="24"/>
                <w:lang w:val="fr-FR"/>
              </w:rPr>
            </w:pPr>
          </w:p>
        </w:tc>
        <w:tc>
          <w:tcPr>
            <w:tcW w:w="1034" w:type="dxa"/>
            <w:shd w:val="clear" w:color="auto" w:fill="C6EFCE"/>
            <w:noWrap/>
          </w:tcPr>
          <w:p w14:paraId="0BECBA1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Numărul de organisme operaționale centralizate de achiziții publice</w:t>
            </w:r>
          </w:p>
        </w:tc>
        <w:tc>
          <w:tcPr>
            <w:tcW w:w="1200" w:type="dxa"/>
            <w:shd w:val="clear" w:color="auto" w:fill="C6EFCE"/>
            <w:noWrap/>
          </w:tcPr>
          <w:p w14:paraId="13AC24A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3 [2021]</w:t>
            </w:r>
          </w:p>
        </w:tc>
        <w:tc>
          <w:tcPr>
            <w:tcW w:w="1091" w:type="dxa"/>
            <w:shd w:val="clear" w:color="auto" w:fill="C6EFCE"/>
          </w:tcPr>
          <w:p w14:paraId="4E05FC4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7</w:t>
            </w:r>
          </w:p>
        </w:tc>
        <w:tc>
          <w:tcPr>
            <w:tcW w:w="1309" w:type="dxa"/>
            <w:shd w:val="clear" w:color="auto" w:fill="C6EFCE"/>
            <w:noWrap/>
          </w:tcPr>
          <w:p w14:paraId="56ABBD5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158C212E"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41" w:type="dxa"/>
            <w:shd w:val="clear" w:color="auto" w:fill="C6EFCE"/>
            <w:noWrap/>
          </w:tcPr>
          <w:p w14:paraId="3BE1A26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 organisme centralizate de achiziții publice locale suplimentare vor fi instituite și dotate cu instrumente operaționale și know-how. </w:t>
            </w:r>
          </w:p>
          <w:p w14:paraId="5A1F0D59" w14:textId="0B3037D0"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Categoriile exacte de bunuri/servicii/lucrări care vor face obiectul achizițiilor centralizate vor fi stabilite în urma analizei nevoilor beneficiarilor fiecărui organism centralizat de achiziții publice, dar pot include următoarele: </w:t>
            </w:r>
          </w:p>
          <w:p w14:paraId="744FEC51" w14:textId="77777777" w:rsidR="001C33F0" w:rsidRPr="000A27B3" w:rsidRDefault="001C33F0">
            <w:pPr>
              <w:spacing w:after="0" w:line="240" w:lineRule="auto"/>
              <w:jc w:val="both"/>
              <w:rPr>
                <w:noProof/>
                <w:szCs w:val="24"/>
              </w:rPr>
            </w:pPr>
            <w:r>
              <w:rPr>
                <w:noProof/>
              </w:rPr>
              <w:t xml:space="preserve">i) materiale de birou; </w:t>
            </w:r>
          </w:p>
          <w:p w14:paraId="3929C93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ii) carburant;</w:t>
            </w:r>
          </w:p>
          <w:p w14:paraId="13197BD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iii) echipamente informatice; </w:t>
            </w:r>
          </w:p>
          <w:p w14:paraId="53B051F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iv) servicii de comunicații; </w:t>
            </w:r>
          </w:p>
          <w:p w14:paraId="2E45B51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v) servicii de gestionare a infrastructurii;</w:t>
            </w:r>
          </w:p>
          <w:p w14:paraId="43421CC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vi) servicii de mobilitate. </w:t>
            </w:r>
          </w:p>
        </w:tc>
      </w:tr>
      <w:tr w:rsidR="000A27B3" w:rsidRPr="000A27B3" w14:paraId="0081DBF6" w14:textId="77777777" w:rsidTr="00B74F9A">
        <w:trPr>
          <w:trHeight w:val="309"/>
        </w:trPr>
        <w:tc>
          <w:tcPr>
            <w:tcW w:w="822" w:type="dxa"/>
            <w:shd w:val="clear" w:color="auto" w:fill="C6EFCE"/>
            <w:noWrap/>
          </w:tcPr>
          <w:p w14:paraId="000540CA"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436</w:t>
            </w:r>
          </w:p>
        </w:tc>
        <w:tc>
          <w:tcPr>
            <w:tcW w:w="2391" w:type="dxa"/>
            <w:shd w:val="clear" w:color="auto" w:fill="C6EFCE"/>
            <w:noWrap/>
          </w:tcPr>
          <w:p w14:paraId="64933C9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8. Reformarea sistemului național de achiziții publice </w:t>
            </w:r>
          </w:p>
        </w:tc>
        <w:tc>
          <w:tcPr>
            <w:tcW w:w="1226" w:type="dxa"/>
            <w:shd w:val="clear" w:color="auto" w:fill="C6EFCE"/>
            <w:noWrap/>
          </w:tcPr>
          <w:p w14:paraId="7F88DB2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404B5A0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Furnizarea de cursuri de formare specializată în domeniul achizițiilor publice</w:t>
            </w:r>
          </w:p>
        </w:tc>
        <w:tc>
          <w:tcPr>
            <w:tcW w:w="1547" w:type="dxa"/>
            <w:shd w:val="clear" w:color="auto" w:fill="C6EFCE"/>
            <w:noWrap/>
          </w:tcPr>
          <w:p w14:paraId="25C8AA1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1E32D488"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1F102F8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4AFB80B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350</w:t>
            </w:r>
          </w:p>
        </w:tc>
        <w:tc>
          <w:tcPr>
            <w:tcW w:w="1309" w:type="dxa"/>
            <w:shd w:val="clear" w:color="auto" w:fill="C6EFCE"/>
            <w:noWrap/>
          </w:tcPr>
          <w:p w14:paraId="2D85DB4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033AE541"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05799EA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va furniza formare specializată în domeniul achizițiilor publice unui număr de cel puțin 350 de persoane (atât funcționari publici, cât și agenți contractuali), în special personalului întreprinderilor de stat. </w:t>
            </w:r>
          </w:p>
          <w:p w14:paraId="25C7E3F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Formarea specializată va contribui la îmbunătățirea capacității administrative a „marilor achizitori” și a altor autorități contractante care implementează proiecte de investiții finanțate prin Mecanismul de redresare și reziliență, de unde atenția acordată întreprinderilor de stat.</w:t>
            </w:r>
          </w:p>
        </w:tc>
      </w:tr>
      <w:tr w:rsidR="000A27B3" w:rsidRPr="000A27B3" w14:paraId="0337072F" w14:textId="77777777" w:rsidTr="00B74F9A">
        <w:trPr>
          <w:trHeight w:val="309"/>
        </w:trPr>
        <w:tc>
          <w:tcPr>
            <w:tcW w:w="822" w:type="dxa"/>
            <w:shd w:val="clear" w:color="auto" w:fill="C6EFCE"/>
            <w:noWrap/>
          </w:tcPr>
          <w:p w14:paraId="10E0110C"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437</w:t>
            </w:r>
          </w:p>
        </w:tc>
        <w:tc>
          <w:tcPr>
            <w:tcW w:w="2391" w:type="dxa"/>
            <w:shd w:val="clear" w:color="auto" w:fill="C6EFCE"/>
            <w:noWrap/>
          </w:tcPr>
          <w:p w14:paraId="7EFABCAE"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Reforma 8. Reformarea sistemului național de achiziții publice </w:t>
            </w:r>
          </w:p>
        </w:tc>
        <w:tc>
          <w:tcPr>
            <w:tcW w:w="1226" w:type="dxa"/>
            <w:shd w:val="clear" w:color="auto" w:fill="C6EFCE"/>
            <w:noWrap/>
          </w:tcPr>
          <w:p w14:paraId="74255F8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58CFF6F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Sistemul electronic de achiziții publice (SEAP) este interconectat și interoperabil cu alte baze de date </w:t>
            </w:r>
          </w:p>
        </w:tc>
        <w:tc>
          <w:tcPr>
            <w:tcW w:w="1547" w:type="dxa"/>
            <w:shd w:val="clear" w:color="auto" w:fill="C6EFCE"/>
            <w:noWrap/>
          </w:tcPr>
          <w:p w14:paraId="3D436CD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Sistemul SEAP interconectat și interoperabil </w:t>
            </w:r>
          </w:p>
        </w:tc>
        <w:tc>
          <w:tcPr>
            <w:tcW w:w="1034" w:type="dxa"/>
            <w:shd w:val="clear" w:color="auto" w:fill="C6EFCE"/>
            <w:noWrap/>
          </w:tcPr>
          <w:p w14:paraId="5EB2D2D6"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0D4F431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tcPr>
          <w:p w14:paraId="34CCCF86"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3042142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T4</w:t>
            </w:r>
          </w:p>
        </w:tc>
        <w:tc>
          <w:tcPr>
            <w:tcW w:w="720" w:type="dxa"/>
            <w:shd w:val="clear" w:color="auto" w:fill="C6EFCE"/>
            <w:noWrap/>
          </w:tcPr>
          <w:p w14:paraId="720D1401"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7AC56EC2"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Sistemul electronic de achiziții publice (SEAP) va fi interconectat și interoperabil cu alte baze de date: Oficiul Național al Registrului Comerțului, Agenția Națională de Integritate, Agenția Națională de Administrare Fiscală, Agenția Națională pentru Achiziții Publice, Consiliul Național de Soluționare a Contestațiilor, Ministerul Afacerilor Interne, Ministerul Justiției, utilizându-se informațiile și simplificându-se procedurile de achiziții publice și controalele în beneficiul participanților la procedură. </w:t>
            </w:r>
          </w:p>
        </w:tc>
      </w:tr>
      <w:tr w:rsidR="000A27B3" w:rsidRPr="000A27B3" w14:paraId="344AC454" w14:textId="77777777" w:rsidTr="00B74F9A">
        <w:trPr>
          <w:trHeight w:val="309"/>
        </w:trPr>
        <w:tc>
          <w:tcPr>
            <w:tcW w:w="822" w:type="dxa"/>
            <w:shd w:val="clear" w:color="auto" w:fill="C6EFCE"/>
            <w:noWrap/>
          </w:tcPr>
          <w:p w14:paraId="711B4F8B"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438</w:t>
            </w:r>
          </w:p>
        </w:tc>
        <w:tc>
          <w:tcPr>
            <w:tcW w:w="2391" w:type="dxa"/>
            <w:shd w:val="clear" w:color="auto" w:fill="C6EFCE"/>
            <w:noWrap/>
          </w:tcPr>
          <w:p w14:paraId="3FC76D8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8. Reformarea sistemului național de achiziții publice </w:t>
            </w:r>
          </w:p>
        </w:tc>
        <w:tc>
          <w:tcPr>
            <w:tcW w:w="1226" w:type="dxa"/>
            <w:shd w:val="clear" w:color="auto" w:fill="C6EFCE"/>
            <w:noWrap/>
          </w:tcPr>
          <w:p w14:paraId="60C293E9" w14:textId="38EFB343"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23B13BB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Sistemul electronic de achiziții publice operațional </w:t>
            </w:r>
          </w:p>
        </w:tc>
        <w:tc>
          <w:tcPr>
            <w:tcW w:w="1547" w:type="dxa"/>
            <w:shd w:val="clear" w:color="auto" w:fill="C6EFCE"/>
            <w:noWrap/>
          </w:tcPr>
          <w:p w14:paraId="614DC9A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Sistemul electronic de achiziții publice este operațional </w:t>
            </w:r>
          </w:p>
        </w:tc>
        <w:tc>
          <w:tcPr>
            <w:tcW w:w="1034" w:type="dxa"/>
            <w:shd w:val="clear" w:color="auto" w:fill="C6EFCE"/>
            <w:noWrap/>
          </w:tcPr>
          <w:p w14:paraId="003DFF8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657FF10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tcPr>
          <w:p w14:paraId="784E4201"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6D470BE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T1</w:t>
            </w:r>
          </w:p>
        </w:tc>
        <w:tc>
          <w:tcPr>
            <w:tcW w:w="720" w:type="dxa"/>
            <w:shd w:val="clear" w:color="auto" w:fill="C6EFCE"/>
            <w:noWrap/>
          </w:tcPr>
          <w:p w14:paraId="599FD01E"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41" w:type="dxa"/>
            <w:shd w:val="clear" w:color="auto" w:fill="C6EFCE"/>
            <w:noWrap/>
          </w:tcPr>
          <w:p w14:paraId="62FFE1D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Următoarele elemente sunt finalizate și operaționale în cadrul SEAP (sistemul electronic de achiziții publice):</w:t>
            </w:r>
          </w:p>
          <w:p w14:paraId="0D87F83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(1) ) dezvoltarea și implementarea noilor formulare (formulare electronice) prevăzute de Regulamentul de punere în aplicare (UE) 2019/1780 al Comisiei din 23 septembrie 2019 de stabilire a formularelor standard pentru publicarea anunțurilor în domeniul achizițiilor publice și de abrogare a Regulamentului de punere în aplicare (UE) 2015/1986;</w:t>
            </w:r>
            <w:r>
              <w:rPr>
                <w:noProof/>
              </w:rPr>
              <w:t xml:space="preserve"> </w:t>
            </w:r>
            <w:r>
              <w:rPr>
                <w:noProof/>
              </w:rPr>
              <w:br/>
            </w:r>
            <w:r>
              <w:rPr>
                <w:rFonts w:ascii="Times New Roman" w:hAnsi="Times New Roman"/>
                <w:noProof/>
                <w:sz w:val="24"/>
              </w:rPr>
              <w:t>(2) dezvoltarea și implementarea unor formulare electronice în procesul de evaluare a ofertelor din cadrul procedurilor de achiziție publică;</w:t>
            </w:r>
            <w:r>
              <w:rPr>
                <w:noProof/>
              </w:rPr>
              <w:t xml:space="preserve"> </w:t>
            </w:r>
            <w:r>
              <w:rPr>
                <w:noProof/>
              </w:rPr>
              <w:br/>
            </w:r>
            <w:r>
              <w:rPr>
                <w:rFonts w:ascii="Times New Roman" w:hAnsi="Times New Roman"/>
                <w:noProof/>
                <w:sz w:val="24"/>
              </w:rPr>
              <w:t>(3) extinderea funcționalităților sistemului dinamic de achiziții publice (SAD), care a devenit operațional în martie 2021, prin funcții care să permită evaluarea automată a calificărilor, includerea catalogului electronic;</w:t>
            </w:r>
            <w:r>
              <w:rPr>
                <w:noProof/>
              </w:rPr>
              <w:t xml:space="preserve"> </w:t>
            </w:r>
            <w:r>
              <w:rPr>
                <w:noProof/>
              </w:rPr>
              <w:br/>
            </w:r>
            <w:r>
              <w:rPr>
                <w:rFonts w:ascii="Times New Roman" w:hAnsi="Times New Roman"/>
                <w:noProof/>
                <w:sz w:val="24"/>
              </w:rPr>
              <w:t>(4) contractele electronice, facturarea electronică, plata electronică și instrumente pentru managementul contractului (acte adiționale, procese verbale de recepție, plăți).</w:t>
            </w:r>
          </w:p>
        </w:tc>
      </w:tr>
      <w:tr w:rsidR="000A27B3" w:rsidRPr="000A27B3" w14:paraId="13C4D311" w14:textId="77777777" w:rsidTr="00B74F9A">
        <w:trPr>
          <w:trHeight w:val="309"/>
        </w:trPr>
        <w:tc>
          <w:tcPr>
            <w:tcW w:w="822" w:type="dxa"/>
            <w:shd w:val="clear" w:color="auto" w:fill="C6EFCE"/>
            <w:noWrap/>
          </w:tcPr>
          <w:p w14:paraId="335A9CA3"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439</w:t>
            </w:r>
          </w:p>
        </w:tc>
        <w:tc>
          <w:tcPr>
            <w:tcW w:w="2391" w:type="dxa"/>
            <w:shd w:val="clear" w:color="auto" w:fill="C6EFCE"/>
            <w:noWrap/>
          </w:tcPr>
          <w:p w14:paraId="3637F60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9. Îmbunătățirea cadrului procedural de implementare a principiilor guvernanței corporative în cadrul întreprinderilor de stat</w:t>
            </w:r>
          </w:p>
        </w:tc>
        <w:tc>
          <w:tcPr>
            <w:tcW w:w="1226" w:type="dxa"/>
            <w:shd w:val="clear" w:color="auto" w:fill="C6EFCE"/>
            <w:noWrap/>
          </w:tcPr>
          <w:p w14:paraId="1BE72C96"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0EA6447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legislației actualizate privind companiile de stat </w:t>
            </w:r>
          </w:p>
        </w:tc>
        <w:tc>
          <w:tcPr>
            <w:tcW w:w="1547" w:type="dxa"/>
            <w:shd w:val="clear" w:color="auto" w:fill="C6EFCE"/>
            <w:noWrap/>
          </w:tcPr>
          <w:p w14:paraId="1B9E72F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privind întreprinderile de stat</w:t>
            </w:r>
          </w:p>
        </w:tc>
        <w:tc>
          <w:tcPr>
            <w:tcW w:w="1034" w:type="dxa"/>
            <w:shd w:val="clear" w:color="auto" w:fill="C6EFCE"/>
            <w:noWrap/>
          </w:tcPr>
          <w:p w14:paraId="28AE05E4"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3724B53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tcPr>
          <w:p w14:paraId="16492ACB"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0FFB747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T4</w:t>
            </w:r>
          </w:p>
        </w:tc>
        <w:tc>
          <w:tcPr>
            <w:tcW w:w="720" w:type="dxa"/>
            <w:shd w:val="clear" w:color="auto" w:fill="C6EFCE"/>
            <w:noWrap/>
          </w:tcPr>
          <w:p w14:paraId="3CB0582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54324587" w14:textId="555F36F3"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Legii nr.</w:t>
            </w:r>
            <w:r w:rsidR="00B74F9A">
              <w:rPr>
                <w:rFonts w:ascii="Times New Roman" w:hAnsi="Times New Roman"/>
                <w:noProof/>
                <w:sz w:val="24"/>
              </w:rPr>
              <w:t> </w:t>
            </w:r>
            <w:r>
              <w:rPr>
                <w:rFonts w:ascii="Times New Roman" w:hAnsi="Times New Roman"/>
                <w:noProof/>
                <w:sz w:val="24"/>
              </w:rPr>
              <w:t xml:space="preserve">111/2016 modificate, eliminându-se toate excepțiile, inclusiv pentru companiile de stat de la nivel local. Aceste modificări vor (i) separa funcția de reglementare de funcția de proprietate, (ii) vor elimina orice avantaj direct sau indirect care ar putea deriva din deținerea de către stat, fie în ceea ce privește normele/reglementările pieței, finanțare, impozitare sau achiziții publice, (iii) vor garanta că orice întreprindere de stat urmărește obținerea profitabilității. </w:t>
            </w:r>
          </w:p>
          <w:p w14:paraId="27A22DD4" w14:textId="77777777" w:rsidR="001C33F0" w:rsidRPr="009F1DC7" w:rsidRDefault="001C33F0">
            <w:pPr>
              <w:spacing w:after="0" w:line="240" w:lineRule="auto"/>
              <w:jc w:val="both"/>
              <w:rPr>
                <w:rFonts w:ascii="Times New Roman" w:hAnsi="Times New Roman" w:cs="Times New Roman"/>
                <w:noProof/>
                <w:sz w:val="24"/>
                <w:szCs w:val="24"/>
              </w:rPr>
            </w:pPr>
          </w:p>
        </w:tc>
      </w:tr>
      <w:tr w:rsidR="000A27B3" w:rsidRPr="000A27B3" w14:paraId="2AC516DF" w14:textId="77777777" w:rsidTr="00B74F9A">
        <w:trPr>
          <w:trHeight w:val="309"/>
        </w:trPr>
        <w:tc>
          <w:tcPr>
            <w:tcW w:w="822" w:type="dxa"/>
            <w:shd w:val="clear" w:color="auto" w:fill="C6EFCE"/>
            <w:noWrap/>
          </w:tcPr>
          <w:p w14:paraId="00E1FDBC"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440</w:t>
            </w:r>
          </w:p>
        </w:tc>
        <w:tc>
          <w:tcPr>
            <w:tcW w:w="2391" w:type="dxa"/>
            <w:shd w:val="clear" w:color="auto" w:fill="C6EFCE"/>
            <w:noWrap/>
          </w:tcPr>
          <w:p w14:paraId="78CFBE8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9. Îmbunătățirea cadrului procedural de implementare a principiilor guvernanței corporative în cadrul întreprinderilor de stat </w:t>
            </w:r>
          </w:p>
        </w:tc>
        <w:tc>
          <w:tcPr>
            <w:tcW w:w="1226" w:type="dxa"/>
            <w:shd w:val="clear" w:color="auto" w:fill="C6EFCE"/>
            <w:noWrap/>
          </w:tcPr>
          <w:p w14:paraId="54CC575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3E3EBEE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Operaționalizarea grupului operativ din cadrul Centrului Guvernului pentru coordonarea și monitorizarea politicilor de guvernanță corporativă</w:t>
            </w:r>
          </w:p>
        </w:tc>
        <w:tc>
          <w:tcPr>
            <w:tcW w:w="1547" w:type="dxa"/>
            <w:shd w:val="clear" w:color="auto" w:fill="C6EFCE"/>
            <w:noWrap/>
          </w:tcPr>
          <w:p w14:paraId="082F77A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din decizia premierului privind intrarea în vigoare a Deciziei premierului privind organizarea și funcționarea grupului operativ din cadrul Secretariatului General al Guvernului </w:t>
            </w:r>
          </w:p>
        </w:tc>
        <w:tc>
          <w:tcPr>
            <w:tcW w:w="1034" w:type="dxa"/>
            <w:shd w:val="clear" w:color="auto" w:fill="C6EFCE"/>
            <w:noWrap/>
          </w:tcPr>
          <w:p w14:paraId="200DBDD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4A38FD8E"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tcPr>
          <w:p w14:paraId="0764149E" w14:textId="77777777" w:rsidR="001C33F0" w:rsidRPr="009F1DC7" w:rsidRDefault="001C33F0">
            <w:pPr>
              <w:spacing w:after="0" w:line="240" w:lineRule="auto"/>
              <w:rPr>
                <w:rFonts w:ascii="Times New Roman" w:hAnsi="Times New Roman" w:cs="Times New Roman"/>
                <w:noProof/>
                <w:sz w:val="24"/>
                <w:szCs w:val="24"/>
              </w:rPr>
            </w:pPr>
          </w:p>
        </w:tc>
        <w:tc>
          <w:tcPr>
            <w:tcW w:w="1309" w:type="dxa"/>
            <w:shd w:val="clear" w:color="auto" w:fill="C6EFCE"/>
            <w:noWrap/>
          </w:tcPr>
          <w:p w14:paraId="2577B7AF" w14:textId="73EC47E6"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7CCE769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17A8334F" w14:textId="2152C271"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Pe baza recomandărilor unui grup de experți independenți, se înființează un grup operativ permanent, în conformitate cu standardele OCDE de guvernanță corporativă, care devine operațional (și anume, mandatat legal și dotat cu resurse) pentru a asigura monitorizarea aplicării standardelor de guvernanță corporativă, are responsabilitatea finală de a asigura o procedură de selecție transparentă și competitivă pentru aprobarea numirii membrilor consiliului de administrație, monitorizează, evaluează, controlează și publică raportarea periodică a indicatorilor de performanță și aplică sancțiuni pentru întreprinderile de stat care nu respectă indicatorii-cheie de performanță.</w:t>
            </w:r>
          </w:p>
        </w:tc>
      </w:tr>
      <w:tr w:rsidR="000A27B3" w:rsidRPr="000A27B3" w14:paraId="1605A358" w14:textId="77777777" w:rsidTr="00B74F9A">
        <w:trPr>
          <w:trHeight w:val="309"/>
        </w:trPr>
        <w:tc>
          <w:tcPr>
            <w:tcW w:w="822" w:type="dxa"/>
            <w:shd w:val="clear" w:color="auto" w:fill="C6EFCE"/>
            <w:noWrap/>
          </w:tcPr>
          <w:p w14:paraId="660B333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441</w:t>
            </w:r>
          </w:p>
        </w:tc>
        <w:tc>
          <w:tcPr>
            <w:tcW w:w="2391" w:type="dxa"/>
            <w:shd w:val="clear" w:color="auto" w:fill="C6EFCE"/>
            <w:noWrap/>
          </w:tcPr>
          <w:p w14:paraId="56B7B1E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9. Îmbunătățirea cadrului procedural de implementare a principiilor guvernanței corporative în cadrul întreprinderilor de stat </w:t>
            </w:r>
          </w:p>
        </w:tc>
        <w:tc>
          <w:tcPr>
            <w:tcW w:w="1226" w:type="dxa"/>
            <w:shd w:val="clear" w:color="auto" w:fill="C6EFCE"/>
            <w:noWrap/>
          </w:tcPr>
          <w:p w14:paraId="603088E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Jalon</w:t>
            </w:r>
          </w:p>
        </w:tc>
        <w:tc>
          <w:tcPr>
            <w:tcW w:w="1495" w:type="dxa"/>
            <w:shd w:val="clear" w:color="auto" w:fill="C6EFCE"/>
            <w:noWrap/>
          </w:tcPr>
          <w:p w14:paraId="41005F7B" w14:textId="60978580"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Publicarea tabloului de bord de monitorizare cu obiective financiare și nefinanciare și indicatori de performanță pentru toate categoriile de societăți publice (inclusiv din sectoare-cheie precum transporturile, energia, utilitățile publice) </w:t>
            </w:r>
          </w:p>
        </w:tc>
        <w:tc>
          <w:tcPr>
            <w:tcW w:w="1547" w:type="dxa"/>
            <w:shd w:val="clear" w:color="auto" w:fill="C6EFCE"/>
            <w:noWrap/>
          </w:tcPr>
          <w:p w14:paraId="465BC48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Publicarea tabloului de bord de monitorizare, cu date relevante privind dinamica indicatorilor de performanță</w:t>
            </w:r>
          </w:p>
        </w:tc>
        <w:tc>
          <w:tcPr>
            <w:tcW w:w="1034" w:type="dxa"/>
            <w:shd w:val="clear" w:color="auto" w:fill="C6EFCE"/>
            <w:noWrap/>
          </w:tcPr>
          <w:p w14:paraId="4990516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200" w:type="dxa"/>
            <w:shd w:val="clear" w:color="auto" w:fill="C6EFCE"/>
            <w:noWrap/>
          </w:tcPr>
          <w:p w14:paraId="408ECF4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 </w:t>
            </w:r>
          </w:p>
        </w:tc>
        <w:tc>
          <w:tcPr>
            <w:tcW w:w="1091" w:type="dxa"/>
            <w:shd w:val="clear" w:color="auto" w:fill="C6EFCE"/>
          </w:tcPr>
          <w:p w14:paraId="41B1C25C" w14:textId="77777777" w:rsidR="001C33F0" w:rsidRPr="009F1DC7" w:rsidRDefault="001C33F0">
            <w:pPr>
              <w:spacing w:after="0" w:line="240" w:lineRule="auto"/>
              <w:rPr>
                <w:rFonts w:ascii="Times New Roman" w:hAnsi="Times New Roman" w:cs="Times New Roman"/>
                <w:noProof/>
                <w:sz w:val="24"/>
                <w:szCs w:val="24"/>
                <w:lang w:val="fr-FR"/>
              </w:rPr>
            </w:pPr>
          </w:p>
        </w:tc>
        <w:tc>
          <w:tcPr>
            <w:tcW w:w="1309" w:type="dxa"/>
            <w:shd w:val="clear" w:color="auto" w:fill="C6EFCE"/>
            <w:noWrap/>
          </w:tcPr>
          <w:p w14:paraId="5B7A23C7" w14:textId="4A8F31BF"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77BB79C2"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6E3AF9F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Tabloul de bord de monitorizare va fi elaborat, publicat anual și utilizat la nivel central pentru raportarea și monitorizarea progreselor înregistrate în atingerea indicatorilor de performanță (financiari și nefinanciari) pentru toate categoriile de întreprinderi de stat.</w:t>
            </w:r>
          </w:p>
          <w:p w14:paraId="6794678C"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va acorda prioritate tuturor întreprinderilor din sectoare-cheie, cum ar fi transporturile, energia, utilitățile publice. </w:t>
            </w:r>
          </w:p>
          <w:p w14:paraId="4355589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În acest scop, se parcurg următoarele etape: </w:t>
            </w:r>
          </w:p>
          <w:p w14:paraId="3C33DCC3" w14:textId="77777777" w:rsidR="001C33F0" w:rsidRPr="000A27B3" w:rsidRDefault="001C33F0">
            <w:pPr>
              <w:numPr>
                <w:ilvl w:val="0"/>
                <w:numId w:val="103"/>
              </w:numPr>
              <w:pBdr>
                <w:top w:val="nil"/>
                <w:left w:val="nil"/>
                <w:bottom w:val="nil"/>
                <w:right w:val="nil"/>
                <w:between w:val="nil"/>
              </w:pBdr>
              <w:spacing w:after="0" w:line="240" w:lineRule="auto"/>
              <w:ind w:left="179" w:hanging="179"/>
              <w:jc w:val="both"/>
              <w:rPr>
                <w:rFonts w:ascii="Times New Roman" w:eastAsia="Calibri" w:hAnsi="Times New Roman" w:cs="Times New Roman"/>
                <w:noProof/>
                <w:sz w:val="24"/>
              </w:rPr>
            </w:pPr>
            <w:r>
              <w:rPr>
                <w:rFonts w:ascii="Times New Roman" w:hAnsi="Times New Roman"/>
                <w:noProof/>
                <w:sz w:val="24"/>
              </w:rPr>
              <w:t>efectuarea unei evaluări a tuturor companiilor de stat și formularea de recomandări privind vânzarea sau listarea activelor companiilor de stat;</w:t>
            </w:r>
          </w:p>
          <w:p w14:paraId="2CA90B1E" w14:textId="77777777" w:rsidR="001C33F0" w:rsidRPr="000A27B3" w:rsidRDefault="001C33F0">
            <w:pPr>
              <w:numPr>
                <w:ilvl w:val="0"/>
                <w:numId w:val="103"/>
              </w:numPr>
              <w:pBdr>
                <w:top w:val="nil"/>
                <w:left w:val="nil"/>
                <w:bottom w:val="nil"/>
                <w:right w:val="nil"/>
                <w:between w:val="nil"/>
              </w:pBdr>
              <w:spacing w:after="0" w:line="240" w:lineRule="auto"/>
              <w:ind w:left="179" w:hanging="179"/>
              <w:jc w:val="both"/>
              <w:rPr>
                <w:rFonts w:ascii="Times New Roman" w:eastAsia="Calibri" w:hAnsi="Times New Roman" w:cs="Times New Roman"/>
                <w:noProof/>
                <w:sz w:val="24"/>
              </w:rPr>
            </w:pPr>
            <w:r>
              <w:rPr>
                <w:rFonts w:ascii="Times New Roman" w:hAnsi="Times New Roman"/>
                <w:noProof/>
                <w:sz w:val="24"/>
              </w:rPr>
              <w:t>identificarea obiectivelor financiare și nefinanciare și un tablou de bord pentru monitorizarea indicatorilor-cheie de performanță financiari și nefinanciari pentru toate categoriile de întreprinderi de stat, inclusiv pentru cele din sectoare precum transportul energetic, utilitățile publice, operaționalizat de grupul operativ;</w:t>
            </w:r>
          </w:p>
          <w:p w14:paraId="6C1C556A" w14:textId="28B01247" w:rsidR="001C33F0" w:rsidRPr="000A27B3" w:rsidRDefault="001C33F0">
            <w:pPr>
              <w:numPr>
                <w:ilvl w:val="0"/>
                <w:numId w:val="103"/>
              </w:numPr>
              <w:pBdr>
                <w:top w:val="nil"/>
                <w:left w:val="nil"/>
                <w:bottom w:val="nil"/>
                <w:right w:val="nil"/>
                <w:between w:val="nil"/>
              </w:pBdr>
              <w:spacing w:after="0" w:line="240" w:lineRule="auto"/>
              <w:ind w:left="179" w:hanging="179"/>
              <w:jc w:val="both"/>
              <w:rPr>
                <w:rFonts w:ascii="Times New Roman" w:eastAsia="Calibri" w:hAnsi="Times New Roman" w:cs="Times New Roman"/>
                <w:noProof/>
                <w:sz w:val="24"/>
              </w:rPr>
            </w:pPr>
            <w:r>
              <w:rPr>
                <w:rFonts w:ascii="Times New Roman" w:hAnsi="Times New Roman"/>
                <w:noProof/>
                <w:sz w:val="24"/>
              </w:rPr>
              <w:t xml:space="preserve">grupul operativ aprobă toate obiectivele financiare și nefinanciare și indicatorii-cheie de performanță pentru toate întreprinderile de stat, inclusiv pentru cele din sectoarele energiei și transporturilor. </w:t>
            </w:r>
          </w:p>
        </w:tc>
      </w:tr>
      <w:tr w:rsidR="000A27B3" w:rsidRPr="000A27B3" w14:paraId="28C5B141" w14:textId="77777777" w:rsidTr="00B74F9A">
        <w:trPr>
          <w:trHeight w:val="309"/>
        </w:trPr>
        <w:tc>
          <w:tcPr>
            <w:tcW w:w="822" w:type="dxa"/>
            <w:shd w:val="clear" w:color="auto" w:fill="C6EFCE"/>
            <w:noWrap/>
          </w:tcPr>
          <w:p w14:paraId="715826BB"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442</w:t>
            </w:r>
          </w:p>
        </w:tc>
        <w:tc>
          <w:tcPr>
            <w:tcW w:w="2391" w:type="dxa"/>
            <w:shd w:val="clear" w:color="auto" w:fill="C6EFCE"/>
            <w:noWrap/>
          </w:tcPr>
          <w:p w14:paraId="5DD2C3E0"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9. Îmbunătățirea cadrului procedural de implementare a principiilor guvernanței corporative în cadrul întreprinderilor de stat</w:t>
            </w:r>
          </w:p>
        </w:tc>
        <w:tc>
          <w:tcPr>
            <w:tcW w:w="1226" w:type="dxa"/>
            <w:shd w:val="clear" w:color="auto" w:fill="C6EFCE"/>
            <w:noWrap/>
          </w:tcPr>
          <w:p w14:paraId="79B1509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226DF0D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Reducerea cu 50 % a numirilor interimare/temporare în consiliile de administrație ale companiilor de stat centrale</w:t>
            </w:r>
          </w:p>
        </w:tc>
        <w:tc>
          <w:tcPr>
            <w:tcW w:w="1547" w:type="dxa"/>
            <w:shd w:val="clear" w:color="auto" w:fill="C6EFCE"/>
            <w:noWrap/>
          </w:tcPr>
          <w:p w14:paraId="6EBC9036" w14:textId="77777777" w:rsidR="001C33F0" w:rsidRPr="000A27B3" w:rsidRDefault="001C33F0">
            <w:p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52F56559"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2B3DD961"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7EC9341A" w14:textId="72745B81"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07E0CFCC"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50</w:t>
            </w:r>
          </w:p>
        </w:tc>
        <w:tc>
          <w:tcPr>
            <w:tcW w:w="1309" w:type="dxa"/>
            <w:shd w:val="clear" w:color="auto" w:fill="C6EFCE"/>
            <w:noWrap/>
          </w:tcPr>
          <w:p w14:paraId="56906C7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7D9D391D"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13A4F65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Reducerea numirilor temporare la conducerea companiilor de stat la nivel central se va calcula în raport cu nivelul de referință care va fi stabilit în analiza efectuată în 2022.</w:t>
            </w:r>
          </w:p>
          <w:p w14:paraId="3A8C05C2" w14:textId="77777777" w:rsidR="001C33F0" w:rsidRPr="009F1DC7" w:rsidRDefault="001C33F0">
            <w:pPr>
              <w:spacing w:after="0" w:line="240" w:lineRule="auto"/>
              <w:jc w:val="both"/>
              <w:rPr>
                <w:rFonts w:ascii="Times New Roman" w:hAnsi="Times New Roman" w:cs="Times New Roman"/>
                <w:noProof/>
                <w:sz w:val="24"/>
                <w:szCs w:val="24"/>
              </w:rPr>
            </w:pPr>
          </w:p>
        </w:tc>
      </w:tr>
      <w:tr w:rsidR="000A27B3" w:rsidRPr="000A27B3" w14:paraId="6CEB5FF3" w14:textId="77777777" w:rsidTr="00B74F9A">
        <w:trPr>
          <w:trHeight w:val="309"/>
        </w:trPr>
        <w:tc>
          <w:tcPr>
            <w:tcW w:w="822" w:type="dxa"/>
            <w:shd w:val="clear" w:color="auto" w:fill="C6EFCE"/>
            <w:noWrap/>
          </w:tcPr>
          <w:p w14:paraId="432DD2EB"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443</w:t>
            </w:r>
          </w:p>
        </w:tc>
        <w:tc>
          <w:tcPr>
            <w:tcW w:w="2391" w:type="dxa"/>
            <w:shd w:val="clear" w:color="auto" w:fill="C6EFCE"/>
            <w:noWrap/>
          </w:tcPr>
          <w:p w14:paraId="5001661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9. Îmbunătățirea cadrului procedural de implementare a principiilor guvernanței corporative în cadrul întreprinderilor de stat</w:t>
            </w:r>
          </w:p>
        </w:tc>
        <w:tc>
          <w:tcPr>
            <w:tcW w:w="1226" w:type="dxa"/>
            <w:shd w:val="clear" w:color="auto" w:fill="C6EFCE"/>
            <w:noWrap/>
          </w:tcPr>
          <w:p w14:paraId="60B5C58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Țintă </w:t>
            </w:r>
          </w:p>
        </w:tc>
        <w:tc>
          <w:tcPr>
            <w:tcW w:w="1495" w:type="dxa"/>
            <w:shd w:val="clear" w:color="auto" w:fill="C6EFCE"/>
            <w:noWrap/>
          </w:tcPr>
          <w:p w14:paraId="3868026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Companii centrale de stat cotate/de tip lease/restructurate în domeniul energiei și transporturilor</w:t>
            </w:r>
          </w:p>
        </w:tc>
        <w:tc>
          <w:tcPr>
            <w:tcW w:w="1547" w:type="dxa"/>
            <w:shd w:val="clear" w:color="auto" w:fill="C6EFCE"/>
            <w:noWrap/>
          </w:tcPr>
          <w:p w14:paraId="0931A10F" w14:textId="77777777" w:rsidR="001C33F0" w:rsidRPr="000A27B3" w:rsidRDefault="001C33F0">
            <w:p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4FFC7C4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2438F36F"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37DFA6E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3</w:t>
            </w:r>
          </w:p>
        </w:tc>
        <w:tc>
          <w:tcPr>
            <w:tcW w:w="1309" w:type="dxa"/>
            <w:shd w:val="clear" w:color="auto" w:fill="C6EFCE"/>
            <w:noWrap/>
          </w:tcPr>
          <w:p w14:paraId="1A1344B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703EDA11"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41" w:type="dxa"/>
            <w:shd w:val="clear" w:color="auto" w:fill="C6EFCE"/>
            <w:noWrap/>
          </w:tcPr>
          <w:p w14:paraId="3640BEFA"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Cel puțin 3 companii de stat listate/de tip lease/restructurate în domeniul energiei și al transporturilor, în plus față de listarea a cel puțin 15 % din acțiunile Hidroelectrica, care este vizată de obiectivul 122 din secțiunea referitoare la componenta „Energie” a prezentului document.</w:t>
            </w:r>
          </w:p>
        </w:tc>
      </w:tr>
      <w:tr w:rsidR="000A27B3" w:rsidRPr="000A27B3" w14:paraId="06EBBC2A" w14:textId="77777777" w:rsidTr="00B74F9A">
        <w:trPr>
          <w:trHeight w:val="309"/>
        </w:trPr>
        <w:tc>
          <w:tcPr>
            <w:tcW w:w="822" w:type="dxa"/>
            <w:shd w:val="clear" w:color="auto" w:fill="C6EFCE"/>
            <w:noWrap/>
          </w:tcPr>
          <w:p w14:paraId="1CCCD308"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444</w:t>
            </w:r>
          </w:p>
        </w:tc>
        <w:tc>
          <w:tcPr>
            <w:tcW w:w="2391" w:type="dxa"/>
            <w:shd w:val="clear" w:color="auto" w:fill="C6EFCE"/>
            <w:noWrap/>
          </w:tcPr>
          <w:p w14:paraId="78C8A727"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Reforma 9. Îmbunătățirea cadrului procedural de implementare a principiilor guvernanței corporative în cadrul întreprinderilor de stat</w:t>
            </w:r>
          </w:p>
          <w:p w14:paraId="44C18DC9" w14:textId="77777777" w:rsidR="001C33F0" w:rsidRPr="009F1DC7" w:rsidRDefault="001C33F0">
            <w:pPr>
              <w:spacing w:after="0" w:line="240" w:lineRule="auto"/>
              <w:jc w:val="both"/>
              <w:rPr>
                <w:rFonts w:ascii="Times New Roman" w:hAnsi="Times New Roman" w:cs="Times New Roman"/>
                <w:noProof/>
                <w:sz w:val="24"/>
                <w:szCs w:val="24"/>
                <w:lang w:val="fr-FR"/>
              </w:rPr>
            </w:pPr>
          </w:p>
        </w:tc>
        <w:tc>
          <w:tcPr>
            <w:tcW w:w="1226" w:type="dxa"/>
            <w:shd w:val="clear" w:color="auto" w:fill="C6EFCE"/>
            <w:noWrap/>
          </w:tcPr>
          <w:p w14:paraId="5069335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Țintă </w:t>
            </w:r>
          </w:p>
        </w:tc>
        <w:tc>
          <w:tcPr>
            <w:tcW w:w="1495" w:type="dxa"/>
            <w:shd w:val="clear" w:color="auto" w:fill="C6EFCE"/>
            <w:noWrap/>
          </w:tcPr>
          <w:p w14:paraId="6EE4140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Reducerea cu 10 % a numirilor interimare/temporare în consiliile de administrație ale companiilor de stat locale</w:t>
            </w:r>
          </w:p>
        </w:tc>
        <w:tc>
          <w:tcPr>
            <w:tcW w:w="1547" w:type="dxa"/>
            <w:shd w:val="clear" w:color="auto" w:fill="C6EFCE"/>
            <w:noWrap/>
          </w:tcPr>
          <w:p w14:paraId="3EE0646C" w14:textId="77777777" w:rsidR="001C33F0" w:rsidRPr="000A27B3" w:rsidRDefault="001C33F0">
            <w:pPr>
              <w:spacing w:before="120" w:after="0" w:line="240" w:lineRule="auto"/>
              <w:jc w:val="both"/>
              <w:rPr>
                <w:rFonts w:ascii="Times New Roman" w:hAnsi="Times New Roman" w:cs="Times New Roman"/>
                <w:noProof/>
                <w:sz w:val="24"/>
                <w:szCs w:val="24"/>
                <w:lang w:val="en-GB"/>
              </w:rPr>
            </w:pPr>
          </w:p>
        </w:tc>
        <w:tc>
          <w:tcPr>
            <w:tcW w:w="1034" w:type="dxa"/>
            <w:shd w:val="clear" w:color="auto" w:fill="C6EFCE"/>
            <w:noWrap/>
          </w:tcPr>
          <w:p w14:paraId="41795907" w14:textId="77777777" w:rsidR="001C33F0" w:rsidRPr="000A27B3" w:rsidRDefault="001C33F0">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67593A8E"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652851B2"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56D2FA0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10</w:t>
            </w:r>
          </w:p>
        </w:tc>
        <w:tc>
          <w:tcPr>
            <w:tcW w:w="1309" w:type="dxa"/>
            <w:shd w:val="clear" w:color="auto" w:fill="C6EFCE"/>
            <w:noWrap/>
          </w:tcPr>
          <w:p w14:paraId="76CE8248"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6B68F6A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041" w:type="dxa"/>
            <w:shd w:val="clear" w:color="auto" w:fill="C6EFCE"/>
            <w:noWrap/>
          </w:tcPr>
          <w:p w14:paraId="34CB06C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Reducerea numirilor temporare la conducerea companiilor de stat la nivel local se va calcula în funcție de nivelul de referință (2020) care va fi stabilit în analiza efectuată în 2022. </w:t>
            </w:r>
          </w:p>
          <w:p w14:paraId="6BCF3330" w14:textId="77777777" w:rsidR="001C33F0" w:rsidRPr="009F1DC7" w:rsidRDefault="001C33F0">
            <w:pPr>
              <w:spacing w:after="0" w:line="240" w:lineRule="auto"/>
              <w:jc w:val="both"/>
              <w:rPr>
                <w:rFonts w:ascii="Times New Roman" w:hAnsi="Times New Roman" w:cs="Times New Roman"/>
                <w:noProof/>
                <w:sz w:val="24"/>
                <w:szCs w:val="24"/>
              </w:rPr>
            </w:pPr>
          </w:p>
        </w:tc>
      </w:tr>
      <w:tr w:rsidR="000A27B3" w:rsidRPr="000A27B3" w14:paraId="66757CA9" w14:textId="77777777" w:rsidTr="00B74F9A">
        <w:trPr>
          <w:trHeight w:val="309"/>
        </w:trPr>
        <w:tc>
          <w:tcPr>
            <w:tcW w:w="822" w:type="dxa"/>
            <w:shd w:val="clear" w:color="auto" w:fill="C6EFCE"/>
            <w:noWrap/>
          </w:tcPr>
          <w:p w14:paraId="1C9E5753"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445</w:t>
            </w:r>
          </w:p>
        </w:tc>
        <w:tc>
          <w:tcPr>
            <w:tcW w:w="2391" w:type="dxa"/>
            <w:shd w:val="clear" w:color="auto" w:fill="C6EFCE"/>
            <w:noWrap/>
          </w:tcPr>
          <w:p w14:paraId="0188CA3F"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 Optimizarea infrastructurii judiciare pentru a garanta accesul la justiție și calitatea serviciilor </w:t>
            </w:r>
          </w:p>
        </w:tc>
        <w:tc>
          <w:tcPr>
            <w:tcW w:w="1226" w:type="dxa"/>
            <w:shd w:val="clear" w:color="auto" w:fill="C6EFCE"/>
            <w:noWrap/>
          </w:tcPr>
          <w:p w14:paraId="77C3841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22B03357" w14:textId="4765A15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Sedii ale instanțelor construite în conformitate cu standardele verzi </w:t>
            </w:r>
          </w:p>
        </w:tc>
        <w:tc>
          <w:tcPr>
            <w:tcW w:w="1547" w:type="dxa"/>
            <w:shd w:val="clear" w:color="auto" w:fill="C6EFCE"/>
            <w:noWrap/>
          </w:tcPr>
          <w:p w14:paraId="5CAE57B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2767C96B"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53A6E1B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442E0D2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3</w:t>
            </w:r>
          </w:p>
        </w:tc>
        <w:tc>
          <w:tcPr>
            <w:tcW w:w="1309" w:type="dxa"/>
            <w:shd w:val="clear" w:color="auto" w:fill="C6EFCE"/>
            <w:noWrap/>
          </w:tcPr>
          <w:p w14:paraId="35BAC18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T2</w:t>
            </w:r>
          </w:p>
        </w:tc>
        <w:tc>
          <w:tcPr>
            <w:tcW w:w="720" w:type="dxa"/>
            <w:shd w:val="clear" w:color="auto" w:fill="C6EFCE"/>
            <w:noWrap/>
          </w:tcPr>
          <w:p w14:paraId="589EE1E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41" w:type="dxa"/>
            <w:shd w:val="clear" w:color="auto" w:fill="C6EFCE"/>
            <w:noWrap/>
          </w:tcPr>
          <w:p w14:paraId="624E66C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Investiția vizează construcția a 3 noi sedii de instanțe, care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74C937FB"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Accesul în clădiri va fi adaptat persoanelor cu dizabilități, iar această adaptare este însoțită de respectarea standardelor protecție împotriva incendiilor și a standardelor tehnice de protecție, inclusiv reziliența seismică. Se va acorda prioritate sediilor autorităților judiciare din zonele mai puțin dezvoltate din punct de vedere economic din România.</w:t>
            </w:r>
          </w:p>
        </w:tc>
      </w:tr>
      <w:tr w:rsidR="000A27B3" w:rsidRPr="000A27B3" w14:paraId="5E7DF591" w14:textId="77777777" w:rsidTr="00B74F9A">
        <w:trPr>
          <w:trHeight w:val="309"/>
        </w:trPr>
        <w:tc>
          <w:tcPr>
            <w:tcW w:w="822" w:type="dxa"/>
            <w:shd w:val="clear" w:color="auto" w:fill="C6EFCE"/>
            <w:noWrap/>
          </w:tcPr>
          <w:p w14:paraId="443C4F90"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446</w:t>
            </w:r>
          </w:p>
        </w:tc>
        <w:tc>
          <w:tcPr>
            <w:tcW w:w="2391" w:type="dxa"/>
            <w:shd w:val="clear" w:color="auto" w:fill="C6EFCE"/>
            <w:noWrap/>
          </w:tcPr>
          <w:p w14:paraId="58C51DE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2. Dezvoltarea infrastructurii logistice (non-IT) necesare luptei împotriva corupției și recuperării produsului și prejudiciilor generate de infracțiuni, inclusiv a formării profesionale în aceste domenii </w:t>
            </w:r>
          </w:p>
        </w:tc>
        <w:tc>
          <w:tcPr>
            <w:tcW w:w="1226" w:type="dxa"/>
            <w:shd w:val="clear" w:color="auto" w:fill="C6EFCE"/>
            <w:noWrap/>
          </w:tcPr>
          <w:p w14:paraId="1D1A0C67"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0B5A963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Darea în folosință a depozitelor pentru bunurile confiscate</w:t>
            </w:r>
          </w:p>
        </w:tc>
        <w:tc>
          <w:tcPr>
            <w:tcW w:w="1547" w:type="dxa"/>
            <w:shd w:val="clear" w:color="auto" w:fill="C6EFCE"/>
            <w:noWrap/>
          </w:tcPr>
          <w:p w14:paraId="2D40E0A5"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34" w:type="dxa"/>
            <w:shd w:val="clear" w:color="auto" w:fill="C6EFCE"/>
            <w:noWrap/>
          </w:tcPr>
          <w:p w14:paraId="2CF6E3AC"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16890D2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22C9AE6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3</w:t>
            </w:r>
          </w:p>
        </w:tc>
        <w:tc>
          <w:tcPr>
            <w:tcW w:w="1309" w:type="dxa"/>
            <w:shd w:val="clear" w:color="auto" w:fill="C6EFCE"/>
            <w:noWrap/>
          </w:tcPr>
          <w:p w14:paraId="2E34E2E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T3</w:t>
            </w:r>
          </w:p>
        </w:tc>
        <w:tc>
          <w:tcPr>
            <w:tcW w:w="720" w:type="dxa"/>
            <w:shd w:val="clear" w:color="auto" w:fill="C6EFCE"/>
            <w:noWrap/>
          </w:tcPr>
          <w:p w14:paraId="3DF1ECA5"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041" w:type="dxa"/>
            <w:shd w:val="clear" w:color="auto" w:fill="C6EFCE"/>
            <w:noWrap/>
          </w:tcPr>
          <w:p w14:paraId="05105448"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Finalizarea reabilitării/construcției a cel puțin 3 depozite pentru bunurile confiscate, care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tc>
      </w:tr>
      <w:tr w:rsidR="000A27B3" w:rsidRPr="000A27B3" w14:paraId="5A663F49" w14:textId="77777777" w:rsidTr="00B74F9A">
        <w:trPr>
          <w:trHeight w:val="309"/>
        </w:trPr>
        <w:tc>
          <w:tcPr>
            <w:tcW w:w="822" w:type="dxa"/>
            <w:shd w:val="clear" w:color="auto" w:fill="C6EFCE"/>
            <w:noWrap/>
          </w:tcPr>
          <w:p w14:paraId="2142AA59"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447</w:t>
            </w:r>
          </w:p>
        </w:tc>
        <w:tc>
          <w:tcPr>
            <w:tcW w:w="2391" w:type="dxa"/>
            <w:shd w:val="clear" w:color="auto" w:fill="C6EFCE"/>
            <w:noWrap/>
          </w:tcPr>
          <w:p w14:paraId="158DD6A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Investiția 3 Crearea de structuri parteneriale locale între autoritățile locale și societatea civilă</w:t>
            </w:r>
          </w:p>
        </w:tc>
        <w:tc>
          <w:tcPr>
            <w:tcW w:w="1226" w:type="dxa"/>
            <w:shd w:val="clear" w:color="auto" w:fill="C6EFCE"/>
            <w:noWrap/>
          </w:tcPr>
          <w:p w14:paraId="7D71631E"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01F45F8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Parteneriatele dintre autoritățile administrației publice locale (APL) și ONG-uri sunt înființate și operaționale</w:t>
            </w:r>
          </w:p>
        </w:tc>
        <w:tc>
          <w:tcPr>
            <w:tcW w:w="1547" w:type="dxa"/>
            <w:shd w:val="clear" w:color="auto" w:fill="C6EFCE"/>
            <w:noWrap/>
          </w:tcPr>
          <w:p w14:paraId="17025C32" w14:textId="77777777" w:rsidR="001C33F0" w:rsidRPr="000A27B3" w:rsidRDefault="001C33F0">
            <w:pPr>
              <w:spacing w:after="0" w:line="240" w:lineRule="auto"/>
              <w:jc w:val="both"/>
              <w:rPr>
                <w:rFonts w:ascii="Times New Roman" w:hAnsi="Times New Roman" w:cs="Times New Roman"/>
                <w:noProof/>
                <w:sz w:val="24"/>
                <w:szCs w:val="24"/>
                <w:lang w:val="en-GB"/>
              </w:rPr>
            </w:pPr>
          </w:p>
        </w:tc>
        <w:tc>
          <w:tcPr>
            <w:tcW w:w="1034" w:type="dxa"/>
            <w:shd w:val="clear" w:color="auto" w:fill="C6EFCE"/>
            <w:noWrap/>
          </w:tcPr>
          <w:p w14:paraId="5097B7F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677877DC"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139B0E9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50</w:t>
            </w:r>
          </w:p>
        </w:tc>
        <w:tc>
          <w:tcPr>
            <w:tcW w:w="1309" w:type="dxa"/>
            <w:shd w:val="clear" w:color="auto" w:fill="C6EFCE"/>
            <w:noWrap/>
          </w:tcPr>
          <w:p w14:paraId="3E8A636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T1</w:t>
            </w:r>
          </w:p>
        </w:tc>
        <w:tc>
          <w:tcPr>
            <w:tcW w:w="720" w:type="dxa"/>
            <w:shd w:val="clear" w:color="auto" w:fill="C6EFCE"/>
            <w:noWrap/>
          </w:tcPr>
          <w:p w14:paraId="5E14765B"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41" w:type="dxa"/>
            <w:shd w:val="clear" w:color="auto" w:fill="C6EFCE"/>
            <w:noWrap/>
          </w:tcPr>
          <w:p w14:paraId="520D5846" w14:textId="77777777" w:rsidR="001C33F0" w:rsidRPr="000A27B3" w:rsidRDefault="001C33F0">
            <w:pPr>
              <w:spacing w:before="120" w:after="0" w:line="240" w:lineRule="auto"/>
              <w:jc w:val="both"/>
              <w:rPr>
                <w:rFonts w:ascii="Times New Roman" w:hAnsi="Times New Roman" w:cs="Times New Roman"/>
                <w:noProof/>
                <w:sz w:val="24"/>
                <w:szCs w:val="24"/>
              </w:rPr>
            </w:pPr>
            <w:r>
              <w:rPr>
                <w:rFonts w:ascii="Times New Roman" w:hAnsi="Times New Roman"/>
                <w:noProof/>
                <w:sz w:val="24"/>
              </w:rPr>
              <w:t xml:space="preserve">50 de noi parteneriate vor fi încheiate între organizațiile neguvernamentale și autoritățile administrației publice locale pentru dezvoltarea proiectelor de sprijinire a dezvoltării comunităților locale. </w:t>
            </w:r>
          </w:p>
          <w:p w14:paraId="65005FC0" w14:textId="02CE30D9"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Planurile concrete de intervenție care implică parteneriate vor fi definite la nivelul fiecărei comunități și se va acorda prioritate domeniilor precum combaterea discriminării, guvernanța participativă și bugetarea, serviciile destinate comunităților vulnerabile (cum ar fi romii sau persoanele fără adăpost), combaterea sărăciei, tranziția verde. Planurile de intervenție vor cuprinde ținte asociate, rezultate pe termen scurt și lung, bugete și angajamentul de a realiza procese de consultare periodice, transparente și favorabile incluziunii, o atribuire clară a responsabilităților către părțile implicate. Planurile de intervenție vor prevedea, de asemenea, instrumente de lucru menite să dezvolte capacitatea internă a administrației implicate în parteneriat de a servi cetățenii. Stabilirea priorităților planurilor de intervenție va face obiectul unei consultări publice și colaborative. Punerea în aplicare a fiecărui plan de intervenție este monitorizată timp de cel puțin 2 ani de la încheierea fiecărui plan. Cooperarea dintre părți și regularitatea/eficiența procesului de consultare vor fi documentate de-a lungul întregii perioade de investiții. </w:t>
            </w:r>
          </w:p>
        </w:tc>
      </w:tr>
      <w:tr w:rsidR="000A27B3" w:rsidRPr="000A27B3" w14:paraId="783E224A" w14:textId="77777777" w:rsidTr="00B74F9A">
        <w:trPr>
          <w:trHeight w:val="309"/>
        </w:trPr>
        <w:tc>
          <w:tcPr>
            <w:tcW w:w="822" w:type="dxa"/>
            <w:shd w:val="clear" w:color="auto" w:fill="C6EFCE"/>
            <w:noWrap/>
          </w:tcPr>
          <w:p w14:paraId="1F96BAFF"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448</w:t>
            </w:r>
          </w:p>
        </w:tc>
        <w:tc>
          <w:tcPr>
            <w:tcW w:w="2391" w:type="dxa"/>
            <w:shd w:val="clear" w:color="auto" w:fill="C6EFCE"/>
            <w:noWrap/>
          </w:tcPr>
          <w:p w14:paraId="74909C8E"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Creșterea capacității organizațiilor societății civile de stimulare a cetățeniei active, de implicare profesionistă în planificarea și implementarea politicilor publice privind drepturile sociale vizate de planul național de redresare și reziliență și monitorizarea reformelor asociate </w:t>
            </w:r>
          </w:p>
        </w:tc>
        <w:tc>
          <w:tcPr>
            <w:tcW w:w="1226" w:type="dxa"/>
            <w:shd w:val="clear" w:color="auto" w:fill="C6EFCE"/>
            <w:noWrap/>
          </w:tcPr>
          <w:p w14:paraId="6AD2DE35"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Țintă</w:t>
            </w:r>
          </w:p>
        </w:tc>
        <w:tc>
          <w:tcPr>
            <w:tcW w:w="1495" w:type="dxa"/>
            <w:shd w:val="clear" w:color="auto" w:fill="C6EFCE"/>
            <w:noWrap/>
          </w:tcPr>
          <w:p w14:paraId="36A38360" w14:textId="6B5B10B4"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Inițiative de colaborare funcțională ale sectorului neguvernamental operaționale </w:t>
            </w:r>
          </w:p>
        </w:tc>
        <w:tc>
          <w:tcPr>
            <w:tcW w:w="1547" w:type="dxa"/>
            <w:shd w:val="clear" w:color="auto" w:fill="C6EFCE"/>
            <w:noWrap/>
          </w:tcPr>
          <w:p w14:paraId="39F3D7E9" w14:textId="77777777" w:rsidR="001C33F0" w:rsidRPr="000A27B3" w:rsidRDefault="001C33F0">
            <w:pPr>
              <w:spacing w:after="0" w:line="240" w:lineRule="auto"/>
              <w:jc w:val="both"/>
              <w:rPr>
                <w:rFonts w:ascii="Times New Roman" w:hAnsi="Times New Roman" w:cs="Times New Roman"/>
                <w:noProof/>
                <w:sz w:val="24"/>
                <w:szCs w:val="24"/>
                <w:lang w:val="en-GB"/>
              </w:rPr>
            </w:pPr>
          </w:p>
        </w:tc>
        <w:tc>
          <w:tcPr>
            <w:tcW w:w="1034" w:type="dxa"/>
            <w:shd w:val="clear" w:color="auto" w:fill="C6EFCE"/>
            <w:noWrap/>
          </w:tcPr>
          <w:p w14:paraId="5AAEDDE9"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Număr</w:t>
            </w:r>
          </w:p>
        </w:tc>
        <w:tc>
          <w:tcPr>
            <w:tcW w:w="1200" w:type="dxa"/>
            <w:shd w:val="clear" w:color="auto" w:fill="C6EFCE"/>
            <w:noWrap/>
          </w:tcPr>
          <w:p w14:paraId="01840C70"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0</w:t>
            </w:r>
          </w:p>
        </w:tc>
        <w:tc>
          <w:tcPr>
            <w:tcW w:w="1091" w:type="dxa"/>
            <w:shd w:val="clear" w:color="auto" w:fill="C6EFCE"/>
          </w:tcPr>
          <w:p w14:paraId="41DDE188"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15</w:t>
            </w:r>
          </w:p>
        </w:tc>
        <w:tc>
          <w:tcPr>
            <w:tcW w:w="1309" w:type="dxa"/>
            <w:shd w:val="clear" w:color="auto" w:fill="C6EFCE"/>
            <w:noWrap/>
          </w:tcPr>
          <w:p w14:paraId="7821E4C3"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T1</w:t>
            </w:r>
          </w:p>
        </w:tc>
        <w:tc>
          <w:tcPr>
            <w:tcW w:w="720" w:type="dxa"/>
            <w:shd w:val="clear" w:color="auto" w:fill="C6EFCE"/>
            <w:noWrap/>
          </w:tcPr>
          <w:p w14:paraId="475207A6"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041" w:type="dxa"/>
            <w:shd w:val="clear" w:color="auto" w:fill="C6EFCE"/>
            <w:noWrap/>
          </w:tcPr>
          <w:p w14:paraId="30FC3A0E" w14:textId="71225169"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Se vor înființa cel puțin 15</w:t>
            </w:r>
            <w:r w:rsidR="00B74F9A">
              <w:rPr>
                <w:rFonts w:ascii="Times New Roman" w:hAnsi="Times New Roman"/>
                <w:noProof/>
                <w:sz w:val="24"/>
              </w:rPr>
              <w:t> </w:t>
            </w:r>
            <w:r>
              <w:rPr>
                <w:rFonts w:ascii="Times New Roman" w:hAnsi="Times New Roman"/>
                <w:noProof/>
                <w:sz w:val="24"/>
              </w:rPr>
              <w:t>inițiative de colaborare funcțională ale sectorului neguvernamental (rețele, coaliții, platforme, grupuri de organizații, inclusiv grupuri de reflecție, structuri de analiză și de cercetare) pentru a asigura participarea și contribuția efectivă a organizațiilor neguvernamentale la procesele de consultare publică. Obiectivul acestor inițiative va fi de a monitoriza crearea, adoptarea și punerea în aplicare a cel puțin 15</w:t>
            </w:r>
            <w:r w:rsidR="00B74F9A">
              <w:rPr>
                <w:rFonts w:ascii="Times New Roman" w:hAnsi="Times New Roman"/>
                <w:noProof/>
                <w:sz w:val="24"/>
              </w:rPr>
              <w:t> </w:t>
            </w:r>
            <w:r>
              <w:rPr>
                <w:rFonts w:ascii="Times New Roman" w:hAnsi="Times New Roman"/>
                <w:noProof/>
                <w:sz w:val="24"/>
              </w:rPr>
              <w:t xml:space="preserve">politici publice/reforme naționale cu semnificație pentru planul național de redresare și reziliență și în domenii de importanță socială (cum ar fi sănătatea, educația, tranziția verde). </w:t>
            </w:r>
          </w:p>
          <w:p w14:paraId="574C0141" w14:textId="4EC14938"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Mecanismele de colaborare vor fi stabilite și puse în aplicare prin acorduri de parteneriat, care vor stabili o strategie de acțiune definită, cu rezultate și calendare concrete și definite, axate pe asigurarea implicării active în procesele de consultare și pe monitorizarea punerii în aplicare a unei anumite politici publice naționale. Monitorizarea unor astfel de inițiative se va realiza prin intermediul a cel puțin 15</w:t>
            </w:r>
            <w:r w:rsidR="00B74F9A">
              <w:rPr>
                <w:rFonts w:ascii="Times New Roman" w:hAnsi="Times New Roman"/>
                <w:noProof/>
                <w:sz w:val="24"/>
              </w:rPr>
              <w:t> </w:t>
            </w:r>
            <w:r>
              <w:rPr>
                <w:rFonts w:ascii="Times New Roman" w:hAnsi="Times New Roman"/>
                <w:noProof/>
                <w:sz w:val="24"/>
              </w:rPr>
              <w:t xml:space="preserve">rapoarte externe de monitorizare care vor fi pregătite în mod regulat pentru fiecare inițiativă. </w:t>
            </w:r>
          </w:p>
          <w:p w14:paraId="19D8F01C"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Sprijinul acordat va acoperi cheltuielile pentru punerea în aplicare tehnică și financiară a proiectului, costurile operaționale directe și indirecte asociate acțiunilor prevăzute în proiect (organizarea de consultări, acțiuni de comunicare și diseminare, colectarea și prelucrarea datelor, expertiză în diferite domenii).</w:t>
            </w:r>
          </w:p>
          <w:p w14:paraId="32801F51" w14:textId="77777777" w:rsidR="001C33F0" w:rsidRPr="009F1DC7" w:rsidRDefault="001C33F0">
            <w:pPr>
              <w:spacing w:after="0" w:line="240" w:lineRule="auto"/>
              <w:jc w:val="both"/>
              <w:rPr>
                <w:rFonts w:ascii="Times New Roman" w:hAnsi="Times New Roman" w:cs="Times New Roman"/>
                <w:noProof/>
                <w:sz w:val="24"/>
                <w:szCs w:val="24"/>
              </w:rPr>
            </w:pPr>
          </w:p>
        </w:tc>
      </w:tr>
      <w:tr w:rsidR="000A27B3" w:rsidRPr="000A27B3" w14:paraId="2E8A25A0" w14:textId="77777777" w:rsidTr="00B74F9A">
        <w:trPr>
          <w:trHeight w:val="309"/>
        </w:trPr>
        <w:tc>
          <w:tcPr>
            <w:tcW w:w="822" w:type="dxa"/>
            <w:shd w:val="clear" w:color="auto" w:fill="C6EFCE"/>
            <w:noWrap/>
          </w:tcPr>
          <w:p w14:paraId="02B6761C"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449</w:t>
            </w:r>
          </w:p>
        </w:tc>
        <w:tc>
          <w:tcPr>
            <w:tcW w:w="2391" w:type="dxa"/>
            <w:shd w:val="clear" w:color="auto" w:fill="C6EFCE"/>
            <w:noWrap/>
          </w:tcPr>
          <w:p w14:paraId="2CDDC227" w14:textId="2B6DEB6E"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Investiția 4.</w:t>
            </w:r>
            <w:r w:rsidR="004C4C72">
              <w:rPr>
                <w:rFonts w:ascii="Times New Roman" w:hAnsi="Times New Roman"/>
                <w:noProof/>
                <w:sz w:val="24"/>
              </w:rPr>
              <w:t xml:space="preserve"> </w:t>
            </w:r>
            <w:r>
              <w:rPr>
                <w:rFonts w:ascii="Times New Roman" w:hAnsi="Times New Roman"/>
                <w:noProof/>
                <w:sz w:val="24"/>
              </w:rPr>
              <w:t xml:space="preserve">Creșterea capacității organizațiilor societății civile de stimulare a cetățeniei active, de implicare profesionistă în planificarea și implementarea politicilor publice privind drepturile sociale vizate de planul național de redresare și reziliență și monitorizarea reformelor asociate </w:t>
            </w:r>
          </w:p>
        </w:tc>
        <w:tc>
          <w:tcPr>
            <w:tcW w:w="1226" w:type="dxa"/>
            <w:shd w:val="clear" w:color="auto" w:fill="C6EFCE"/>
            <w:noWrap/>
          </w:tcPr>
          <w:p w14:paraId="526E0B91"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 xml:space="preserve">Jalon </w:t>
            </w:r>
          </w:p>
        </w:tc>
        <w:tc>
          <w:tcPr>
            <w:tcW w:w="1495" w:type="dxa"/>
            <w:shd w:val="clear" w:color="auto" w:fill="C6EFCE"/>
            <w:noWrap/>
          </w:tcPr>
          <w:p w14:paraId="62BE896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legislației privind dialogul social, care să prevadă un dialog social și negocieri colective semnificative și oportune, în conformitate cu recomandările OIM</w:t>
            </w:r>
          </w:p>
        </w:tc>
        <w:tc>
          <w:tcPr>
            <w:tcW w:w="1547" w:type="dxa"/>
            <w:shd w:val="clear" w:color="auto" w:fill="C6EFCE"/>
            <w:noWrap/>
          </w:tcPr>
          <w:p w14:paraId="42A9F216"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care indică intrarea în vigoare a legii privind dialogul social</w:t>
            </w:r>
          </w:p>
        </w:tc>
        <w:tc>
          <w:tcPr>
            <w:tcW w:w="1034" w:type="dxa"/>
            <w:shd w:val="clear" w:color="auto" w:fill="C6EFCE"/>
            <w:noWrap/>
          </w:tcPr>
          <w:p w14:paraId="0CB8FC47" w14:textId="77777777" w:rsidR="001C33F0" w:rsidRPr="000A27B3" w:rsidRDefault="001C33F0">
            <w:pPr>
              <w:spacing w:after="0" w:line="240" w:lineRule="auto"/>
              <w:rPr>
                <w:rFonts w:ascii="Times New Roman" w:hAnsi="Times New Roman" w:cs="Times New Roman"/>
                <w:noProof/>
                <w:sz w:val="24"/>
                <w:szCs w:val="24"/>
                <w:lang w:val="en-GB"/>
              </w:rPr>
            </w:pPr>
          </w:p>
        </w:tc>
        <w:tc>
          <w:tcPr>
            <w:tcW w:w="1200" w:type="dxa"/>
            <w:shd w:val="clear" w:color="auto" w:fill="C6EFCE"/>
            <w:noWrap/>
          </w:tcPr>
          <w:p w14:paraId="2FB2F1CE" w14:textId="77777777" w:rsidR="001C33F0" w:rsidRPr="000A27B3" w:rsidRDefault="001C33F0">
            <w:pPr>
              <w:spacing w:after="0" w:line="240" w:lineRule="auto"/>
              <w:rPr>
                <w:rFonts w:ascii="Times New Roman" w:hAnsi="Times New Roman" w:cs="Times New Roman"/>
                <w:noProof/>
                <w:sz w:val="24"/>
                <w:szCs w:val="24"/>
                <w:lang w:val="en-GB"/>
              </w:rPr>
            </w:pPr>
          </w:p>
        </w:tc>
        <w:tc>
          <w:tcPr>
            <w:tcW w:w="1091" w:type="dxa"/>
            <w:shd w:val="clear" w:color="auto" w:fill="C6EFCE"/>
          </w:tcPr>
          <w:p w14:paraId="7EF346A5" w14:textId="77777777" w:rsidR="001C33F0" w:rsidRPr="000A27B3" w:rsidRDefault="001C33F0">
            <w:pPr>
              <w:spacing w:after="0" w:line="240" w:lineRule="auto"/>
              <w:rPr>
                <w:rFonts w:ascii="Times New Roman" w:hAnsi="Times New Roman" w:cs="Times New Roman"/>
                <w:noProof/>
                <w:sz w:val="24"/>
                <w:szCs w:val="24"/>
                <w:lang w:val="en-GB"/>
              </w:rPr>
            </w:pPr>
          </w:p>
        </w:tc>
        <w:tc>
          <w:tcPr>
            <w:tcW w:w="1309" w:type="dxa"/>
            <w:shd w:val="clear" w:color="auto" w:fill="C6EFCE"/>
            <w:noWrap/>
          </w:tcPr>
          <w:p w14:paraId="55EA2DD6"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13ED5B5D" w14:textId="77777777" w:rsidR="001C33F0" w:rsidRPr="000A27B3" w:rsidRDefault="001C33F0">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041" w:type="dxa"/>
            <w:shd w:val="clear" w:color="auto" w:fill="C6EFCE"/>
            <w:noWrap/>
          </w:tcPr>
          <w:p w14:paraId="13D6B27D"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unei noi legi privind dialogul social, negociată cu partenerii sociali. Legea va remedia deficiențele procesului de dialog social, astfel cum au fost evidențiate în recomandarea specifică de țară relevantă, și va fi în conformitate cu recomandările Organizației Internaționale a Muncii emise în aprilie 2018 și menționate în considerentul 25 din recomandările specifice de țară pentru 2020. De asemenea, legea va prevedea o revizuire a definiției sectoarelor economice ca bază pentru contractele colective la nivel de sector. </w:t>
            </w:r>
          </w:p>
        </w:tc>
      </w:tr>
      <w:tr w:rsidR="000A27B3" w:rsidRPr="000A27B3" w14:paraId="2AD4604C" w14:textId="77777777" w:rsidTr="00B74F9A">
        <w:trPr>
          <w:trHeight w:val="309"/>
        </w:trPr>
        <w:tc>
          <w:tcPr>
            <w:tcW w:w="822" w:type="dxa"/>
            <w:shd w:val="clear" w:color="auto" w:fill="C6EFCE"/>
            <w:noWrap/>
          </w:tcPr>
          <w:p w14:paraId="04D23828" w14:textId="77777777" w:rsidR="001C33F0" w:rsidRPr="000A27B3" w:rsidRDefault="001C33F0">
            <w:pPr>
              <w:spacing w:after="0" w:line="240" w:lineRule="auto"/>
              <w:jc w:val="center"/>
              <w:rPr>
                <w:rFonts w:ascii="Times New Roman" w:hAnsi="Times New Roman" w:cs="Times New Roman"/>
                <w:noProof/>
                <w:sz w:val="24"/>
              </w:rPr>
            </w:pPr>
            <w:r>
              <w:rPr>
                <w:rFonts w:ascii="Times New Roman" w:hAnsi="Times New Roman"/>
                <w:noProof/>
                <w:sz w:val="24"/>
              </w:rPr>
              <w:t>450</w:t>
            </w:r>
          </w:p>
        </w:tc>
        <w:tc>
          <w:tcPr>
            <w:tcW w:w="2391" w:type="dxa"/>
            <w:shd w:val="clear" w:color="auto" w:fill="C6EFCE"/>
            <w:noWrap/>
          </w:tcPr>
          <w:p w14:paraId="0FC0FF85" w14:textId="623B654B"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Investiția 5.</w:t>
            </w:r>
            <w:r w:rsidR="004C4C72">
              <w:rPr>
                <w:rFonts w:ascii="Times New Roman" w:hAnsi="Times New Roman"/>
                <w:noProof/>
                <w:sz w:val="24"/>
              </w:rPr>
              <w:t xml:space="preserve"> </w:t>
            </w:r>
            <w:r>
              <w:rPr>
                <w:rFonts w:ascii="Times New Roman" w:hAnsi="Times New Roman"/>
                <w:noProof/>
                <w:sz w:val="24"/>
              </w:rPr>
              <w:t>Monitorizarea și implementarea planului</w:t>
            </w:r>
          </w:p>
          <w:p w14:paraId="7A175280" w14:textId="77777777" w:rsidR="001C33F0" w:rsidRPr="000A27B3" w:rsidRDefault="001C33F0">
            <w:pPr>
              <w:spacing w:after="0" w:line="240" w:lineRule="auto"/>
              <w:jc w:val="both"/>
              <w:rPr>
                <w:rFonts w:ascii="Times New Roman" w:hAnsi="Times New Roman" w:cs="Times New Roman"/>
                <w:noProof/>
                <w:sz w:val="24"/>
                <w:lang w:val="en-GB"/>
              </w:rPr>
            </w:pPr>
          </w:p>
        </w:tc>
        <w:tc>
          <w:tcPr>
            <w:tcW w:w="1226" w:type="dxa"/>
            <w:shd w:val="clear" w:color="auto" w:fill="C6EFCE"/>
            <w:noWrap/>
          </w:tcPr>
          <w:p w14:paraId="6BC4F9C0" w14:textId="77777777" w:rsidR="001C33F0" w:rsidRPr="000A27B3" w:rsidRDefault="001C33F0">
            <w:pPr>
              <w:spacing w:after="0" w:line="240" w:lineRule="auto"/>
              <w:rPr>
                <w:rFonts w:ascii="Times New Roman" w:hAnsi="Times New Roman" w:cs="Times New Roman"/>
                <w:noProof/>
                <w:sz w:val="24"/>
              </w:rPr>
            </w:pPr>
            <w:r>
              <w:rPr>
                <w:rFonts w:ascii="Times New Roman" w:hAnsi="Times New Roman"/>
                <w:noProof/>
                <w:sz w:val="24"/>
              </w:rPr>
              <w:t>Jalon</w:t>
            </w:r>
          </w:p>
        </w:tc>
        <w:tc>
          <w:tcPr>
            <w:tcW w:w="1495" w:type="dxa"/>
            <w:shd w:val="clear" w:color="auto" w:fill="C6EFCE"/>
            <w:noWrap/>
          </w:tcPr>
          <w:p w14:paraId="7EAE2153"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Audit și controale: informații pentru monitorizarea implementării planului de redresare și reziliență</w:t>
            </w:r>
          </w:p>
        </w:tc>
        <w:tc>
          <w:tcPr>
            <w:tcW w:w="1547" w:type="dxa"/>
            <w:shd w:val="clear" w:color="auto" w:fill="C6EFCE"/>
            <w:noWrap/>
          </w:tcPr>
          <w:p w14:paraId="7941609D" w14:textId="56476920"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Raport de audit care confirmă funcționalitățile sistemului de registre </w:t>
            </w:r>
          </w:p>
        </w:tc>
        <w:tc>
          <w:tcPr>
            <w:tcW w:w="1034" w:type="dxa"/>
            <w:shd w:val="clear" w:color="auto" w:fill="C6EFCE"/>
            <w:noWrap/>
          </w:tcPr>
          <w:p w14:paraId="5C2463CA" w14:textId="77777777" w:rsidR="001C33F0" w:rsidRPr="009F1DC7" w:rsidRDefault="001C33F0">
            <w:pPr>
              <w:spacing w:after="0" w:line="240" w:lineRule="auto"/>
              <w:rPr>
                <w:rFonts w:ascii="Times New Roman" w:hAnsi="Times New Roman" w:cs="Times New Roman"/>
                <w:noProof/>
                <w:sz w:val="24"/>
                <w:szCs w:val="24"/>
                <w:lang w:val="fr-FR"/>
              </w:rPr>
            </w:pPr>
          </w:p>
        </w:tc>
        <w:tc>
          <w:tcPr>
            <w:tcW w:w="1200" w:type="dxa"/>
            <w:shd w:val="clear" w:color="auto" w:fill="C6EFCE"/>
            <w:noWrap/>
          </w:tcPr>
          <w:p w14:paraId="7B1526DA" w14:textId="77777777" w:rsidR="001C33F0" w:rsidRPr="009F1DC7" w:rsidRDefault="001C33F0">
            <w:pPr>
              <w:spacing w:after="0" w:line="240" w:lineRule="auto"/>
              <w:rPr>
                <w:rFonts w:ascii="Times New Roman" w:hAnsi="Times New Roman" w:cs="Times New Roman"/>
                <w:noProof/>
                <w:sz w:val="24"/>
                <w:szCs w:val="24"/>
                <w:lang w:val="fr-FR"/>
              </w:rPr>
            </w:pPr>
          </w:p>
        </w:tc>
        <w:tc>
          <w:tcPr>
            <w:tcW w:w="1091" w:type="dxa"/>
            <w:shd w:val="clear" w:color="auto" w:fill="C6EFCE"/>
          </w:tcPr>
          <w:p w14:paraId="75807DAA" w14:textId="77777777" w:rsidR="001C33F0" w:rsidRPr="009F1DC7" w:rsidRDefault="001C33F0">
            <w:pPr>
              <w:spacing w:after="0" w:line="240" w:lineRule="auto"/>
              <w:rPr>
                <w:rFonts w:ascii="Times New Roman" w:hAnsi="Times New Roman" w:cs="Times New Roman"/>
                <w:noProof/>
                <w:sz w:val="24"/>
                <w:szCs w:val="24"/>
                <w:lang w:val="fr-FR"/>
              </w:rPr>
            </w:pPr>
          </w:p>
        </w:tc>
        <w:tc>
          <w:tcPr>
            <w:tcW w:w="1309" w:type="dxa"/>
            <w:shd w:val="clear" w:color="auto" w:fill="C6EFCE"/>
            <w:noWrap/>
          </w:tcPr>
          <w:p w14:paraId="5D61E85A"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101BBFCE"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2021</w:t>
            </w:r>
          </w:p>
        </w:tc>
        <w:tc>
          <w:tcPr>
            <w:tcW w:w="3041" w:type="dxa"/>
            <w:shd w:val="clear" w:color="auto" w:fill="C6EFCE"/>
            <w:noWrap/>
          </w:tcPr>
          <w:p w14:paraId="139A0606" w14:textId="77777777" w:rsidR="001C33F0" w:rsidRPr="000A27B3" w:rsidRDefault="001C33F0">
            <w:pPr>
              <w:spacing w:after="0"/>
              <w:jc w:val="both"/>
              <w:rPr>
                <w:rFonts w:ascii="Times New Roman" w:hAnsi="Times New Roman" w:cs="Times New Roman"/>
                <w:noProof/>
                <w:sz w:val="24"/>
              </w:rPr>
            </w:pPr>
            <w:r>
              <w:rPr>
                <w:rFonts w:ascii="Times New Roman" w:hAnsi="Times New Roman"/>
                <w:noProof/>
                <w:sz w:val="24"/>
              </w:rPr>
              <w:t xml:space="preserve">Un sistem de registre pentru monitorizarea punerii în aplicare a planului de redresare și reziliență va deveni operațional înainte de prima cerere de plată (cu excepția prefinanțării). </w:t>
            </w:r>
          </w:p>
          <w:p w14:paraId="16E5D2E6" w14:textId="77777777" w:rsidR="001C33F0" w:rsidRPr="000A27B3" w:rsidRDefault="001C33F0">
            <w:pPr>
              <w:spacing w:after="0"/>
              <w:jc w:val="both"/>
              <w:rPr>
                <w:rFonts w:ascii="Times New Roman" w:hAnsi="Times New Roman" w:cs="Times New Roman"/>
                <w:noProof/>
                <w:sz w:val="24"/>
                <w:szCs w:val="24"/>
              </w:rPr>
            </w:pPr>
            <w:r>
              <w:rPr>
                <w:rFonts w:ascii="Times New Roman" w:hAnsi="Times New Roman"/>
                <w:noProof/>
                <w:sz w:val="24"/>
              </w:rPr>
              <w:t>Sistemul va include cel puțin următoarele funcționalități:</w:t>
            </w:r>
          </w:p>
          <w:p w14:paraId="09D8764F" w14:textId="77777777" w:rsidR="001C33F0" w:rsidRPr="000A27B3" w:rsidRDefault="001C33F0">
            <w:pPr>
              <w:spacing w:after="0"/>
              <w:jc w:val="both"/>
              <w:rPr>
                <w:rFonts w:ascii="Times New Roman" w:hAnsi="Times New Roman" w:cs="Times New Roman"/>
                <w:noProof/>
                <w:sz w:val="24"/>
                <w:szCs w:val="24"/>
              </w:rPr>
            </w:pPr>
            <w:r>
              <w:rPr>
                <w:rFonts w:ascii="Times New Roman" w:hAnsi="Times New Roman"/>
                <w:noProof/>
                <w:sz w:val="24"/>
              </w:rPr>
              <w:t>(a) colectarea de date și monitorizarea îndeplinirii jaloanelor și a țintelor;</w:t>
            </w:r>
          </w:p>
          <w:p w14:paraId="503F6361" w14:textId="77777777" w:rsidR="001C33F0" w:rsidRPr="000A27B3" w:rsidRDefault="001C33F0">
            <w:pPr>
              <w:spacing w:after="0" w:line="240" w:lineRule="auto"/>
              <w:jc w:val="both"/>
              <w:rPr>
                <w:rFonts w:ascii="Times New Roman" w:hAnsi="Times New Roman" w:cs="Times New Roman"/>
                <w:noProof/>
                <w:sz w:val="24"/>
                <w:szCs w:val="24"/>
              </w:rPr>
            </w:pPr>
            <w:r>
              <w:rPr>
                <w:rFonts w:ascii="Times New Roman" w:hAnsi="Times New Roman"/>
                <w:noProof/>
                <w:sz w:val="24"/>
              </w:rPr>
              <w:t>(b) colectarea, stocarea și asigurarea accesului la datele prevăzute la articolul 22 alineatul (2) litera (d) punctele (i)-(iii) din Regulamentul privind Mecanismul de redresare și reziliență.</w:t>
            </w:r>
          </w:p>
        </w:tc>
      </w:tr>
      <w:tr w:rsidR="000A27B3" w:rsidRPr="000A27B3" w14:paraId="6D2B523E" w14:textId="77777777" w:rsidTr="00B74F9A">
        <w:trPr>
          <w:trHeight w:val="309"/>
        </w:trPr>
        <w:tc>
          <w:tcPr>
            <w:tcW w:w="822" w:type="dxa"/>
            <w:shd w:val="clear" w:color="auto" w:fill="C6EFCE"/>
            <w:noWrap/>
          </w:tcPr>
          <w:p w14:paraId="307F1834" w14:textId="77777777" w:rsidR="001C33F0" w:rsidRPr="000A27B3" w:rsidRDefault="001C33F0">
            <w:pPr>
              <w:spacing w:after="0" w:line="240" w:lineRule="auto"/>
              <w:jc w:val="center"/>
              <w:rPr>
                <w:rFonts w:ascii="Times New Roman" w:hAnsi="Times New Roman" w:cs="Times New Roman"/>
                <w:noProof/>
                <w:sz w:val="24"/>
              </w:rPr>
            </w:pPr>
            <w:r>
              <w:rPr>
                <w:rFonts w:ascii="Times New Roman" w:hAnsi="Times New Roman"/>
                <w:noProof/>
                <w:sz w:val="24"/>
              </w:rPr>
              <w:t>451</w:t>
            </w:r>
          </w:p>
        </w:tc>
        <w:tc>
          <w:tcPr>
            <w:tcW w:w="2391" w:type="dxa"/>
            <w:shd w:val="clear" w:color="auto" w:fill="C6EFCE"/>
            <w:noWrap/>
          </w:tcPr>
          <w:p w14:paraId="16D05F81"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 xml:space="preserve">Investiția 5. Monitorizarea și implementarea planului </w:t>
            </w:r>
          </w:p>
        </w:tc>
        <w:tc>
          <w:tcPr>
            <w:tcW w:w="1226" w:type="dxa"/>
            <w:shd w:val="clear" w:color="auto" w:fill="C6EFCE"/>
            <w:noWrap/>
          </w:tcPr>
          <w:p w14:paraId="52EC9ED2" w14:textId="77777777" w:rsidR="001C33F0" w:rsidRPr="000A27B3" w:rsidRDefault="001C33F0">
            <w:pPr>
              <w:spacing w:after="0" w:line="240" w:lineRule="auto"/>
              <w:rPr>
                <w:rFonts w:ascii="Times New Roman" w:hAnsi="Times New Roman" w:cs="Times New Roman"/>
                <w:noProof/>
                <w:sz w:val="24"/>
              </w:rPr>
            </w:pPr>
            <w:r>
              <w:rPr>
                <w:rFonts w:ascii="Times New Roman" w:hAnsi="Times New Roman"/>
                <w:noProof/>
                <w:sz w:val="24"/>
              </w:rPr>
              <w:t>Jalon</w:t>
            </w:r>
          </w:p>
        </w:tc>
        <w:tc>
          <w:tcPr>
            <w:tcW w:w="1495" w:type="dxa"/>
            <w:shd w:val="clear" w:color="auto" w:fill="C6EFCE"/>
            <w:noWrap/>
          </w:tcPr>
          <w:p w14:paraId="5A95B8A7"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Intrarea în vigoare a unei ordonanțe a guvernului privind stabilirea mandatului legal al Ministerului Investițiilor și Proiectelor Europene (MIPE), al Ministerului Finanțelor și al Autorității de Audit</w:t>
            </w:r>
          </w:p>
        </w:tc>
        <w:tc>
          <w:tcPr>
            <w:tcW w:w="1547" w:type="dxa"/>
            <w:shd w:val="clear" w:color="auto" w:fill="C6EFCE"/>
            <w:noWrap/>
          </w:tcPr>
          <w:p w14:paraId="3CD9BAC1"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Dispoziție legală care indică intrarea în vigoare a Ordonanței de urgență a Guvernului privind mecanismul financiar, de implementare, de control și de audit, inclusiv un mandat clar pentru cele trei instituții.</w:t>
            </w:r>
          </w:p>
        </w:tc>
        <w:tc>
          <w:tcPr>
            <w:tcW w:w="1034" w:type="dxa"/>
            <w:shd w:val="clear" w:color="auto" w:fill="C6EFCE"/>
            <w:noWrap/>
          </w:tcPr>
          <w:p w14:paraId="07DE6106" w14:textId="77777777" w:rsidR="001C33F0" w:rsidRPr="009F1DC7" w:rsidRDefault="001C33F0">
            <w:pPr>
              <w:spacing w:after="0" w:line="240" w:lineRule="auto"/>
              <w:rPr>
                <w:rFonts w:ascii="Times New Roman" w:hAnsi="Times New Roman" w:cs="Times New Roman"/>
                <w:noProof/>
                <w:sz w:val="24"/>
                <w:szCs w:val="24"/>
                <w:lang w:val="fr-FR"/>
              </w:rPr>
            </w:pPr>
          </w:p>
        </w:tc>
        <w:tc>
          <w:tcPr>
            <w:tcW w:w="1200" w:type="dxa"/>
            <w:shd w:val="clear" w:color="auto" w:fill="C6EFCE"/>
            <w:noWrap/>
          </w:tcPr>
          <w:p w14:paraId="793CCDA9" w14:textId="77777777" w:rsidR="001C33F0" w:rsidRPr="009F1DC7" w:rsidRDefault="001C33F0">
            <w:pPr>
              <w:spacing w:after="0" w:line="240" w:lineRule="auto"/>
              <w:rPr>
                <w:rFonts w:ascii="Times New Roman" w:hAnsi="Times New Roman" w:cs="Times New Roman"/>
                <w:noProof/>
                <w:sz w:val="24"/>
                <w:szCs w:val="24"/>
                <w:lang w:val="fr-FR"/>
              </w:rPr>
            </w:pPr>
          </w:p>
        </w:tc>
        <w:tc>
          <w:tcPr>
            <w:tcW w:w="1091" w:type="dxa"/>
            <w:shd w:val="clear" w:color="auto" w:fill="C6EFCE"/>
          </w:tcPr>
          <w:p w14:paraId="2CAACC39" w14:textId="77777777" w:rsidR="001C33F0" w:rsidRPr="009F1DC7" w:rsidRDefault="001C33F0">
            <w:pPr>
              <w:spacing w:after="0" w:line="240" w:lineRule="auto"/>
              <w:rPr>
                <w:rFonts w:ascii="Times New Roman" w:hAnsi="Times New Roman" w:cs="Times New Roman"/>
                <w:noProof/>
                <w:sz w:val="24"/>
                <w:szCs w:val="24"/>
                <w:lang w:val="fr-FR"/>
              </w:rPr>
            </w:pPr>
          </w:p>
        </w:tc>
        <w:tc>
          <w:tcPr>
            <w:tcW w:w="1309" w:type="dxa"/>
            <w:shd w:val="clear" w:color="auto" w:fill="C6EFCE"/>
            <w:noWrap/>
          </w:tcPr>
          <w:p w14:paraId="2F697C0D" w14:textId="77777777" w:rsidR="001C33F0" w:rsidRPr="000A27B3" w:rsidRDefault="001C33F0">
            <w:pPr>
              <w:spacing w:after="0" w:line="240" w:lineRule="auto"/>
              <w:rPr>
                <w:rFonts w:ascii="Times New Roman" w:hAnsi="Times New Roman" w:cs="Times New Roman"/>
                <w:noProof/>
                <w:sz w:val="24"/>
                <w:szCs w:val="24"/>
              </w:rPr>
            </w:pPr>
            <w:r>
              <w:rPr>
                <w:rFonts w:ascii="Times New Roman" w:hAnsi="Times New Roman"/>
                <w:noProof/>
                <w:sz w:val="24"/>
              </w:rPr>
              <w:t>T4</w:t>
            </w:r>
          </w:p>
        </w:tc>
        <w:tc>
          <w:tcPr>
            <w:tcW w:w="720" w:type="dxa"/>
            <w:shd w:val="clear" w:color="auto" w:fill="C6EFCE"/>
            <w:noWrap/>
          </w:tcPr>
          <w:p w14:paraId="7CC8D44A" w14:textId="77777777" w:rsidR="001C33F0" w:rsidRPr="000A27B3" w:rsidRDefault="001C33F0">
            <w:pPr>
              <w:spacing w:after="0" w:line="240" w:lineRule="auto"/>
              <w:jc w:val="center"/>
              <w:rPr>
                <w:rFonts w:ascii="Times New Roman" w:hAnsi="Times New Roman" w:cs="Times New Roman"/>
                <w:noProof/>
                <w:sz w:val="24"/>
              </w:rPr>
            </w:pPr>
            <w:r>
              <w:rPr>
                <w:rFonts w:ascii="Times New Roman" w:hAnsi="Times New Roman"/>
                <w:noProof/>
                <w:sz w:val="24"/>
              </w:rPr>
              <w:t>2021</w:t>
            </w:r>
          </w:p>
        </w:tc>
        <w:tc>
          <w:tcPr>
            <w:tcW w:w="3041" w:type="dxa"/>
            <w:shd w:val="clear" w:color="auto" w:fill="C6EFCE"/>
            <w:noWrap/>
          </w:tcPr>
          <w:p w14:paraId="3F85055B" w14:textId="77777777" w:rsidR="001C33F0" w:rsidRPr="000A27B3" w:rsidRDefault="001C33F0">
            <w:pPr>
              <w:spacing w:after="0" w:line="240" w:lineRule="auto"/>
              <w:jc w:val="both"/>
              <w:rPr>
                <w:rFonts w:ascii="Times New Roman" w:hAnsi="Times New Roman" w:cs="Times New Roman"/>
                <w:noProof/>
                <w:sz w:val="24"/>
              </w:rPr>
            </w:pPr>
            <w:r>
              <w:rPr>
                <w:rFonts w:ascii="Times New Roman" w:hAnsi="Times New Roman"/>
                <w:noProof/>
                <w:sz w:val="24"/>
              </w:rPr>
              <w:t>Intrarea în vigoare a unei ordonanțe a guvernului de adoptare a cadrului instituțional pentru planul național de redresare și reziliență și a activităților desfășurate de instituțiile componente care încredințează MIPE competența și mandatul de a exercita toate sarcinile de monitorizare, verificare, control și recuperare, de elaborare și de semnare a cererilor de plată transmise Comisiei Europene, a declarației de gestiune și a rezumatului auditului. Același cadru va încredința, de asemenea, Ministerului Finanțelor competența pentru sarcinile legate de semnarea acordului de împrumut și a acordului de finanțare împreună cu MIPE și, de asemenea, va specifica activitățile pe care autoritatea de audit le va desfășura în cadrul mandatului său pentru planul național de redresare și reziliență.</w:t>
            </w:r>
          </w:p>
        </w:tc>
      </w:tr>
    </w:tbl>
    <w:p w14:paraId="24079D62" w14:textId="32E6D6D2" w:rsidR="001C33F0" w:rsidRPr="000A27B3" w:rsidRDefault="00985176">
      <w:pPr>
        <w:spacing w:before="120" w:after="120" w:line="240" w:lineRule="auto"/>
        <w:ind w:left="850"/>
        <w:jc w:val="both"/>
        <w:rPr>
          <w:rFonts w:ascii="Times New Roman" w:hAnsi="Times New Roman" w:cs="Times New Roman"/>
          <w:noProof/>
          <w:sz w:val="24"/>
          <w:szCs w:val="24"/>
        </w:rPr>
        <w:sectPr w:rsidR="001C33F0" w:rsidRPr="000A27B3">
          <w:headerReference w:type="even" r:id="rId295"/>
          <w:headerReference w:type="default" r:id="rId296"/>
          <w:footerReference w:type="even" r:id="rId297"/>
          <w:footerReference w:type="default" r:id="rId298"/>
          <w:headerReference w:type="first" r:id="rId299"/>
          <w:footerReference w:type="first" r:id="rId300"/>
          <w:pgSz w:w="16839" w:h="11907" w:orient="landscape"/>
          <w:pgMar w:top="1417" w:right="1134" w:bottom="1417" w:left="1134" w:header="709" w:footer="709" w:gutter="0"/>
          <w:cols w:space="720"/>
          <w:docGrid w:linePitch="360"/>
        </w:sectPr>
      </w:pPr>
      <w:r>
        <w:rPr>
          <w:noProof/>
        </w:rPr>
        <w:br w:type="textWrapping" w:clear="all"/>
      </w:r>
    </w:p>
    <w:p w14:paraId="34258CFE" w14:textId="77777777" w:rsidR="002B1133" w:rsidRPr="000A27B3" w:rsidRDefault="002B1133" w:rsidP="002B1133">
      <w:pPr>
        <w:keepNext/>
        <w:numPr>
          <w:ilvl w:val="0"/>
          <w:numId w:val="1"/>
        </w:numPr>
        <w:tabs>
          <w:tab w:val="left" w:pos="850"/>
        </w:tabs>
        <w:spacing w:before="360" w:after="120" w:line="240" w:lineRule="auto"/>
        <w:ind w:left="1271"/>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15: Educație</w:t>
      </w:r>
    </w:p>
    <w:p w14:paraId="1F9EBDA6" w14:textId="16B56A1F"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componentă a Planului de redresare și reziliență al României constă din 6</w:t>
      </w:r>
      <w:r w:rsidR="00B74F9A">
        <w:rPr>
          <w:rFonts w:ascii="Times New Roman" w:hAnsi="Times New Roman"/>
          <w:noProof/>
          <w:sz w:val="24"/>
        </w:rPr>
        <w:t> </w:t>
      </w:r>
      <w:r>
        <w:rPr>
          <w:rFonts w:ascii="Times New Roman" w:hAnsi="Times New Roman"/>
          <w:noProof/>
          <w:sz w:val="24"/>
        </w:rPr>
        <w:t>subcomponente care abordează principalele provocări din sistemul de educație. Subcomponentele se înscriu în proiectul „România Educată”, care este strategia globală pentru reformarea sistemului de educație din România. Subcomponentele sunt enumerate mai jos.</w:t>
      </w:r>
    </w:p>
    <w:p w14:paraId="27DE46D3" w14:textId="77777777" w:rsidR="002B1133" w:rsidRPr="000A27B3" w:rsidRDefault="002B1133" w:rsidP="002B1133">
      <w:pPr>
        <w:numPr>
          <w:ilvl w:val="5"/>
          <w:numId w:val="104"/>
        </w:numPr>
        <w:spacing w:before="120" w:after="120" w:line="240" w:lineRule="auto"/>
        <w:ind w:left="425"/>
        <w:jc w:val="both"/>
        <w:rPr>
          <w:rFonts w:ascii="Times New Roman" w:hAnsi="Times New Roman" w:cs="Times New Roman"/>
          <w:noProof/>
          <w:sz w:val="24"/>
        </w:rPr>
      </w:pPr>
      <w:r>
        <w:rPr>
          <w:rFonts w:ascii="Times New Roman" w:hAnsi="Times New Roman"/>
          <w:noProof/>
          <w:sz w:val="24"/>
        </w:rPr>
        <w:t xml:space="preserve">Educația și îngrijirea copiilor preșcolari: dezvoltarea unui sistem unitar, favorabil incluziunii și de calitate de educație și îngrijire a copiilor preșcolari, care să îmbunătățească accesul și participarea copiilor cu vârste cuprinse între 0 și 6 ani, pe baza unui mecanism eficient de cooperare inter-instituțională și de coordonare intersectorială. </w:t>
      </w:r>
    </w:p>
    <w:p w14:paraId="154FC500" w14:textId="77777777" w:rsidR="002B1133" w:rsidRPr="000A27B3" w:rsidRDefault="002B1133" w:rsidP="002B1133">
      <w:pPr>
        <w:numPr>
          <w:ilvl w:val="5"/>
          <w:numId w:val="104"/>
        </w:numPr>
        <w:spacing w:before="120" w:after="120" w:line="240" w:lineRule="auto"/>
        <w:ind w:left="425"/>
        <w:jc w:val="both"/>
        <w:rPr>
          <w:rFonts w:ascii="Times New Roman" w:hAnsi="Times New Roman" w:cs="Times New Roman"/>
          <w:noProof/>
          <w:sz w:val="24"/>
        </w:rPr>
      </w:pPr>
      <w:r>
        <w:rPr>
          <w:rFonts w:ascii="Times New Roman" w:hAnsi="Times New Roman"/>
          <w:noProof/>
          <w:sz w:val="24"/>
        </w:rPr>
        <w:t xml:space="preserve">Părăsirea timpurie a școlii: reforma învățământului obligatoriu prin creșterea autonomiei școlilor pentru a preveni și a reduce părăsirea timpurie a școlii, prin programe de incluziune socială și prin asigurarea egalității de șanse; </w:t>
      </w:r>
    </w:p>
    <w:p w14:paraId="30455B41" w14:textId="77777777" w:rsidR="002B1133" w:rsidRPr="000A27B3" w:rsidRDefault="002B1133" w:rsidP="002B1133">
      <w:pPr>
        <w:numPr>
          <w:ilvl w:val="5"/>
          <w:numId w:val="104"/>
        </w:numPr>
        <w:spacing w:before="120" w:after="120" w:line="240" w:lineRule="auto"/>
        <w:ind w:left="425"/>
        <w:jc w:val="both"/>
        <w:rPr>
          <w:rFonts w:ascii="Times New Roman" w:hAnsi="Times New Roman" w:cs="Times New Roman"/>
          <w:noProof/>
          <w:sz w:val="24"/>
        </w:rPr>
      </w:pPr>
      <w:r>
        <w:rPr>
          <w:rFonts w:ascii="Times New Roman" w:hAnsi="Times New Roman"/>
          <w:noProof/>
          <w:sz w:val="24"/>
        </w:rPr>
        <w:t xml:space="preserve">Educație și formare profesională și învățământ dual: crearea unei rute profesionale complete pentru învățământul tehnic superior; </w:t>
      </w:r>
    </w:p>
    <w:p w14:paraId="6FCAA6AD" w14:textId="77777777" w:rsidR="002B1133" w:rsidRPr="000A27B3" w:rsidRDefault="002B1133" w:rsidP="002B1133">
      <w:pPr>
        <w:numPr>
          <w:ilvl w:val="5"/>
          <w:numId w:val="104"/>
        </w:numPr>
        <w:spacing w:before="120" w:after="120" w:line="240" w:lineRule="auto"/>
        <w:ind w:left="425"/>
        <w:jc w:val="both"/>
        <w:rPr>
          <w:rFonts w:ascii="Times New Roman" w:hAnsi="Times New Roman" w:cs="Times New Roman"/>
          <w:noProof/>
          <w:sz w:val="24"/>
        </w:rPr>
      </w:pPr>
      <w:r>
        <w:rPr>
          <w:rFonts w:ascii="Times New Roman" w:hAnsi="Times New Roman"/>
          <w:noProof/>
          <w:sz w:val="24"/>
        </w:rPr>
        <w:t xml:space="preserve">Digitalizarea educației: digitalizarea procesului educațional, inclusiv prin modificări ale cadrului juridic, pentru a permite abordări integrate și îmbunătățirea competențelor digitale atât pentru elevi, cât și pentru profesoridigitalizarea procesului educațional, inclusiv prin modificări ale cadrului juridic, pentru a permite abordări integrate și îmbunătățirea competențelor digitale atât pentru elevi, cât și pentru profesori. </w:t>
      </w:r>
    </w:p>
    <w:p w14:paraId="4C69216D" w14:textId="77777777" w:rsidR="002B1133" w:rsidRPr="000A27B3" w:rsidRDefault="002B1133" w:rsidP="002B1133">
      <w:pPr>
        <w:numPr>
          <w:ilvl w:val="5"/>
          <w:numId w:val="104"/>
        </w:numPr>
        <w:spacing w:before="120" w:after="120" w:line="240" w:lineRule="auto"/>
        <w:ind w:left="425"/>
        <w:jc w:val="both"/>
        <w:rPr>
          <w:rFonts w:ascii="Times New Roman" w:hAnsi="Times New Roman" w:cs="Times New Roman"/>
          <w:noProof/>
          <w:sz w:val="24"/>
          <w:szCs w:val="24"/>
        </w:rPr>
      </w:pPr>
      <w:r>
        <w:rPr>
          <w:rFonts w:ascii="Times New Roman" w:hAnsi="Times New Roman"/>
          <w:noProof/>
          <w:sz w:val="24"/>
        </w:rPr>
        <w:t>v.</w:t>
      </w:r>
      <w:r>
        <w:rPr>
          <w:rFonts w:ascii="Times New Roman" w:hAnsi="Times New Roman"/>
          <w:noProof/>
          <w:sz w:val="24"/>
        </w:rPr>
        <w:tab/>
        <w:t xml:space="preserve">Infrastructură: modernizarea infrastructurii școlare și universitare în zonele urbane și rurale, inclusiv prin modificarea și eficientizarea cadrului normativ pentru asigurarea standardelor de siguranță și calitate, prietenoase cu mediul; </w:t>
      </w:r>
    </w:p>
    <w:p w14:paraId="78341FB2" w14:textId="77777777" w:rsidR="002B1133" w:rsidRPr="000A27B3" w:rsidRDefault="002B1133" w:rsidP="002B1133">
      <w:pPr>
        <w:numPr>
          <w:ilvl w:val="5"/>
          <w:numId w:val="104"/>
        </w:numPr>
        <w:spacing w:before="120" w:after="120" w:line="240" w:lineRule="auto"/>
        <w:ind w:left="425"/>
        <w:jc w:val="both"/>
        <w:rPr>
          <w:rFonts w:ascii="Times New Roman" w:hAnsi="Times New Roman" w:cs="Times New Roman"/>
          <w:noProof/>
          <w:sz w:val="24"/>
        </w:rPr>
      </w:pPr>
      <w:r>
        <w:rPr>
          <w:rFonts w:ascii="Times New Roman" w:hAnsi="Times New Roman"/>
          <w:noProof/>
          <w:sz w:val="24"/>
        </w:rPr>
        <w:t>Guvernanța sistemului de învățământ: reforma guvernanței sistemului de învățământ preuniversitar și profesionalizarea managementului, cu o autonomie sporită a școlilor, astfel încât să se asigure stabilitatea, coerența și competența în organizarea acestora.</w:t>
      </w:r>
    </w:p>
    <w:p w14:paraId="02B0EC59"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Componenta include 6 reforme și 18 investiții, precum și o reformă globală pentru adoptarea legislației privind implementarea proiectului „România Educată”.</w:t>
      </w:r>
    </w:p>
    <w:p w14:paraId="5867CF66"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Componenta contribuie la abordarea recomandării specifice adresate României cu privire la ameliorarea calității și a caracterului incluziv al educației, în special pentru romi și alte grupuri defavorizate, precum și la îmbunătățirea competențelor, inclusiv a celor digitale, în special prin sporirea relevanței pe piața forței de muncă a educației și formării profesionale și a învățământului superior (recomandarea specifică nr. 3, 2019). De asemenea, componenta abordează recomandarea privind consolidarea competențelor și a învățării digitale și asigurarea accesului egal la educație (recomandarea specifică nr. 2, 2020).</w:t>
      </w:r>
    </w:p>
    <w:p w14:paraId="218C5752"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nicio măsură din cadrul acestei componente nu prejudiciază în mod semnificativ obiectivele de mediu în sensul articolului 17 din Regulamentul (UE) 2020/852, ținând seama de descrierea măsurilor și a etapelor de atenuare prevăzute în planul de redresare și reziliență în conformitate cu Orientările tehnice privind aplicarea principiului de „a nu prejudicia în mod semnificativ” („Orientările tehnice DNSH”) (2021/C58/01). </w:t>
      </w:r>
    </w:p>
    <w:p w14:paraId="1FFEB869" w14:textId="77777777" w:rsidR="002B1133" w:rsidRPr="000A27B3" w:rsidRDefault="002B1133">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O.1. </w:t>
      </w:r>
      <w:r>
        <w:rPr>
          <w:noProof/>
        </w:rPr>
        <w:tab/>
      </w:r>
      <w:r>
        <w:rPr>
          <w:rFonts w:ascii="Times New Roman" w:hAnsi="Times New Roman"/>
          <w:b/>
          <w:noProof/>
          <w:sz w:val="24"/>
        </w:rPr>
        <w:t>Descrierea reformelor și a investițiilor pentru care se prevede acordarea sprijinului financiar nerambursabil</w:t>
      </w:r>
    </w:p>
    <w:p w14:paraId="09F562E6"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Reforma 1. Elaborarea și adoptarea pachetului legislativ pentru implementarea proiectului „România Educată”</w:t>
      </w:r>
    </w:p>
    <w:p w14:paraId="25DFC15C"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adoptarea și intrarea în vigoare a pachetului legislativ pentru implementarea proiectului „România Educată”, care este strategia globală pentru reformarea sistemului de educație din România. Toate reformele și investițiile subsecvente fac parte integrantă din această strategie.</w:t>
      </w:r>
    </w:p>
    <w:p w14:paraId="1409BBEB" w14:textId="4576C28D"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cuprinde următoarele etape care vor conduce la adoptarea și intrarea în vigoare a pachetului legislativ pentru implementarea proiectului „România Educată”: constituirea unui grup de lucru interministerial coordonat de Primul Ministru, care va monitoriza implementarea proiectului; un ordin ministerial de aprobare a implementării planului de acțiune; și pregătirea pachetului legislativ în strânsă consultare cu principalele părți interesate.</w:t>
      </w:r>
    </w:p>
    <w:p w14:paraId="547AE383"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va fi finalizată până la 30 septembrie 2023.</w:t>
      </w:r>
    </w:p>
    <w:p w14:paraId="0976FAD3" w14:textId="77777777" w:rsidR="002B1133" w:rsidRPr="000A27B3" w:rsidRDefault="002B1133" w:rsidP="002B1133">
      <w:pPr>
        <w:numPr>
          <w:ilvl w:val="0"/>
          <w:numId w:val="105"/>
        </w:numPr>
        <w:spacing w:before="120" w:after="120" w:line="240" w:lineRule="auto"/>
        <w:ind w:left="567"/>
        <w:jc w:val="both"/>
        <w:rPr>
          <w:rFonts w:ascii="Times New Roman" w:hAnsi="Times New Roman" w:cs="Times New Roman"/>
          <w:noProof/>
          <w:sz w:val="24"/>
        </w:rPr>
      </w:pPr>
      <w:r>
        <w:rPr>
          <w:rFonts w:ascii="Times New Roman" w:hAnsi="Times New Roman"/>
          <w:noProof/>
          <w:sz w:val="24"/>
        </w:rPr>
        <w:t xml:space="preserve">Educația și îngrijirea copiilor preșcolari: </w:t>
      </w:r>
    </w:p>
    <w:p w14:paraId="34812926"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 xml:space="preserve">Reforma 2. Dezvoltarea unui sistem de servicii de educație timpurie unitar, incluziv și de calitate </w:t>
      </w:r>
    </w:p>
    <w:p w14:paraId="5A146EFE"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Obiectivul reformei este de a îmbunătăți accesul copiilor la educația și îngrijirea copiilor preșcolari de la naștere până la începutul învățământului primar, cu un accent deosebit pe copiii care provin din grupuri dezavantajate socioeconomic. </w:t>
      </w:r>
    </w:p>
    <w:p w14:paraId="5CF2FE75"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Reforma include adoptarea Programului-cadru intersectorial pentru dezvoltarea serviciilor de educație timpurie, ca servicii unitare, incluzive și de calitate, cu responsabilități clare pentru ministerele implicate (Ministerul Educației, Ministerul Muncii și Protecției Sociale, Ministerul Sănătății și Ministerul Dezvoltării, Lucrărilor Publice și Administrației), precum și planuri operaționale anuale de implementare. Programul-cadru intersectorial va fi adoptat printr-un ordin ministerial și va intra în vigoare până la 31 decembrie 2022.</w:t>
      </w:r>
    </w:p>
    <w:p w14:paraId="7118B5D4"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Reforma include, de asemenea, adoptarea unui cadru legislativ actualizat pentru înființarea, organizarea și funcționarea serviciilor complementare de educație timpurie. </w:t>
      </w:r>
    </w:p>
    <w:p w14:paraId="5C04725C"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Se preconizează că această reformă va crește rata de participare a copiilor cu vârste cuprinse între 0 și 3 ani la serviciile de educație timpurie la 19 % până la 31 decembrie 2025. În plus, se preconizează că rata de participare la serviciile educaționale a copiilor cu vârste cuprinse între 3 și 6 ani va crește la 91 % până la 31 decembrie 2025.</w:t>
      </w:r>
    </w:p>
    <w:p w14:paraId="31A42670"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va fi finalizată până la 31 decembrie 2025.</w:t>
      </w:r>
    </w:p>
    <w:p w14:paraId="01636990"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Această reformă va fi completată de 3 investiții conexe.</w:t>
      </w:r>
    </w:p>
    <w:p w14:paraId="5DD568BE"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1. Construirea, echiparea și operaționalizarea a 110 creșe</w:t>
      </w:r>
    </w:p>
    <w:p w14:paraId="5F201A0A"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spori capacitatea sistemului de educație timpurie prin crearea de creșe pentru a îmbunătăți accesul și participarea la servicii standard de educație și îngrijire timpurie. Investițiile implică construirea, echiparea și operaționalizarea la nivel național a 110 creșe eficiente din punct de vedere energetic, oferind un serviciu standard de educație timpurie la fiecare 5 000-10 000 de locuitori, pentru până la 4 500 de copii.</w:t>
      </w:r>
    </w:p>
    <w:p w14:paraId="6D93CED7" w14:textId="5DB89C19"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Cele 110 creșe, cu o capacitate cuprinsă între 40 și 110 locuri (în creșe de dimensiuni mici, medii și mari) vor fi construite de autoritățile publice locale. 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5A730CCF" w14:textId="211FDF5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investiție se va realiza prin atribuirea de granturi autorităților publice locale, cu distribuție teritorială, pentru creșe și servicii de educație și îngrijire timpurie. </w:t>
      </w:r>
    </w:p>
    <w:p w14:paraId="0ABF4109"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662EB5F5" w14:textId="77777777" w:rsidR="002B1133" w:rsidRPr="009F1DC7" w:rsidRDefault="002B1133">
      <w:pPr>
        <w:spacing w:before="120" w:after="120" w:line="240" w:lineRule="auto"/>
        <w:jc w:val="both"/>
        <w:rPr>
          <w:rFonts w:ascii="Times New Roman" w:hAnsi="Times New Roman" w:cs="Times New Roman"/>
          <w:noProof/>
          <w:sz w:val="24"/>
          <w:szCs w:val="24"/>
          <w:lang w:val="fr-FR"/>
        </w:rPr>
      </w:pPr>
    </w:p>
    <w:p w14:paraId="290760FB" w14:textId="05704572"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2. Înființarea, echiparea și operaționalizarea a 90 de servicii complementare pentru grupurile defavorizate</w:t>
      </w:r>
      <w:r>
        <w:rPr>
          <w:rFonts w:ascii="Times New Roman" w:hAnsi="Times New Roman"/>
          <w:noProof/>
          <w:u w:val="single"/>
        </w:rPr>
        <w:t xml:space="preserve"> </w:t>
      </w:r>
    </w:p>
    <w:p w14:paraId="1B204305" w14:textId="31DB6363"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crește capacitatea sistemului și a calității serviciilor de educație timpurie, de a îmbunătăți ratele de participare, atât la nivel antepreșcolar, cât și la nivel preșcolar, prin deservirea a aproximativ 4 500 de copii provenind din medii defavorizate.</w:t>
      </w:r>
    </w:p>
    <w:p w14:paraId="3FB7D562" w14:textId="77777777" w:rsidR="002B1133" w:rsidRPr="000A27B3" w:rsidRDefault="002B1133">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Investiția va include următoarele acțiuni:</w:t>
      </w:r>
    </w:p>
    <w:p w14:paraId="0A81DDC8" w14:textId="48809186" w:rsidR="002B1133" w:rsidRPr="000A27B3" w:rsidRDefault="002B1133" w:rsidP="002B1133">
      <w:pPr>
        <w:numPr>
          <w:ilvl w:val="0"/>
          <w:numId w:val="106"/>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elaborarea metodologiei pentru acordarea granturilor operatorilor publici și privați pentru înființarea și echiparea celor 90 de servicii complementare;</w:t>
      </w:r>
    </w:p>
    <w:p w14:paraId="3325F894" w14:textId="1F939825" w:rsidR="002B1133" w:rsidRPr="000A27B3" w:rsidRDefault="002B1133" w:rsidP="002B1133">
      <w:pPr>
        <w:numPr>
          <w:ilvl w:val="0"/>
          <w:numId w:val="106"/>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 xml:space="preserve">alocarea către operatorii publici și privați a granturilor pentru înființarea, echiparea și operaționalizarea celor 90 de servicii complementare; </w:t>
      </w:r>
    </w:p>
    <w:p w14:paraId="52BE2513" w14:textId="7C408D64" w:rsidR="002B1133" w:rsidRPr="000A27B3" w:rsidRDefault="002B1133" w:rsidP="002B1133">
      <w:pPr>
        <w:numPr>
          <w:ilvl w:val="0"/>
          <w:numId w:val="106"/>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finalizarea înființării, echipării și operaționalizării celor 90 de servicii complementare.</w:t>
      </w:r>
    </w:p>
    <w:p w14:paraId="63A1258A" w14:textId="77777777" w:rsidR="002B1133" w:rsidRPr="000A27B3" w:rsidRDefault="002B1133">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31 martie 2024.</w:t>
      </w:r>
    </w:p>
    <w:p w14:paraId="3829FE98"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3. Dezvoltarea programului-cadru pentru formarea continuă a profesioniștilor care lucrează în servicii de educație timpurii</w:t>
      </w:r>
    </w:p>
    <w:p w14:paraId="3E18D06E" w14:textId="537D403F"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profesionalizarea personalului care lucrează în domeniul serviciilor de educație timpurie în cadrul abordărilor promovate de Curriculumul de educație timpurie adoptat în 2019 și, de asemenea, profesionalizarea personalului în care monitorizează calitatea serviciilor de educație timpurie pentru copiii sub 3 ani.</w:t>
      </w:r>
    </w:p>
    <w:p w14:paraId="5900E32D"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consta în:</w:t>
      </w:r>
    </w:p>
    <w:p w14:paraId="12181FAD" w14:textId="77777777" w:rsidR="002B1133" w:rsidRPr="000A27B3" w:rsidRDefault="002B1133" w:rsidP="002B1133">
      <w:pPr>
        <w:numPr>
          <w:ilvl w:val="0"/>
          <w:numId w:val="107"/>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conceperea, atribuirea și punerea în aplicare a unui contract de asistență tehnică pentru pregătirea, acreditarea, derularea și monitorizarea a 2 programe de formare continuă, și anume:</w:t>
      </w:r>
    </w:p>
    <w:p w14:paraId="4283D9A8" w14:textId="77777777" w:rsidR="002B1133" w:rsidRPr="000A27B3" w:rsidRDefault="002B1133" w:rsidP="002B1133">
      <w:pPr>
        <w:numPr>
          <w:ilvl w:val="0"/>
          <w:numId w:val="108"/>
        </w:numPr>
        <w:spacing w:before="120" w:after="120" w:line="240" w:lineRule="auto"/>
        <w:ind w:left="851"/>
        <w:contextualSpacing/>
        <w:jc w:val="both"/>
        <w:rPr>
          <w:rFonts w:ascii="Times New Roman" w:hAnsi="Times New Roman" w:cs="Times New Roman"/>
          <w:noProof/>
          <w:sz w:val="24"/>
          <w:szCs w:val="24"/>
        </w:rPr>
      </w:pPr>
      <w:r>
        <w:rPr>
          <w:rFonts w:ascii="Times New Roman" w:hAnsi="Times New Roman"/>
          <w:noProof/>
          <w:sz w:val="24"/>
        </w:rPr>
        <w:t>un program de formare a formatorilor în domeniul educației timpurii: implementarea unei programe specifice, cu module pentru personalul didactic și nedidactic, inclusiv un modul de educație digitală;</w:t>
      </w:r>
    </w:p>
    <w:p w14:paraId="5741E982" w14:textId="77777777" w:rsidR="002B1133" w:rsidRPr="000A27B3" w:rsidRDefault="002B1133" w:rsidP="002B1133">
      <w:pPr>
        <w:numPr>
          <w:ilvl w:val="0"/>
          <w:numId w:val="108"/>
        </w:numPr>
        <w:spacing w:before="120" w:after="120" w:line="240" w:lineRule="auto"/>
        <w:ind w:left="851"/>
        <w:contextualSpacing/>
        <w:jc w:val="both"/>
        <w:rPr>
          <w:rFonts w:ascii="Times New Roman" w:hAnsi="Times New Roman" w:cs="Times New Roman"/>
          <w:noProof/>
          <w:sz w:val="24"/>
          <w:szCs w:val="24"/>
        </w:rPr>
      </w:pPr>
      <w:r>
        <w:rPr>
          <w:rFonts w:ascii="Times New Roman" w:hAnsi="Times New Roman"/>
          <w:noProof/>
          <w:sz w:val="24"/>
        </w:rPr>
        <w:t>un program de formare a formatorilor (din cele trei sectoare: social, educație și sănătate), pentru monitorizarea calității serviciilor de educație timpurie;</w:t>
      </w:r>
    </w:p>
    <w:p w14:paraId="16A7F426" w14:textId="77777777" w:rsidR="002B1133" w:rsidRPr="000A27B3" w:rsidRDefault="002B1133" w:rsidP="002B1133">
      <w:pPr>
        <w:numPr>
          <w:ilvl w:val="0"/>
          <w:numId w:val="107"/>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 xml:space="preserve">elaborarea metodologiei de acordare a 42 de granturi pentru furnizorii de formare în vederea derulării programelor de formare, utilizând formatori formați în temeiul contractului de asistență tehnică; </w:t>
      </w:r>
    </w:p>
    <w:p w14:paraId="444E1A10" w14:textId="77777777" w:rsidR="002B1133" w:rsidRPr="000A27B3" w:rsidRDefault="002B1133" w:rsidP="002B1133">
      <w:pPr>
        <w:numPr>
          <w:ilvl w:val="0"/>
          <w:numId w:val="107"/>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alocarea celor 42 de granturi pentru formarea a 19 950 de membri ai personalului (personal didactic și nedidactic, 475 pentru fiecare județ) care lucrează în cadrul serviciilor de educație timpurie standard și complementare, acordând prioritate celor din cadrul serviciilor nou-înființate.</w:t>
      </w:r>
    </w:p>
    <w:p w14:paraId="034AC3DD"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6648A5E9" w14:textId="77777777" w:rsidR="002B1133" w:rsidRPr="000A27B3" w:rsidRDefault="002B1133" w:rsidP="002B1133">
      <w:pPr>
        <w:numPr>
          <w:ilvl w:val="0"/>
          <w:numId w:val="105"/>
        </w:numPr>
        <w:spacing w:before="120" w:after="120" w:line="240" w:lineRule="auto"/>
        <w:ind w:left="567"/>
        <w:jc w:val="both"/>
        <w:rPr>
          <w:rFonts w:ascii="Times New Roman" w:hAnsi="Times New Roman" w:cs="Times New Roman"/>
          <w:noProof/>
          <w:sz w:val="24"/>
        </w:rPr>
      </w:pPr>
      <w:r>
        <w:rPr>
          <w:rFonts w:ascii="Times New Roman" w:hAnsi="Times New Roman"/>
          <w:noProof/>
          <w:sz w:val="24"/>
        </w:rPr>
        <w:t xml:space="preserve">Părăsirea timpurie a școlii: </w:t>
      </w:r>
    </w:p>
    <w:p w14:paraId="0C11D76F"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 xml:space="preserve">Reforma 3. Reforma sistemului de învățământ obligatoriu pentru prevenirea </w:t>
      </w:r>
      <w:r>
        <w:rPr>
          <w:rFonts w:ascii="Times New Roman" w:hAnsi="Times New Roman"/>
          <w:noProof/>
          <w:u w:val="single"/>
        </w:rPr>
        <w:t>și reducerea părăsirii timpurii a școlii</w:t>
      </w:r>
    </w:p>
    <w:p w14:paraId="23826424"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Obiectivele acestei reforme sunt (a) punerea în aplicare a Mecanismului de Avertizare Timpurie în Educație pentru a reduce absenteismul, a îmbunătăți rezultatele la evaluări, a obține o rată mai mare de participare la examenele naționale și un procent mai mare de elevi care finalizează învățământul obligatoriu, prin utilizarea unei abordări descentralizate și prin creșterea autonomiei școlilor în ceea ce privește utilizarea resurselor; și (b) monitorizarea, cu ajutorul instrumentului informatic al Mecanismului de Avertizare Timpurie în Educație, a elevilor cu risc de părăsire timpurie a școlii și sprijinirea unităților de învățământ în colectarea de date relevante, realizarea planurilor de activități individualizate și formare. </w:t>
      </w:r>
    </w:p>
    <w:p w14:paraId="5C487000" w14:textId="60829070"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Aceste obiective vor fi atinse prin intrarea în vigoare, până la 31 decembrie 2021, a unei Hotărâri de Guvern pentru implementarea Programului Național pentru abandon școlar și prin extinderea instrumentului informatic de avertizare timpurie în educație la nivel național, printr</w:t>
      </w:r>
      <w:r w:rsidR="00B74F9A">
        <w:rPr>
          <w:rFonts w:ascii="Times New Roman" w:hAnsi="Times New Roman"/>
          <w:noProof/>
          <w:sz w:val="24"/>
        </w:rPr>
        <w:t>­</w:t>
      </w:r>
      <w:r>
        <w:rPr>
          <w:rFonts w:ascii="Times New Roman" w:hAnsi="Times New Roman"/>
          <w:noProof/>
          <w:sz w:val="24"/>
        </w:rPr>
        <w:t>un ordin ministerial care va intra în vigoare la 31 decembrie 2022.</w:t>
      </w:r>
    </w:p>
    <w:p w14:paraId="61FD8F4F"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va fi finalizată până la 31 decembrie 2022.</w:t>
      </w:r>
    </w:p>
    <w:p w14:paraId="576FA556"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reformă va fi completată de 2 investiții conexe.</w:t>
      </w:r>
    </w:p>
    <w:p w14:paraId="7126B3B3" w14:textId="77777777" w:rsidR="002B1133" w:rsidRPr="000A27B3" w:rsidRDefault="002B1133">
      <w:pPr>
        <w:pStyle w:val="Standard"/>
        <w:spacing w:before="240"/>
        <w:jc w:val="both"/>
        <w:rPr>
          <w:rFonts w:ascii="Times New Roman" w:eastAsiaTheme="majorEastAsia" w:hAnsi="Times New Roman" w:cs="Times New Roman"/>
          <w:noProof/>
          <w:u w:val="single"/>
        </w:rPr>
      </w:pPr>
      <w:r>
        <w:rPr>
          <w:noProof/>
          <w:u w:val="single"/>
        </w:rPr>
        <w:t>Investiția 4. Sprijinirea unităților de învățământ cu risc mediu și ridicat de abandon școlar</w:t>
      </w:r>
    </w:p>
    <w:p w14:paraId="74C8C399" w14:textId="77777777" w:rsidR="002B1133" w:rsidRPr="000A27B3" w:rsidRDefault="002B1133">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Obiectivul acestei investiții este de a reduce părăsirea timpurie a școlii prin utilizarea metodologiei și a instrumentului informatic ale Mecanismului de Avertizare Timpurie în Educație pentru alocarea de resurse financiare școlilor pentru sprijinirea elevilor în vederea asigurării tranziției de la învățământul secundar inferior la cel superior. Obiectivul final este reducerea părăsirii timpurii a școlii.</w:t>
      </w:r>
    </w:p>
    <w:p w14:paraId="5504C23C"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se va realiza cu urmărirea următoarelor etape:</w:t>
      </w:r>
    </w:p>
    <w:p w14:paraId="329C692A" w14:textId="705721CC" w:rsidR="002B1133" w:rsidRPr="000A27B3" w:rsidRDefault="002B1133" w:rsidP="002B1133">
      <w:pPr>
        <w:numPr>
          <w:ilvl w:val="0"/>
          <w:numId w:val="109"/>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alocarea de granturi de 2 - 3 ani în 2 loturi pe parcursul anilor 2022 și 2024 unui număr minim de 2 500 de școli. Alocarea se va baza pe o listă restrânsă a instituțiilor cu risc de abandon școlar întocmită de Ministerul Educației și se va încheia până la 31 martie 2024.</w:t>
      </w:r>
    </w:p>
    <w:p w14:paraId="357B4348" w14:textId="0B31C392" w:rsidR="002B1133" w:rsidRPr="000A27B3" w:rsidRDefault="002B1133" w:rsidP="002B1133">
      <w:pPr>
        <w:numPr>
          <w:ilvl w:val="0"/>
          <w:numId w:val="109"/>
        </w:numPr>
        <w:spacing w:before="120" w:after="120" w:line="240" w:lineRule="auto"/>
        <w:ind w:left="425"/>
        <w:contextualSpacing/>
        <w:jc w:val="both"/>
        <w:rPr>
          <w:rFonts w:ascii="Times New Roman" w:hAnsi="Times New Roman" w:cs="Times New Roman"/>
          <w:noProof/>
          <w:sz w:val="24"/>
          <w:szCs w:val="24"/>
        </w:rPr>
      </w:pPr>
      <w:r>
        <w:rPr>
          <w:rFonts w:ascii="Times New Roman" w:hAnsi="Times New Roman"/>
          <w:noProof/>
          <w:sz w:val="24"/>
        </w:rPr>
        <w:t>Monitorizarea implementării prin intermediul a două obiective finale care prevăd o reducere de 25 % la nivel național a școlilor cu prioritate ridicată pe baza indicelui compozit de vulnerabilitate privind părăsirea timpurie a școlii la sfârșitul granturilor de 2</w:t>
      </w:r>
      <w:r w:rsidR="00B74F9A">
        <w:rPr>
          <w:rFonts w:ascii="Times New Roman" w:hAnsi="Times New Roman"/>
          <w:noProof/>
          <w:sz w:val="24"/>
        </w:rPr>
        <w:t>­</w:t>
      </w:r>
      <w:r>
        <w:rPr>
          <w:rFonts w:ascii="Times New Roman" w:hAnsi="Times New Roman"/>
          <w:noProof/>
          <w:sz w:val="24"/>
        </w:rPr>
        <w:t>3 ani (30 iunie 2026) și digitalizarea a 2 500 de școli incluse în programul privind abandonul școlar (30 septembrie 2024).</w:t>
      </w:r>
    </w:p>
    <w:p w14:paraId="54D0DE86"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iunie 2026.</w:t>
      </w:r>
    </w:p>
    <w:p w14:paraId="6BF58B73" w14:textId="77777777" w:rsidR="002B1133" w:rsidRPr="000A27B3" w:rsidRDefault="002B1133">
      <w:pPr>
        <w:pStyle w:val="Standard"/>
        <w:spacing w:before="240"/>
        <w:jc w:val="both"/>
        <w:rPr>
          <w:rFonts w:ascii="Times New Roman" w:eastAsiaTheme="majorEastAsia" w:hAnsi="Times New Roman" w:cs="Times New Roman"/>
          <w:noProof/>
          <w:u w:val="single"/>
        </w:rPr>
      </w:pPr>
      <w:r>
        <w:rPr>
          <w:noProof/>
          <w:u w:val="single"/>
        </w:rPr>
        <w:t>Investiția 5. Cursuri de formare a utilizatorilor Sistemului Informatic Integrat al Învățământului din România (SIIIR) și ai instrumentului informatic al mecanismului de avertizare timpurie (MATE) și intervenții sistemice pentru reducerea părăsirii timpurii a școlii</w:t>
      </w:r>
    </w:p>
    <w:p w14:paraId="45F3B3A3" w14:textId="77777777" w:rsidR="002B1133" w:rsidRPr="000A27B3" w:rsidRDefault="002B1133">
      <w:pPr>
        <w:pStyle w:val="Standard"/>
        <w:spacing w:before="240"/>
        <w:jc w:val="both"/>
        <w:rPr>
          <w:rFonts w:ascii="Times New Roman" w:hAnsi="Times New Roman" w:cs="Times New Roman"/>
          <w:noProof/>
        </w:rPr>
      </w:pPr>
      <w:r>
        <w:rPr>
          <w:rFonts w:ascii="Times New Roman" w:hAnsi="Times New Roman"/>
          <w:noProof/>
        </w:rPr>
        <w:t>Obiectivul acestei investiții este dezvoltarea și punerea în aplicare a unei formări pentru utilizatorii din școli ai Sistemului Informatic Integrat al Învățământului din România (SIIIR) și ai instrumentului informatic al mecanismului de avertizare timpurie (instrumentul informatic MATE). Modulele de formare vor fi adaptate la nevoile și competențele elevilor (educație favorabilă incluziunii), vor urma abordări didactice centrate pe elev și vor viza îmbunătățirea condițiilor de predare; furnizarea de cursuri de formare pentru utilizarea modulului informatic MATE; dezvoltarea și desfășurarea unor campanii de sensibilizare pentru elevi și profesori; îmbunătățirea competențelor socioemoționale ale elevilor pentru finalizarea învățământului obligatoriu.</w:t>
      </w:r>
    </w:p>
    <w:p w14:paraId="313F4D9B"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45 000 de profesori vor finaliza formarea specifică până în martie 2023. </w:t>
      </w:r>
    </w:p>
    <w:p w14:paraId="64910188"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martie 2023.</w:t>
      </w:r>
    </w:p>
    <w:p w14:paraId="29F4B086" w14:textId="77777777" w:rsidR="002B1133" w:rsidRPr="000A27B3" w:rsidRDefault="002B1133" w:rsidP="002B1133">
      <w:pPr>
        <w:numPr>
          <w:ilvl w:val="0"/>
          <w:numId w:val="105"/>
        </w:numPr>
        <w:spacing w:before="120" w:after="120" w:line="240" w:lineRule="auto"/>
        <w:ind w:left="709"/>
        <w:jc w:val="both"/>
        <w:rPr>
          <w:rFonts w:ascii="Times New Roman" w:hAnsi="Times New Roman" w:cs="Times New Roman"/>
          <w:noProof/>
          <w:sz w:val="24"/>
        </w:rPr>
      </w:pPr>
      <w:r>
        <w:rPr>
          <w:rFonts w:ascii="Times New Roman" w:hAnsi="Times New Roman"/>
          <w:noProof/>
          <w:sz w:val="24"/>
        </w:rPr>
        <w:t xml:space="preserve">Educație și formare profesională (sistem dual): </w:t>
      </w:r>
    </w:p>
    <w:p w14:paraId="2B24D0A9" w14:textId="77777777" w:rsidR="002B1133" w:rsidRPr="000A27B3" w:rsidRDefault="002B1133">
      <w:pPr>
        <w:pStyle w:val="Standard"/>
        <w:spacing w:before="240"/>
        <w:jc w:val="both"/>
        <w:rPr>
          <w:rFonts w:ascii="Times New Roman" w:eastAsiaTheme="majorEastAsia" w:hAnsi="Times New Roman" w:cs="Times New Roman"/>
          <w:noProof/>
          <w:u w:val="single"/>
        </w:rPr>
      </w:pPr>
      <w:r>
        <w:rPr>
          <w:noProof/>
          <w:u w:val="single"/>
        </w:rPr>
        <w:t>Reforma 4. Crearea unei rute profesionale complete pentru învățământul tehnic superior</w:t>
      </w:r>
    </w:p>
    <w:p w14:paraId="3E659DEA"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reforme este de a dezvolta o educație duală centrată pe nevoile elevilor și aliniată la nevoile pieței muncii, atât prin creșterea numărului de domenii, de calificări și de absolvenți, cât și prin asigurarea unui parcurs educațional complet pentru elevii înscriși în învățământul dual de nivel liceal, astfel încât aceștia să poată urma programele de învățământ terțiar (calificare 3-7).</w:t>
      </w:r>
    </w:p>
    <w:p w14:paraId="5B67EE87"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va consta în:</w:t>
      </w:r>
    </w:p>
    <w:p w14:paraId="3D3686B0" w14:textId="77777777" w:rsidR="002B1133" w:rsidRPr="000A27B3" w:rsidRDefault="002B1133" w:rsidP="002B1133">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intrarea în vigoare a cadrului legislativ de aprobare a metodologiei de organizare a rutei duale complete cu o durată de 4 ani ce dă acces la</w:t>
      </w:r>
      <w:r>
        <w:rPr>
          <w:rFonts w:ascii="Times New Roman" w:hAnsi="Times New Roman"/>
          <w:noProof/>
          <w:sz w:val="24"/>
        </w:rPr>
        <w:t xml:space="preserve"> învățământul terțiar începând cu anul școlar </w:t>
      </w:r>
      <w:r>
        <w:rPr>
          <w:rFonts w:ascii="Times New Roman" w:hAnsi="Times New Roman"/>
          <w:noProof/>
          <w:sz w:val="24"/>
          <w:bdr w:val="none" w:sz="0" w:space="0" w:color="auto" w:frame="1"/>
        </w:rPr>
        <w:t>2023-2024.</w:t>
      </w:r>
    </w:p>
    <w:p w14:paraId="6FD9D903" w14:textId="77777777" w:rsidR="002B1133" w:rsidRPr="000A27B3" w:rsidRDefault="002B1133" w:rsidP="002B1133">
      <w:pPr>
        <w:numPr>
          <w:ilvl w:val="0"/>
          <w:numId w:val="2"/>
        </w:numPr>
        <w:spacing w:before="120" w:after="120" w:line="240" w:lineRule="auto"/>
        <w:ind w:left="360"/>
        <w:jc w:val="both"/>
        <w:rPr>
          <w:rFonts w:ascii="Times New Roman" w:hAnsi="Times New Roman" w:cs="Times New Roman"/>
          <w:noProof/>
          <w:sz w:val="24"/>
          <w:szCs w:val="24"/>
          <w:bdr w:val="none" w:sz="0" w:space="0" w:color="auto" w:frame="1"/>
        </w:rPr>
      </w:pPr>
      <w:r>
        <w:rPr>
          <w:rFonts w:ascii="Times New Roman" w:hAnsi="Times New Roman"/>
          <w:noProof/>
          <w:sz w:val="24"/>
          <w:bdr w:val="none" w:sz="0" w:space="0" w:color="auto" w:frame="1"/>
        </w:rPr>
        <w:t>elaborarea reglementării privind noul bacalaureat, inclusiv privind absolvenții de învățământ dual. În urma promovării bacalaureatului unitar, absolvenții vor avea acces la programele de studii universitare. Bacalaureatul unitar se va aplica în România începând cu sesiunea din iunie 2027.</w:t>
      </w:r>
    </w:p>
    <w:p w14:paraId="13674872"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Cadrul legislativ pentru organizarea rutei complete de învățământ dual va intra în vigoare până la 30 septembrie 2022. Implementarea reformei va fi urmărită prin creșterea ponderii elevilor înscriși pe ruta profesională, în raport cu numărul total de elevi de liceu, de la 17 % la 40 % până la 30 iunie 2026.</w:t>
      </w:r>
    </w:p>
    <w:p w14:paraId="7C52F6BB"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se va finaliza până la 30 iunie 2026.</w:t>
      </w:r>
    </w:p>
    <w:p w14:paraId="15D0626A"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reformă va fi completată de 4 investiții conexe</w:t>
      </w:r>
      <w:r w:rsidRPr="000A27B3">
        <w:rPr>
          <w:rFonts w:ascii="Times New Roman" w:hAnsi="Times New Roman" w:cs="Times New Roman"/>
          <w:noProof/>
          <w:sz w:val="24"/>
          <w:szCs w:val="24"/>
          <w:vertAlign w:val="superscript"/>
          <w:lang w:val="en-GB"/>
        </w:rPr>
        <w:footnoteReference w:id="50"/>
      </w:r>
      <w:r>
        <w:rPr>
          <w:rFonts w:ascii="Times New Roman" w:hAnsi="Times New Roman"/>
          <w:noProof/>
          <w:sz w:val="24"/>
        </w:rPr>
        <w:t>:</w:t>
      </w:r>
    </w:p>
    <w:p w14:paraId="765C475C"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6. Dezvoltarea a 10 consorții regionale și dezvoltarea și dotarea a 10 campusuri profesionale integrate</w:t>
      </w:r>
    </w:p>
    <w:p w14:paraId="4D2A7FDE"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Obiectivul acestei investiții este de a asigura accesul egal la educația și formarea profesională inițială de calitate, prin dezvoltarea de parteneriate cu operatorii economici sau cu alți parteneri relevanți pentru a adapta EFP la cerințele pieței muncii.</w:t>
      </w:r>
    </w:p>
    <w:p w14:paraId="727853C4"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Investiția va consta în înființarea a 10 consorții regionale, fiecare alcătuită din cel puțin următoarele tipuri de entități: autorități publice locale, întreprinderi locale, școli profesionale și tehnice, universități tehnice, pentru a sprijini angajatorii să joace un rol activ în domeniul formării profesionale a elevilor și a studenților; și în construirea, în cadrul consorțiilor regionale menționate mai sus, a 10 campusuri profesionale integrate, liceale și universitare, pentru educație și formare profesională.</w:t>
      </w:r>
    </w:p>
    <w:p w14:paraId="0D328A88"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Rezultatele investițiilor vor fi:</w:t>
      </w:r>
    </w:p>
    <w:p w14:paraId="66F92E7D" w14:textId="77777777" w:rsidR="002B1133" w:rsidRPr="000A27B3" w:rsidRDefault="002B1133" w:rsidP="002B1133">
      <w:pPr>
        <w:numPr>
          <w:ilvl w:val="0"/>
          <w:numId w:val="110"/>
        </w:numPr>
        <w:spacing w:before="120" w:after="0" w:line="240" w:lineRule="auto"/>
        <w:ind w:left="284" w:hanging="284"/>
        <w:contextualSpacing/>
        <w:jc w:val="both"/>
        <w:rPr>
          <w:rFonts w:ascii="Times New Roman" w:hAnsi="Times New Roman" w:cs="Times New Roman"/>
          <w:noProof/>
          <w:sz w:val="24"/>
          <w:szCs w:val="24"/>
        </w:rPr>
      </w:pPr>
      <w:r>
        <w:rPr>
          <w:rFonts w:ascii="Times New Roman" w:hAnsi="Times New Roman"/>
          <w:noProof/>
          <w:sz w:val="24"/>
          <w:u w:val="single"/>
        </w:rPr>
        <w:t>10 centre de învățământ dual integrate și operaționale</w:t>
      </w:r>
      <w:r>
        <w:rPr>
          <w:rFonts w:ascii="Times New Roman" w:hAnsi="Times New Roman"/>
          <w:noProof/>
          <w:sz w:val="24"/>
        </w:rPr>
        <w:t>, corelate cu cerințele operatorilor economici din zona respectivă. Procesul de selecție va avea la bază o metodologie unitară, elaborată de Ministerul Educației, aplicabilă la nivel național pentru a identifica cele mai adecvate și de impact structuri parteneriale regionale. De preferat, fiecare structură partenerială va fi amplasată într-o regiune de dezvoltare distinctă, pentru a asigura o distribuție geografică egală la nivel național. Cele 10 consorții profesionale regionale selectate vor fi sprijinite printr-o schemă de granturi pentru a asigura condiții optime de formare a cursanților și pentru a oferi sprijin financiar pe o perioadă de 4 ani. Se va acorda prioritate elevilor din învățământul secundar care provin din medii defavorizate, inclusiv romilor;</w:t>
      </w:r>
    </w:p>
    <w:p w14:paraId="00795C43" w14:textId="77777777" w:rsidR="002B1133" w:rsidRPr="000A27B3" w:rsidRDefault="002B1133" w:rsidP="002B1133">
      <w:pPr>
        <w:numPr>
          <w:ilvl w:val="0"/>
          <w:numId w:val="110"/>
        </w:numPr>
        <w:spacing w:before="120" w:after="0" w:line="240" w:lineRule="auto"/>
        <w:ind w:left="284" w:hanging="284"/>
        <w:contextualSpacing/>
        <w:jc w:val="both"/>
        <w:rPr>
          <w:rFonts w:ascii="Times New Roman" w:hAnsi="Times New Roman" w:cs="Times New Roman"/>
          <w:noProof/>
          <w:sz w:val="24"/>
          <w:szCs w:val="24"/>
        </w:rPr>
      </w:pPr>
      <w:r>
        <w:rPr>
          <w:rFonts w:ascii="Times New Roman" w:hAnsi="Times New Roman"/>
          <w:noProof/>
          <w:sz w:val="24"/>
          <w:u w:val="single"/>
        </w:rPr>
        <w:t>10 campusuri profesionale integrate mixte</w:t>
      </w:r>
      <w:r>
        <w:rPr>
          <w:rFonts w:ascii="Times New Roman" w:hAnsi="Times New Roman"/>
          <w:noProof/>
          <w:sz w:val="24"/>
        </w:rPr>
        <w:t xml:space="preserve"> (licee și universități tehnice), cu obiectivul de a asigura o infrastructură fizică modernă pentru găzduirea structurilor/consorțiilor regionale de parteneriat profesionale integrate mixte. Implementarea va avea loc la nivel local, iar orașele și municipalitățile ar trebui să răspundă apelului privind realizarea proiectelor de infrastructură pe teritoriul lor. </w:t>
      </w:r>
    </w:p>
    <w:p w14:paraId="4AD52A91"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ceea ce se va asigura prin certificate de performanță energetică.</w:t>
      </w:r>
    </w:p>
    <w:p w14:paraId="6ECEC74E"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Pentru a se asigura conformitatea măsurii cu Orientările tehnice privind aplicarea principiului de „a nu aduce prejudicii semnificative” (2021/C58/01), criteriile de eligibilitate prevăzute în mandatul pentru viitoarele cereri de propuneri de proiecte vor exclude următoarea listă de activități: (i) activitățile legate de combustibili fosili, inclusiv utilizarea în aval</w:t>
      </w:r>
      <w:r w:rsidRPr="000A27B3">
        <w:rPr>
          <w:rFonts w:ascii="Times New Roman" w:hAnsi="Times New Roman" w:cs="Times New Roman"/>
          <w:noProof/>
          <w:sz w:val="24"/>
          <w:vertAlign w:val="superscript"/>
          <w:lang w:val="en-GB"/>
        </w:rPr>
        <w:footnoteReference w:id="51"/>
      </w:r>
      <w:r>
        <w:rPr>
          <w:rFonts w:ascii="Times New Roman" w:hAnsi="Times New Roman"/>
          <w:noProof/>
          <w:sz w:val="24"/>
        </w:rPr>
        <w:t>; (ii) activitățile din cadrul sistemului UE de comercializare a certificatelor de emisii (ETS) cu emisii preconizate de gaze cu efect de seră care nu sunt mai mici decât valorile de referință relevante</w:t>
      </w:r>
      <w:r w:rsidRPr="000A27B3">
        <w:rPr>
          <w:rFonts w:ascii="Times New Roman" w:hAnsi="Times New Roman" w:cs="Times New Roman"/>
          <w:noProof/>
          <w:sz w:val="24"/>
          <w:vertAlign w:val="superscript"/>
          <w:lang w:val="en-GB"/>
        </w:rPr>
        <w:footnoteReference w:id="52"/>
      </w:r>
      <w:r>
        <w:rPr>
          <w:rFonts w:ascii="Times New Roman" w:hAnsi="Times New Roman"/>
          <w:noProof/>
          <w:sz w:val="24"/>
        </w:rPr>
        <w:t>; (iii) activitățile legate de depozite de deșeuri, incineratoare</w:t>
      </w:r>
      <w:r w:rsidRPr="000A27B3">
        <w:rPr>
          <w:rFonts w:ascii="Times New Roman" w:hAnsi="Times New Roman" w:cs="Times New Roman"/>
          <w:noProof/>
          <w:sz w:val="24"/>
          <w:vertAlign w:val="superscript"/>
          <w:lang w:val="en-GB"/>
        </w:rPr>
        <w:footnoteReference w:id="53"/>
      </w:r>
      <w:r>
        <w:rPr>
          <w:rFonts w:ascii="Times New Roman" w:hAnsi="Times New Roman"/>
          <w:noProof/>
          <w:sz w:val="24"/>
        </w:rPr>
        <w:t xml:space="preserve"> și instalații de tratare mecano­biologică a deșeurilor</w:t>
      </w:r>
      <w:r w:rsidRPr="000A27B3">
        <w:rPr>
          <w:rFonts w:ascii="Times New Roman" w:hAnsi="Times New Roman" w:cs="Times New Roman"/>
          <w:noProof/>
          <w:sz w:val="24"/>
          <w:vertAlign w:val="superscript"/>
          <w:lang w:val="en-GB"/>
        </w:rPr>
        <w:footnoteReference w:id="54"/>
      </w:r>
      <w:r>
        <w:rPr>
          <w:rFonts w:ascii="Times New Roman" w:hAnsi="Times New Roman"/>
          <w:noProof/>
          <w:sz w:val="24"/>
        </w:rPr>
        <w:t>; și (iv) activitățile în cadrul cărora eliminarea pe termen lung a deșeurilor poate dăuna mediului. În plus, mandatul va impune condiția ca numai activitățile care respectă legislația UE și legislația națională relevantă în materie de mediu să poată fi selectate.</w:t>
      </w:r>
    </w:p>
    <w:p w14:paraId="0DC0DD58"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Campusurile profesionale vor fi construite până la 30 septembrie 2025, iar consorțiile de învățământ dual vor funcționa la capacitate maximă până la 31 martie 2026. Monitorizarea implementării se va realiza grație numărului de elevi înscriși în ruta duală completă, care se preconizează ca va crește de la un număr de referință de 1 847 în 2020 la 3 000 de studenți în iunie 2026. Sustenabilitatea programelor de finanțare după 2026 va fi asigurată prin intermediul bugetului de stat. </w:t>
      </w:r>
    </w:p>
    <w:p w14:paraId="3AF842EC"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2026.</w:t>
      </w:r>
    </w:p>
    <w:p w14:paraId="612C3C49" w14:textId="77777777" w:rsidR="002B1133" w:rsidRPr="000A27B3" w:rsidRDefault="002B1133">
      <w:pPr>
        <w:pStyle w:val="Standard"/>
        <w:spacing w:before="240"/>
        <w:jc w:val="both"/>
        <w:rPr>
          <w:rFonts w:ascii="Times New Roman" w:eastAsiaTheme="majorEastAsia" w:hAnsi="Times New Roman" w:cs="Times New Roman"/>
          <w:noProof/>
          <w:u w:val="single"/>
        </w:rPr>
      </w:pPr>
      <w:r>
        <w:rPr>
          <w:noProof/>
          <w:u w:val="single"/>
        </w:rPr>
        <w:t>Investiția 7. Transformarea liceelor agricole în centre de profesionalizare</w:t>
      </w:r>
    </w:p>
    <w:p w14:paraId="7911B394" w14:textId="1BE841AE"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sprijini 57 de licee agricole, care vor fi organizate în 5</w:t>
      </w:r>
      <w:r w:rsidR="00B74F9A">
        <w:rPr>
          <w:rFonts w:ascii="Times New Roman" w:hAnsi="Times New Roman"/>
          <w:noProof/>
          <w:sz w:val="24"/>
        </w:rPr>
        <w:t> </w:t>
      </w:r>
      <w:r>
        <w:rPr>
          <w:rFonts w:ascii="Times New Roman" w:hAnsi="Times New Roman"/>
          <w:noProof/>
          <w:sz w:val="24"/>
        </w:rPr>
        <w:t>centre regionale corespunzând celor 5 universități agricole consacrate în România. Schema de finanțare dedicată liceelor agricole, având un plafon maxim, pe parcursul a 5 ani, va avea în vedere cel puțin următoarele tipuri de activități:</w:t>
      </w:r>
    </w:p>
    <w:p w14:paraId="372326A8" w14:textId="77777777" w:rsidR="002B1133" w:rsidRPr="000A27B3" w:rsidRDefault="002B1133" w:rsidP="002B1133">
      <w:pPr>
        <w:numPr>
          <w:ilvl w:val="0"/>
          <w:numId w:val="110"/>
        </w:numPr>
        <w:spacing w:before="120" w:after="0" w:line="240" w:lineRule="auto"/>
        <w:ind w:left="284" w:hanging="284"/>
        <w:contextualSpacing/>
        <w:jc w:val="both"/>
        <w:rPr>
          <w:rFonts w:ascii="Times New Roman" w:hAnsi="Times New Roman" w:cs="Times New Roman"/>
          <w:noProof/>
          <w:sz w:val="24"/>
          <w:szCs w:val="24"/>
        </w:rPr>
      </w:pPr>
      <w:r>
        <w:rPr>
          <w:rFonts w:ascii="Times New Roman" w:hAnsi="Times New Roman"/>
          <w:noProof/>
          <w:sz w:val="24"/>
        </w:rPr>
        <w:t xml:space="preserve">modernizarea, renovarea și extinderea laboratoarelor școlare, a atelierelor și a laboratoarelor de informatică, a cantinelor, a căminelor pentru elevi; </w:t>
      </w:r>
    </w:p>
    <w:p w14:paraId="5A8ED877" w14:textId="77777777" w:rsidR="002B1133" w:rsidRPr="000A27B3" w:rsidRDefault="002B1133" w:rsidP="002B1133">
      <w:pPr>
        <w:numPr>
          <w:ilvl w:val="0"/>
          <w:numId w:val="110"/>
        </w:numPr>
        <w:spacing w:before="120" w:after="0" w:line="240" w:lineRule="auto"/>
        <w:ind w:left="284" w:hanging="284"/>
        <w:contextualSpacing/>
        <w:jc w:val="both"/>
        <w:rPr>
          <w:rFonts w:ascii="Times New Roman" w:hAnsi="Times New Roman" w:cs="Times New Roman"/>
          <w:noProof/>
          <w:sz w:val="24"/>
          <w:szCs w:val="24"/>
        </w:rPr>
      </w:pPr>
      <w:r>
        <w:rPr>
          <w:rFonts w:ascii="Times New Roman" w:hAnsi="Times New Roman"/>
          <w:noProof/>
          <w:sz w:val="24"/>
        </w:rPr>
        <w:t>achiziționarea de materiale biologice, echipamente agricole și utilaje pentru executarea lucrărilor agricole;</w:t>
      </w:r>
    </w:p>
    <w:p w14:paraId="35133A7A" w14:textId="77777777" w:rsidR="002B1133" w:rsidRPr="000A27B3" w:rsidRDefault="002B1133" w:rsidP="002B1133">
      <w:pPr>
        <w:numPr>
          <w:ilvl w:val="0"/>
          <w:numId w:val="110"/>
        </w:numPr>
        <w:spacing w:before="120" w:after="0" w:line="240" w:lineRule="auto"/>
        <w:ind w:left="284" w:hanging="284"/>
        <w:contextualSpacing/>
        <w:jc w:val="both"/>
        <w:rPr>
          <w:rFonts w:ascii="Times New Roman" w:hAnsi="Times New Roman" w:cs="Times New Roman"/>
          <w:noProof/>
          <w:sz w:val="24"/>
          <w:szCs w:val="24"/>
        </w:rPr>
      </w:pPr>
      <w:r>
        <w:rPr>
          <w:rFonts w:ascii="Times New Roman" w:hAnsi="Times New Roman"/>
          <w:noProof/>
          <w:sz w:val="24"/>
        </w:rPr>
        <w:t>formarea cadrelor didactice pe baza unei programe specifice legate de agricultură elaborate de Ministerul Agriculturii și Ministerul Educației.</w:t>
      </w:r>
    </w:p>
    <w:p w14:paraId="3DB72DB7"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Fiecare școală agricolă va fi dotată cu un laborator informatic care să includă simulatoare și softuri necesare activităților teoretice și practice de predare/învățare.</w:t>
      </w:r>
    </w:p>
    <w:p w14:paraId="3761A5B0"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ceea ce privește renovările, 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 În acest context, cel puțin 90 % din costurile legate de renovare se referă la îmbunătățirea eficienței energetice. </w:t>
      </w:r>
    </w:p>
    <w:p w14:paraId="381E3378" w14:textId="2DEE2C00"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Contractele vor prevedea, de asemenea, cerința potrivit căreia clădirile nou-construite trebuie să respecte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79A956F6"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septembrie 2025.</w:t>
      </w:r>
    </w:p>
    <w:p w14:paraId="707A096F" w14:textId="77777777" w:rsidR="002B1133" w:rsidRPr="000A27B3" w:rsidRDefault="002B1133" w:rsidP="002B1133">
      <w:pPr>
        <w:numPr>
          <w:ilvl w:val="0"/>
          <w:numId w:val="105"/>
        </w:numPr>
        <w:spacing w:before="120" w:after="120" w:line="240" w:lineRule="auto"/>
        <w:ind w:left="709"/>
        <w:jc w:val="both"/>
        <w:rPr>
          <w:rFonts w:ascii="Times New Roman" w:hAnsi="Times New Roman" w:cs="Times New Roman"/>
          <w:noProof/>
          <w:sz w:val="24"/>
        </w:rPr>
      </w:pPr>
      <w:r>
        <w:rPr>
          <w:rFonts w:ascii="Times New Roman" w:hAnsi="Times New Roman"/>
          <w:noProof/>
          <w:sz w:val="24"/>
        </w:rPr>
        <w:t xml:space="preserve">Digitalizarea educației </w:t>
      </w:r>
    </w:p>
    <w:p w14:paraId="14C8E116"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Reforma 5. Adoptarea cadrului legislativ pentru digitalizarea educației</w:t>
      </w:r>
    </w:p>
    <w:p w14:paraId="796FC2E9"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Scopul reformei este de a asigura cadrul juridic necesar pentru dezvoltarea competențelor digitale ale elevilor prin definirea profilului de competențe pentru profesioniștii din domeniul educației, prin revizuirea curriculumului școlar obligatoriu și a planului-cadru pentru disciplinele TIC la toate nivelurile de învățământ. </w:t>
      </w:r>
    </w:p>
    <w:p w14:paraId="4F954E25" w14:textId="0F1A20DD"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Reforma se va realiza prin intrarea în vigoare a cadrului legislativ pentru digitalizarea proceselor și a conținutului educațional și pentru derularea evaluărilor în sistem online. În plus, prin această reformă se vor stabili standarde minime și optime pentru asigurarea calității activităților educaționale online. Se preconizează că reforma va alinia sistemul educațional la cadrul european DigComp în ceea ce privește competențele digitale ale elevilor, inclusiv prin actualizarea curriculumului școlar și prin elaborarea de materiale didactice digitale. În fine, reforma va operaționaliza legăturile dintre profilul de competențe ale cadrelor didactice și curriculumul pentru formarea profesională inițială, formarea profesională continuă și formarea din domeniul competențelor.</w:t>
      </w:r>
    </w:p>
    <w:p w14:paraId="2DE3B1B1"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reformei se va finaliza până la 30 iunie 2024.</w:t>
      </w:r>
    </w:p>
    <w:p w14:paraId="13249B63" w14:textId="77777777" w:rsidR="002B1133" w:rsidRPr="000A27B3" w:rsidRDefault="002B1133">
      <w:pPr>
        <w:spacing w:before="120" w:after="120" w:line="240" w:lineRule="auto"/>
        <w:jc w:val="both"/>
        <w:rPr>
          <w:rFonts w:ascii="Times New Roman" w:hAnsi="Times New Roman" w:cs="Times New Roman"/>
          <w:noProof/>
          <w:sz w:val="24"/>
          <w:szCs w:val="24"/>
          <w:u w:val="single"/>
        </w:rPr>
      </w:pPr>
      <w:r>
        <w:rPr>
          <w:rFonts w:ascii="Times New Roman" w:hAnsi="Times New Roman"/>
          <w:noProof/>
          <w:sz w:val="24"/>
        </w:rPr>
        <w:t>Această reformă va fi completată de 4 investiții conexe</w:t>
      </w:r>
      <w:r w:rsidRPr="000A27B3">
        <w:rPr>
          <w:rFonts w:ascii="Times New Roman" w:hAnsi="Times New Roman" w:cs="Times New Roman"/>
          <w:noProof/>
          <w:sz w:val="24"/>
          <w:szCs w:val="24"/>
          <w:vertAlign w:val="superscript"/>
          <w:lang w:val="en-GB"/>
        </w:rPr>
        <w:footnoteReference w:id="55"/>
      </w:r>
      <w:r>
        <w:rPr>
          <w:rFonts w:ascii="Times New Roman" w:hAnsi="Times New Roman"/>
          <w:noProof/>
          <w:sz w:val="24"/>
        </w:rPr>
        <w:t>:</w:t>
      </w:r>
    </w:p>
    <w:p w14:paraId="7E69CE66"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8. Program de formare la locul de muncă pentru personalul didactic</w:t>
      </w:r>
    </w:p>
    <w:p w14:paraId="3C200A0E"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dezvolta competențele de pedagogie digitală pentru cadrele didactice, inclusiv cele legate de colectarea și utilizarea eficientă a instrumentelor și a resurselor disponibile. Investiția vizează toate activitățile specifice, de la predare, evaluare, comunicarea cu părinții și până la crearea și schimbul de conținut și resurse digitale.</w:t>
      </w:r>
    </w:p>
    <w:p w14:paraId="342E7D40" w14:textId="77777777" w:rsidR="002B1133" w:rsidRPr="000A27B3" w:rsidRDefault="002B1133">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Investiția se va realiza prin dezvoltarea de cursuri de formare tematice în materie de alfabetizare digitală și competențe pedagogice digitale, adresate în special cadrelor didactice din zonele rurale și din alte medii defavorizate. La elaborarea programului de formare vor fi avute în vedere cadrul european DigComp pentru competențele digitale și standardele de competențe digitale recunoscute la nivel internațional (ECDL). Se preconizează că 100 000 de cadre didactice vor participa la programele de formare. Formarea privind dezvoltarea competențelor digitale va fi completată de o platformă care va cuprinde o colecție de lecții multimedia care să servească drept modele de bune practici pentru fiecare arie curriculară/disciplină de studiu, pentru diferite nivele de educație. 50 000 de cadre didactice vor beneficia de pe urma schimbului prin intermediul platformei dedicate. Va fi creat un cadru de monitorizare și evaluare a gradului de aplicare în practică a competențelor obținute, pentru a asigura evaluarea competențelor digitale și pentru a iniția măsuri corective cu scopul de a asigura un efect de durată al programului de formare. </w:t>
      </w:r>
    </w:p>
    <w:p w14:paraId="7687C2A2"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septembrie 2025. </w:t>
      </w:r>
    </w:p>
    <w:p w14:paraId="5142BE81"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9. Asigurarea echipamentelor și a resurselor tehnologice digitale pentru unitățile de învățământ</w:t>
      </w:r>
    </w:p>
    <w:p w14:paraId="08934C3C"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asigura infrastructura și resursele tehnologice necesare pentru unitățile de învățământ preuniversitar, cu accent pe zonele defavorizate (în special zonele rurale), permițând accesul elevilor la tehnologie prin laboratoare informatice și echipamente dedicate.</w:t>
      </w:r>
    </w:p>
    <w:p w14:paraId="15E04675" w14:textId="543E545F"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consta în granturi pentru modernizarea a cel puțin 4 300 de laboratoare informatice, dezvoltarea a peste 1 100 de hub-uri tehnologice (sub formă de laboratoare inteligente) și asigurarea infrastructurii și a echipamentelor digitale pentru peste 3 600 de școli care nu fac obiectul niciunui alt program de finanțare. Laboratoarele inteligente vor permite alfabetizarea digitală și tehnologică a elevilor, instruirea cadrelor didactice atât cu privire la aptitudinile și competențele digitale de bază, cât și pentru cele avansate necesare pe piața muncii, cu utilizarea, în același timp, a noilor tehnologii 4.0 și cu dezvoltarea creativității aplicate prin imprimare 3D și softuri de design 3D.</w:t>
      </w:r>
    </w:p>
    <w:p w14:paraId="57FBB3DE" w14:textId="77777777" w:rsidR="002B1133" w:rsidRPr="000A27B3" w:rsidRDefault="002B1133">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31 martie 2025.</w:t>
      </w:r>
    </w:p>
    <w:p w14:paraId="6E3042C8" w14:textId="77777777" w:rsidR="002B1133" w:rsidRPr="000A27B3" w:rsidRDefault="002B1133" w:rsidP="002B1133">
      <w:pPr>
        <w:numPr>
          <w:ilvl w:val="0"/>
          <w:numId w:val="105"/>
        </w:numPr>
        <w:spacing w:before="120" w:after="120" w:line="240" w:lineRule="auto"/>
        <w:ind w:left="567"/>
        <w:jc w:val="both"/>
        <w:rPr>
          <w:rFonts w:ascii="Times New Roman" w:hAnsi="Times New Roman" w:cs="Times New Roman"/>
          <w:noProof/>
          <w:sz w:val="24"/>
          <w:szCs w:val="24"/>
        </w:rPr>
      </w:pPr>
      <w:r>
        <w:rPr>
          <w:rFonts w:ascii="Times New Roman" w:hAnsi="Times New Roman"/>
          <w:noProof/>
          <w:sz w:val="24"/>
        </w:rPr>
        <w:t>Infrastructură</w:t>
      </w:r>
      <w:r w:rsidRPr="000A27B3">
        <w:rPr>
          <w:rFonts w:ascii="Times New Roman" w:hAnsi="Times New Roman" w:cs="Times New Roman"/>
          <w:noProof/>
          <w:sz w:val="24"/>
          <w:szCs w:val="24"/>
          <w:vertAlign w:val="superscript"/>
          <w:lang w:val="en-GB"/>
        </w:rPr>
        <w:footnoteReference w:id="56"/>
      </w:r>
      <w:r>
        <w:rPr>
          <w:rFonts w:ascii="Times New Roman" w:hAnsi="Times New Roman"/>
          <w:noProof/>
          <w:sz w:val="24"/>
        </w:rPr>
        <w:t xml:space="preserve">: </w:t>
      </w:r>
    </w:p>
    <w:p w14:paraId="4C7EEB84"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 xml:space="preserve">Reforma 6. Actualizarea cadrului legislativ pentru a asigura standarde ecologice de proiectare, construcție și dotare în sistemul de învățământ preuniversitar </w:t>
      </w:r>
    </w:p>
    <w:p w14:paraId="3C1E0058"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Obiectivele acestei reforme sunt (a) sporirea calității și siguranței mediilor de învățare, inclusiv în ceea ce privește reglementările pentru materiale didactice, mobilier, echipamente de laborator și ateliere tehnologice; și (b) dezvoltarea și adoptarea cadrului juridic pentru promovarea tranziției către clădiri verzi în școli. </w:t>
      </w:r>
    </w:p>
    <w:p w14:paraId="65FFFE31"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În contextul tranziției către clădiri verzi și inteligente, autoritățile române vor actualiza legislația privind proiectarea, dotarea și funcționarea școlilor, inclusiv reglementările privind materialele didactice, mobilierul și echipamentele laboratoarelor și a laboratoarelor științifice și vor elabora o metodologie pentru funcționarea și organizarea școlilor verzi. </w:t>
      </w:r>
    </w:p>
    <w:p w14:paraId="28C78FEB"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reformei va fi finalizată până la 30 iunie 2022.</w:t>
      </w:r>
    </w:p>
    <w:p w14:paraId="0AE8F65A"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reformă va fi însoțită de 3 investiții în infrastructura aferentă școlilor:</w:t>
      </w:r>
    </w:p>
    <w:p w14:paraId="263F9537"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10. Dezvoltarea rețelei de școli verzi și achiziționarea de microbuze verzi</w:t>
      </w:r>
    </w:p>
    <w:p w14:paraId="704C337F" w14:textId="4E408CBA"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asigura sustenabilitatea unităților de învățământ preuniversitar prin tranziția la școli verzi și mobilitate verde (microbuze electrice). În vederea asigurării tranziției către un sistem educațional sustenabil, Ministerul Educației va demara dezvoltarea unei rețele de școli sustenabile, prietenoase cu mediul. 238 905 m</w:t>
      </w:r>
      <w:r>
        <w:rPr>
          <w:rFonts w:ascii="Times New Roman" w:hAnsi="Times New Roman"/>
          <w:noProof/>
          <w:sz w:val="24"/>
          <w:vertAlign w:val="superscript"/>
        </w:rPr>
        <w:t>2</w:t>
      </w:r>
      <w:r>
        <w:rPr>
          <w:rFonts w:ascii="Times New Roman" w:hAnsi="Times New Roman"/>
          <w:noProof/>
          <w:sz w:val="24"/>
        </w:rPr>
        <w:t xml:space="preserve"> din suprafața unităților de învățământ vor beneficia de schimbări structurale pentru a asigura durabilitatea (izolare termică, panouri solare, planificarea spațiului verde, colectare selectivă) și vor fi construiți 36 951 m</w:t>
      </w:r>
      <w:r>
        <w:rPr>
          <w:rFonts w:ascii="Times New Roman" w:hAnsi="Times New Roman"/>
          <w:noProof/>
          <w:sz w:val="24"/>
          <w:vertAlign w:val="superscript"/>
        </w:rPr>
        <w:t>2</w:t>
      </w:r>
      <w:r>
        <w:rPr>
          <w:rFonts w:ascii="Times New Roman" w:hAnsi="Times New Roman"/>
          <w:noProof/>
          <w:sz w:val="24"/>
        </w:rPr>
        <w:t xml:space="preserve"> de noi unități de învățământ preuniversitar verzi. Metodologia de selectare a școlilor verzi poate lua în considerare criterii precum: disponibilitatea școlii; numărul de elevi; distribuirea echitabilă geografic a fondurilor; repartizarea echitabilă rural-urban a fondurilor; nivelul de poluare al zonei; experiența anterioară în implementarea și derularea de proiecte/activități de mediu.</w:t>
      </w:r>
    </w:p>
    <w:p w14:paraId="36608B25"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30C6D599"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Pentru renovări, 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 În acest context, cel puțin 90 % din costuri se referă la îmbunătățirea eficienței energetice.</w:t>
      </w:r>
    </w:p>
    <w:p w14:paraId="56FD092D" w14:textId="12CD20D5"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Cele 1 218 de microbuze școlare sunt destinate transportului elevilor din localitățile izolate. Ministerul Educației va efectua o analiză la nivel național, cu implicarea autorităților publice locale, pentru a identifica situațiile în care este necesar transportul elevilor către școli din alte localități. Această investiție completează, de asemenea, reforma din 2 privind prevenirea părăsirii timpurii a școlii, prin asigurarea unor mijloace de mobilitate pentru elevii din zonele cu o populație scăzută, facilitând accesul acestora la o educație de calitate.</w:t>
      </w:r>
    </w:p>
    <w:p w14:paraId="4455DED6" w14:textId="0EECA8EA"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Microbuzele electrice vor fi achiziționate și în funcțiune până la 31 decembrie 2024, iar clădirile verzi vor fi finalizează până la 31 decembrie 2025. </w:t>
      </w:r>
    </w:p>
    <w:p w14:paraId="2D528944"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5268C128" w14:textId="2E096348" w:rsidR="002B1133" w:rsidRPr="000A27B3" w:rsidRDefault="002B1133">
      <w:pPr>
        <w:pStyle w:val="Standard"/>
        <w:spacing w:before="240"/>
        <w:jc w:val="both"/>
        <w:rPr>
          <w:rFonts w:ascii="Times New Roman" w:eastAsiaTheme="majorEastAsia" w:hAnsi="Times New Roman" w:cs="Times New Roman"/>
          <w:noProof/>
          <w:u w:val="single"/>
        </w:rPr>
      </w:pPr>
      <w:r>
        <w:rPr>
          <w:noProof/>
          <w:u w:val="single"/>
        </w:rPr>
        <w:t>Investiția 11. Asigurarea dotărilor pentru sălile de clasă preuniversitare și laboratoarele de știință/cabinetele școlare</w:t>
      </w:r>
    </w:p>
    <w:p w14:paraId="17C6F200" w14:textId="39329CCB" w:rsidR="002B1133" w:rsidRPr="000A27B3" w:rsidRDefault="002B1133">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Obiectivul acestei investiții este de a oferi dotările necesare pentru îndeplinirea standardelor de calitate în sălile de clasă și în laboratoarele de știință/cabinetele școlare, inclusiv dotările și echipamente educaționale specializate pentru elevii defavorizați și elevii cu nevoi educaționale speciale.</w:t>
      </w:r>
    </w:p>
    <w:p w14:paraId="463EB501"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Asigurarea dotărilor necesare pentru sălile de clasă și laboratoarele de știință/cabinetele școlare se va realiza descentralizat la nivelul școlilor, al inspectoratelor școlare județene și al autorităților publice locale. Vor fi dotate 75 000 de săli de clasă și 10 000 de laboratoare de știință/cabinete școlare ale școlilor. </w:t>
      </w:r>
    </w:p>
    <w:p w14:paraId="6EB2BA62" w14:textId="65B5F734"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 va acorda prioritate investițiilor pentru unitățile de învățământ care nu au beneficiat de investiții în sălile de clasă și în echipamentele de laborator în ultimii 5 ani.</w:t>
      </w:r>
    </w:p>
    <w:p w14:paraId="59A52554"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2024.</w:t>
      </w:r>
    </w:p>
    <w:p w14:paraId="2F95FEBA"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 xml:space="preserve">Investiția 12. Sprijin pentru consorțiile școlare rurale </w:t>
      </w:r>
    </w:p>
    <w:p w14:paraId="2859FF09"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Această investiție se adresează elevilor din sate și municipalități mici, în vederea îmbunătățirii accesului acestora la o educație de calitate în cadrul unor campusuri moderne din școlile rurale.</w:t>
      </w:r>
    </w:p>
    <w:p w14:paraId="1F99D177"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Vor fi create 3 consorții școlare rurale pentru a consolida mediul educațional rural prin asigurarea unor condiții optime de predare și prin respectarea principiului echității sociale. </w:t>
      </w:r>
    </w:p>
    <w:p w14:paraId="6B0589DC"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Cele trei consorții sunt finanțate printr-o schemă de granturi administrată de Ministerul Investițiilor și Proiectelor Europene, care va selecta cele trei grupuri de acțiune locală sau asocieri de grupuri de acțiune locală care îndeplinesc cel puțin două criterii: (a) demonstrează declinul demografic al microregiunii pe o perioadă de minimum 7 ani; (b) pot prezenta un acord ferm al autorităților publice locale arondate proiectului de campus școlar rural.</w:t>
      </w:r>
    </w:p>
    <w:p w14:paraId="4E86AFA3"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Ulterior, vor fi dezvoltate 3 campusuri moderne cu o capacitate de 300-1 500 de locuri. Campusurile vor beneficia de facilități educaționale moderne, ateliere și laboratoare, spații pentru activități de tip after-school, săli și terenuri de sport, facilități pentru desfășurarea activităților non-formale, bucătărie și facilități de cazare pentru elevi și cadrele didactice, precum și facilități pentru cadrele didactice. Campusurile vor dispune și de un parc auto pentru a asigura transportul zilnic al elevilor și pentru excursiile școlare.</w:t>
      </w:r>
    </w:p>
    <w:p w14:paraId="200CDDA7"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28A0168D"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iunie 2026.</w:t>
      </w:r>
      <w:r>
        <w:rPr>
          <w:rFonts w:ascii="Times New Roman" w:hAnsi="Times New Roman"/>
          <w:noProof/>
          <w:sz w:val="24"/>
        </w:rPr>
        <w:br w:type="page"/>
      </w:r>
    </w:p>
    <w:p w14:paraId="208DF29F" w14:textId="77777777" w:rsidR="002B1133" w:rsidRPr="000A27B3" w:rsidRDefault="002B1133" w:rsidP="002B1133">
      <w:pPr>
        <w:numPr>
          <w:ilvl w:val="0"/>
          <w:numId w:val="105"/>
        </w:numPr>
        <w:spacing w:before="120" w:after="120" w:line="240" w:lineRule="auto"/>
        <w:ind w:left="1276"/>
        <w:jc w:val="both"/>
        <w:rPr>
          <w:rFonts w:ascii="Times New Roman" w:hAnsi="Times New Roman" w:cs="Times New Roman"/>
          <w:noProof/>
          <w:sz w:val="24"/>
          <w:szCs w:val="24"/>
        </w:rPr>
      </w:pPr>
      <w:r>
        <w:rPr>
          <w:rFonts w:ascii="Times New Roman" w:hAnsi="Times New Roman"/>
          <w:noProof/>
          <w:sz w:val="24"/>
        </w:rPr>
        <w:t>Guvernanța sistemului de învățământ:</w:t>
      </w:r>
    </w:p>
    <w:p w14:paraId="00A1779C" w14:textId="5A83618E"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 xml:space="preserve">Reforma 7. Reforma guvernanței sistemului de învățământ preuniversitar și profesionalizarea managementului </w:t>
      </w:r>
    </w:p>
    <w:p w14:paraId="4D7657D7"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Obiectivele acestei reforme sunt ca școlile să beneficieze de un management mai eficient și de o mai mare autonomie. Reforma guvernanței va crește capacitatea, la nivel de unitate de învățământ, de a implementa toate reformele propuse pentru educație. </w:t>
      </w:r>
    </w:p>
    <w:p w14:paraId="5014A77A"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Ministerul Educației va semna un contract de asistență tehnică pentru a efectua o analiză a guvernanței sistemului de învățământ preuniversitar, care să includă recomandări și un plan de restructurare a sistemului de management, în contextul unei autonomii sporite a școlilor.</w:t>
      </w:r>
    </w:p>
    <w:p w14:paraId="4369C67E"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Planul va institui, de asemenea, un plan-pilot axat pe cadrele de arhitectură curriculară în 60 de școli, pentru a testa impactul schimbărilor sistemice în vederea ajustării, corectării și adaptării acestora la nevoi înainte de a le extinde.</w:t>
      </w:r>
    </w:p>
    <w:p w14:paraId="4BF09B13" w14:textId="10D96F78" w:rsidR="002B1133" w:rsidRPr="000A27B3" w:rsidRDefault="002B1133">
      <w:pPr>
        <w:spacing w:before="120" w:after="120" w:line="240" w:lineRule="auto"/>
        <w:jc w:val="both"/>
        <w:rPr>
          <w:rFonts w:ascii="Times New Roman" w:hAnsi="Times New Roman" w:cs="Times New Roman"/>
          <w:b/>
          <w:bCs/>
          <w:noProof/>
          <w:sz w:val="24"/>
          <w:szCs w:val="24"/>
        </w:rPr>
      </w:pPr>
      <w:r>
        <w:rPr>
          <w:rFonts w:ascii="Times New Roman" w:hAnsi="Times New Roman"/>
          <w:noProof/>
          <w:sz w:val="24"/>
        </w:rPr>
        <w:t>Implementarea reformei va fi finalizată până la 30 septembrie 2024.</w:t>
      </w:r>
    </w:p>
    <w:p w14:paraId="687A16CB"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Această reformă va fi completată de o investiție</w:t>
      </w:r>
      <w:r w:rsidRPr="000A27B3">
        <w:rPr>
          <w:rFonts w:ascii="Times New Roman" w:hAnsi="Times New Roman" w:cs="Times New Roman"/>
          <w:noProof/>
          <w:sz w:val="24"/>
          <w:szCs w:val="24"/>
          <w:vertAlign w:val="superscript"/>
          <w:lang w:val="en-GB"/>
        </w:rPr>
        <w:footnoteReference w:id="57"/>
      </w:r>
      <w:r>
        <w:rPr>
          <w:rFonts w:ascii="Times New Roman" w:hAnsi="Times New Roman"/>
          <w:noProof/>
          <w:sz w:val="24"/>
        </w:rPr>
        <w:t>.</w:t>
      </w:r>
    </w:p>
    <w:p w14:paraId="2EC9635B" w14:textId="77777777" w:rsidR="002B1133" w:rsidRPr="009F1DC7" w:rsidRDefault="002B1133">
      <w:pPr>
        <w:spacing w:before="120" w:after="120" w:line="240" w:lineRule="auto"/>
        <w:ind w:left="850"/>
        <w:jc w:val="both"/>
        <w:rPr>
          <w:rFonts w:ascii="Times New Roman" w:hAnsi="Times New Roman" w:cs="Times New Roman"/>
          <w:noProof/>
          <w:sz w:val="24"/>
          <w:szCs w:val="24"/>
          <w:lang w:val="fr-FR"/>
        </w:rPr>
        <w:sectPr w:rsidR="002B1133" w:rsidRPr="009F1DC7" w:rsidSect="00ED6412">
          <w:headerReference w:type="even" r:id="rId301"/>
          <w:headerReference w:type="default" r:id="rId302"/>
          <w:footerReference w:type="even" r:id="rId303"/>
          <w:footerReference w:type="default" r:id="rId304"/>
          <w:headerReference w:type="first" r:id="rId305"/>
          <w:footerReference w:type="first" r:id="rId306"/>
          <w:pgSz w:w="11906" w:h="16838"/>
          <w:pgMar w:top="1440" w:right="1440" w:bottom="1440" w:left="1440" w:header="708" w:footer="708" w:gutter="0"/>
          <w:cols w:space="708"/>
          <w:docGrid w:linePitch="360"/>
        </w:sectPr>
      </w:pPr>
    </w:p>
    <w:p w14:paraId="7EF56C54" w14:textId="77777777" w:rsidR="002B1133" w:rsidRPr="000A27B3" w:rsidRDefault="002B1133">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O.2. </w:t>
      </w:r>
      <w:r>
        <w:rPr>
          <w:noProof/>
        </w:rPr>
        <w:tab/>
      </w:r>
      <w:r>
        <w:rPr>
          <w:rFonts w:ascii="Times New Roman" w:hAnsi="Times New Roman"/>
          <w:b/>
          <w:noProof/>
          <w:sz w:val="24"/>
        </w:rPr>
        <w:t>Jaloane, ținte, indicatori și calendarul de monitorizare și implementare aplicabile sprijinului financiar nerambursabil</w:t>
      </w:r>
    </w:p>
    <w:p w14:paraId="2849BD4A" w14:textId="77777777" w:rsidR="002B1133" w:rsidRPr="009F1DC7" w:rsidRDefault="002B1133">
      <w:pPr>
        <w:spacing w:before="120" w:after="120" w:line="240" w:lineRule="auto"/>
        <w:ind w:left="709"/>
        <w:jc w:val="both"/>
        <w:rPr>
          <w:rFonts w:ascii="Times New Roman" w:hAnsi="Times New Roman" w:cs="Times New Roman"/>
          <w:noProof/>
          <w:sz w:val="24"/>
          <w:szCs w:val="24"/>
          <w:lang w:val="fr-FR"/>
        </w:rPr>
      </w:pPr>
    </w:p>
    <w:tbl>
      <w:tblPr>
        <w:tblW w:w="5186" w:type="pct"/>
        <w:tblInd w:w="-572" w:type="dxa"/>
        <w:tblLayout w:type="fixed"/>
        <w:tblCellMar>
          <w:left w:w="28" w:type="dxa"/>
          <w:right w:w="28" w:type="dxa"/>
        </w:tblCellMar>
        <w:tblLook w:val="04A0" w:firstRow="1" w:lastRow="0" w:firstColumn="1" w:lastColumn="0" w:noHBand="0" w:noVBand="1"/>
      </w:tblPr>
      <w:tblGrid>
        <w:gridCol w:w="1276"/>
        <w:gridCol w:w="1795"/>
        <w:gridCol w:w="56"/>
        <w:gridCol w:w="1126"/>
        <w:gridCol w:w="1559"/>
        <w:gridCol w:w="1843"/>
        <w:gridCol w:w="1072"/>
        <w:gridCol w:w="1080"/>
        <w:gridCol w:w="1080"/>
        <w:gridCol w:w="1200"/>
        <w:gridCol w:w="840"/>
        <w:gridCol w:w="3034"/>
      </w:tblGrid>
      <w:tr w:rsidR="00D1375D" w:rsidRPr="000A27B3" w14:paraId="4800CE38" w14:textId="77777777" w:rsidTr="00B74F9A">
        <w:trPr>
          <w:trHeight w:val="861"/>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FEF9394" w14:textId="5206D85A"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14FD6A7D"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118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58EAE918"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Jalon/țintă</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46FD1396"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75E54179" w14:textId="764CEBD8"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calitativi</w:t>
            </w:r>
            <w:r>
              <w:rPr>
                <w:noProof/>
              </w:rPr>
              <w:t xml:space="preserve"> </w:t>
            </w:r>
            <w:r>
              <w:rPr>
                <w:noProof/>
              </w:rPr>
              <w:br/>
            </w:r>
            <w:r>
              <w:rPr>
                <w:rFonts w:ascii="Times New Roman" w:hAnsi="Times New Roman"/>
                <w:b/>
                <w:noProof/>
                <w:sz w:val="24"/>
              </w:rPr>
              <w:t>(pentru jaloane)</w:t>
            </w:r>
          </w:p>
        </w:tc>
        <w:tc>
          <w:tcPr>
            <w:tcW w:w="3232"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770DB2F1" w14:textId="5CACD74F"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Indicatori 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40" w:type="dxa"/>
            <w:gridSpan w:val="2"/>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396CEA5" w14:textId="01565372"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Calendar orientativ pentru atingerea jaloanelor/</w:t>
            </w:r>
            <w:r w:rsidR="00B74F9A">
              <w:rPr>
                <w:rFonts w:ascii="Times New Roman" w:hAnsi="Times New Roman"/>
                <w:b/>
                <w:noProof/>
                <w:sz w:val="24"/>
              </w:rPr>
              <w:br/>
            </w:r>
            <w:r>
              <w:rPr>
                <w:rFonts w:ascii="Times New Roman" w:hAnsi="Times New Roman"/>
                <w:b/>
                <w:noProof/>
                <w:sz w:val="24"/>
              </w:rPr>
              <w:t>țintelor</w:t>
            </w:r>
          </w:p>
        </w:tc>
        <w:tc>
          <w:tcPr>
            <w:tcW w:w="3034"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2B827CF7"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D1375D" w:rsidRPr="000A27B3" w14:paraId="789A490A" w14:textId="77777777" w:rsidTr="00B74F9A">
        <w:trPr>
          <w:trHeight w:val="480"/>
          <w:tblHeader/>
        </w:trPr>
        <w:tc>
          <w:tcPr>
            <w:tcW w:w="1276" w:type="dxa"/>
            <w:vMerge/>
            <w:tcBorders>
              <w:top w:val="single" w:sz="4" w:space="0" w:color="auto"/>
              <w:left w:val="single" w:sz="4" w:space="0" w:color="auto"/>
              <w:bottom w:val="single" w:sz="4" w:space="0" w:color="auto"/>
              <w:right w:val="single" w:sz="4" w:space="0" w:color="auto"/>
            </w:tcBorders>
            <w:noWrap/>
            <w:vAlign w:val="center"/>
          </w:tcPr>
          <w:p w14:paraId="61F426EA"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1795" w:type="dxa"/>
            <w:vMerge/>
            <w:tcBorders>
              <w:top w:val="single" w:sz="4" w:space="0" w:color="auto"/>
              <w:left w:val="single" w:sz="4" w:space="0" w:color="auto"/>
              <w:bottom w:val="single" w:sz="4" w:space="0" w:color="auto"/>
              <w:right w:val="single" w:sz="4" w:space="0" w:color="auto"/>
            </w:tcBorders>
            <w:noWrap/>
            <w:vAlign w:val="center"/>
          </w:tcPr>
          <w:p w14:paraId="6E85C069"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1182" w:type="dxa"/>
            <w:gridSpan w:val="2"/>
            <w:vMerge/>
            <w:tcBorders>
              <w:top w:val="single" w:sz="4" w:space="0" w:color="auto"/>
              <w:left w:val="single" w:sz="4" w:space="0" w:color="auto"/>
              <w:bottom w:val="single" w:sz="4" w:space="0" w:color="auto"/>
              <w:right w:val="single" w:sz="4" w:space="0" w:color="auto"/>
            </w:tcBorders>
            <w:noWrap/>
            <w:vAlign w:val="center"/>
          </w:tcPr>
          <w:p w14:paraId="1C338172"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1559" w:type="dxa"/>
            <w:vMerge/>
            <w:tcBorders>
              <w:top w:val="single" w:sz="4" w:space="0" w:color="auto"/>
              <w:left w:val="single" w:sz="4" w:space="0" w:color="auto"/>
              <w:bottom w:val="single" w:sz="4" w:space="0" w:color="auto"/>
              <w:right w:val="single" w:sz="4" w:space="0" w:color="auto"/>
            </w:tcBorders>
            <w:noWrap/>
            <w:vAlign w:val="center"/>
          </w:tcPr>
          <w:p w14:paraId="7EF9AB48"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14:paraId="4B2CE430"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107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143AE92C"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Unitate</w:t>
            </w:r>
          </w:p>
          <w:p w14:paraId="042CE031" w14:textId="557E700F" w:rsidR="002B1133" w:rsidRPr="000A27B3" w:rsidRDefault="00496438" w:rsidP="00496438">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 măsură</w:t>
            </w:r>
          </w:p>
        </w:tc>
        <w:tc>
          <w:tcPr>
            <w:tcW w:w="1080"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8A16AC0"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Valoare de referință</w:t>
            </w:r>
          </w:p>
        </w:tc>
        <w:tc>
          <w:tcPr>
            <w:tcW w:w="1080"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389355E"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Obiectiv</w:t>
            </w:r>
          </w:p>
        </w:tc>
        <w:tc>
          <w:tcPr>
            <w:tcW w:w="1200"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1D14D62"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840"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05929AB9"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034" w:type="dxa"/>
            <w:vMerge/>
            <w:tcBorders>
              <w:top w:val="single" w:sz="4" w:space="0" w:color="auto"/>
              <w:bottom w:val="single" w:sz="4" w:space="0" w:color="auto"/>
              <w:right w:val="single" w:sz="4" w:space="0" w:color="auto"/>
            </w:tcBorders>
            <w:noWrap/>
            <w:vAlign w:val="center"/>
          </w:tcPr>
          <w:p w14:paraId="644650E5" w14:textId="77777777" w:rsidR="002B1133" w:rsidRPr="000A27B3" w:rsidRDefault="002B1133">
            <w:pPr>
              <w:spacing w:after="0" w:line="240" w:lineRule="auto"/>
              <w:jc w:val="center"/>
              <w:rPr>
                <w:rFonts w:ascii="Times New Roman" w:eastAsia="Times New Roman" w:hAnsi="Times New Roman" w:cs="Times New Roman"/>
                <w:b/>
                <w:noProof/>
                <w:sz w:val="24"/>
                <w:lang w:val="en-GB" w:eastAsia="en-GB"/>
              </w:rPr>
            </w:pPr>
          </w:p>
        </w:tc>
      </w:tr>
      <w:tr w:rsidR="00D1375D" w:rsidRPr="000A27B3" w14:paraId="26B8C143"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1F0FB6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452</w:t>
            </w:r>
          </w:p>
        </w:tc>
        <w:tc>
          <w:tcPr>
            <w:tcW w:w="1795" w:type="dxa"/>
            <w:tcBorders>
              <w:top w:val="single" w:sz="4" w:space="0" w:color="auto"/>
              <w:left w:val="nil"/>
              <w:bottom w:val="single" w:sz="4" w:space="0" w:color="auto"/>
              <w:right w:val="single" w:sz="4" w:space="0" w:color="auto"/>
            </w:tcBorders>
            <w:shd w:val="clear" w:color="auto" w:fill="C6EFCE"/>
            <w:noWrap/>
          </w:tcPr>
          <w:p w14:paraId="24E927C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1. Elaborarea și adoptarea pachetului legislativ pentru implementarea proiectului „România Educată”</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FA8188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0EC2742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pachetului legislativ pentru implementarea proiectului „România Educată”</w:t>
            </w:r>
          </w:p>
        </w:tc>
        <w:tc>
          <w:tcPr>
            <w:tcW w:w="1843" w:type="dxa"/>
            <w:tcBorders>
              <w:top w:val="single" w:sz="4" w:space="0" w:color="auto"/>
              <w:left w:val="nil"/>
              <w:bottom w:val="single" w:sz="4" w:space="0" w:color="auto"/>
              <w:right w:val="single" w:sz="4" w:space="0" w:color="auto"/>
            </w:tcBorders>
            <w:shd w:val="clear" w:color="auto" w:fill="C6EFCE"/>
            <w:noWrap/>
          </w:tcPr>
          <w:p w14:paraId="54EDAB1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în pachetul legislativ care indică intrarea în vigoare a proiectului „România Educată”</w:t>
            </w:r>
          </w:p>
        </w:tc>
        <w:tc>
          <w:tcPr>
            <w:tcW w:w="1072" w:type="dxa"/>
            <w:tcBorders>
              <w:top w:val="single" w:sz="4" w:space="0" w:color="auto"/>
              <w:left w:val="nil"/>
              <w:bottom w:val="single" w:sz="4" w:space="0" w:color="auto"/>
              <w:right w:val="single" w:sz="4" w:space="0" w:color="auto"/>
            </w:tcBorders>
            <w:shd w:val="clear" w:color="auto" w:fill="C6EFCE"/>
            <w:noWrap/>
          </w:tcPr>
          <w:p w14:paraId="3CCA8048" w14:textId="77777777" w:rsidR="002B1133" w:rsidRPr="009F1DC7" w:rsidRDefault="002B1133">
            <w:pPr>
              <w:spacing w:after="0" w:line="240" w:lineRule="auto"/>
              <w:jc w:val="both"/>
              <w:rPr>
                <w:rFonts w:ascii="Times New Roman" w:hAnsi="Times New Roman" w:cs="Times New Roman"/>
                <w:noProof/>
                <w:sz w:val="24"/>
                <w:szCs w:val="24"/>
              </w:rPr>
            </w:pPr>
          </w:p>
        </w:tc>
        <w:tc>
          <w:tcPr>
            <w:tcW w:w="1080" w:type="dxa"/>
            <w:tcBorders>
              <w:top w:val="single" w:sz="4" w:space="0" w:color="auto"/>
              <w:left w:val="nil"/>
              <w:bottom w:val="single" w:sz="4" w:space="0" w:color="auto"/>
              <w:right w:val="single" w:sz="4" w:space="0" w:color="auto"/>
            </w:tcBorders>
            <w:shd w:val="clear" w:color="auto" w:fill="C6EFCE"/>
            <w:noWrap/>
          </w:tcPr>
          <w:p w14:paraId="3FA81097" w14:textId="77777777" w:rsidR="002B1133" w:rsidRPr="009F1DC7" w:rsidRDefault="002B1133">
            <w:pPr>
              <w:spacing w:after="0" w:line="240" w:lineRule="auto"/>
              <w:jc w:val="both"/>
              <w:rPr>
                <w:rFonts w:ascii="Times New Roman" w:hAnsi="Times New Roman" w:cs="Times New Roman"/>
                <w:noProof/>
                <w:sz w:val="24"/>
                <w:szCs w:val="24"/>
              </w:rPr>
            </w:pPr>
          </w:p>
        </w:tc>
        <w:tc>
          <w:tcPr>
            <w:tcW w:w="1080" w:type="dxa"/>
            <w:tcBorders>
              <w:top w:val="single" w:sz="4" w:space="0" w:color="auto"/>
              <w:left w:val="nil"/>
              <w:bottom w:val="single" w:sz="4" w:space="0" w:color="auto"/>
              <w:right w:val="single" w:sz="4" w:space="0" w:color="auto"/>
            </w:tcBorders>
            <w:shd w:val="clear" w:color="auto" w:fill="C6EFCE"/>
            <w:noWrap/>
          </w:tcPr>
          <w:p w14:paraId="2D9140CE" w14:textId="77777777" w:rsidR="002B1133" w:rsidRPr="009F1DC7" w:rsidRDefault="002B1133">
            <w:pPr>
              <w:spacing w:after="0" w:line="240" w:lineRule="auto"/>
              <w:jc w:val="both"/>
              <w:rPr>
                <w:rFonts w:ascii="Times New Roman" w:hAnsi="Times New Roman" w:cs="Times New Roman"/>
                <w:noProof/>
                <w:sz w:val="24"/>
                <w:szCs w:val="24"/>
              </w:rPr>
            </w:pPr>
          </w:p>
        </w:tc>
        <w:tc>
          <w:tcPr>
            <w:tcW w:w="1200" w:type="dxa"/>
            <w:tcBorders>
              <w:top w:val="single" w:sz="4" w:space="0" w:color="auto"/>
              <w:left w:val="nil"/>
              <w:bottom w:val="single" w:sz="4" w:space="0" w:color="auto"/>
              <w:right w:val="single" w:sz="4" w:space="0" w:color="auto"/>
            </w:tcBorders>
            <w:shd w:val="clear" w:color="auto" w:fill="C6EFCE"/>
            <w:noWrap/>
          </w:tcPr>
          <w:p w14:paraId="386FF16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398D031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034" w:type="dxa"/>
            <w:tcBorders>
              <w:top w:val="single" w:sz="4" w:space="0" w:color="auto"/>
              <w:left w:val="nil"/>
              <w:bottom w:val="single" w:sz="4" w:space="0" w:color="auto"/>
              <w:right w:val="single" w:sz="4" w:space="0" w:color="auto"/>
            </w:tcBorders>
            <w:shd w:val="clear" w:color="auto" w:fill="C6EFCE"/>
            <w:noWrap/>
          </w:tcPr>
          <w:p w14:paraId="71BB664F" w14:textId="7A3313C3"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Pachetul legislativ va include:</w:t>
            </w:r>
          </w:p>
          <w:p w14:paraId="3D50DB50" w14:textId="5CF0FCD5" w:rsidR="002B1133" w:rsidRPr="000A27B3" w:rsidRDefault="002B1133" w:rsidP="002B1133">
            <w:pPr>
              <w:numPr>
                <w:ilvl w:val="0"/>
                <w:numId w:val="100"/>
              </w:numPr>
              <w:spacing w:after="0" w:line="240" w:lineRule="auto"/>
              <w:ind w:left="189" w:hanging="128"/>
              <w:jc w:val="both"/>
              <w:rPr>
                <w:rFonts w:ascii="Times New Roman" w:hAnsi="Times New Roman" w:cs="Times New Roman"/>
                <w:noProof/>
                <w:sz w:val="24"/>
                <w:szCs w:val="24"/>
              </w:rPr>
            </w:pPr>
            <w:r>
              <w:rPr>
                <w:rFonts w:ascii="Times New Roman" w:hAnsi="Times New Roman"/>
                <w:noProof/>
                <w:sz w:val="24"/>
              </w:rPr>
              <w:t>constituirea unui grup de lucru interministerial coordonat de primul ministru, care va monitoriza proiectul „România Educată”. Publicarea de rapoarte de monitorizare;</w:t>
            </w:r>
          </w:p>
          <w:p w14:paraId="61FA5437" w14:textId="24206A5C" w:rsidR="002B1133" w:rsidRPr="000A27B3" w:rsidRDefault="002B1133" w:rsidP="002B1133">
            <w:pPr>
              <w:numPr>
                <w:ilvl w:val="0"/>
                <w:numId w:val="100"/>
              </w:numPr>
              <w:spacing w:after="0" w:line="240" w:lineRule="auto"/>
              <w:ind w:left="189" w:hanging="128"/>
              <w:jc w:val="both"/>
              <w:rPr>
                <w:rFonts w:ascii="Times New Roman" w:hAnsi="Times New Roman" w:cs="Times New Roman"/>
                <w:noProof/>
                <w:sz w:val="24"/>
                <w:szCs w:val="24"/>
              </w:rPr>
            </w:pPr>
            <w:r>
              <w:rPr>
                <w:rFonts w:ascii="Times New Roman" w:hAnsi="Times New Roman"/>
                <w:noProof/>
                <w:sz w:val="24"/>
              </w:rPr>
              <w:t>adoptarea unui ordin ministerial de stabilire a termenelor și responsabilităților pentru implementarea proiectului „România Educată”;</w:t>
            </w:r>
          </w:p>
          <w:p w14:paraId="5B7DBF1C" w14:textId="77777777" w:rsidR="002B1133" w:rsidRPr="000A27B3" w:rsidRDefault="002B1133" w:rsidP="002B1133">
            <w:pPr>
              <w:numPr>
                <w:ilvl w:val="0"/>
                <w:numId w:val="100"/>
              </w:numPr>
              <w:spacing w:after="0" w:line="240" w:lineRule="auto"/>
              <w:ind w:left="189" w:hanging="128"/>
              <w:jc w:val="both"/>
              <w:rPr>
                <w:rFonts w:ascii="Times New Roman" w:eastAsia="Times New Roman" w:hAnsi="Times New Roman" w:cs="Times New Roman"/>
                <w:noProof/>
                <w:sz w:val="24"/>
              </w:rPr>
            </w:pPr>
            <w:r>
              <w:rPr>
                <w:rFonts w:ascii="Times New Roman" w:hAnsi="Times New Roman"/>
                <w:noProof/>
                <w:sz w:val="24"/>
              </w:rPr>
              <w:t>măsuri legislative pentru a asigura implementarea proiectului „România Educată”.</w:t>
            </w:r>
          </w:p>
          <w:p w14:paraId="02197C0D" w14:textId="77777777" w:rsidR="002B1133" w:rsidRPr="000A27B3" w:rsidRDefault="002B1133">
            <w:pPr>
              <w:spacing w:after="0" w:line="240" w:lineRule="auto"/>
              <w:ind w:left="61"/>
              <w:jc w:val="both"/>
              <w:rPr>
                <w:rFonts w:ascii="Times New Roman" w:eastAsia="Times New Roman" w:hAnsi="Times New Roman" w:cs="Times New Roman"/>
                <w:noProof/>
                <w:sz w:val="24"/>
              </w:rPr>
            </w:pPr>
            <w:r>
              <w:rPr>
                <w:rFonts w:ascii="Times New Roman" w:hAnsi="Times New Roman"/>
                <w:noProof/>
                <w:sz w:val="24"/>
              </w:rPr>
              <w:t>Pentru pregătirea pachetului legislativ se vor organiza consultări cu partenerii sociali, reprezentanții asociațiilor de părinți, ai întreprinderilor și ai organizațiilor neguvernamentale, comunitățile locale, alte autorități/entități publice, elevi, studenți, cadre didactice, experți.</w:t>
            </w:r>
          </w:p>
        </w:tc>
      </w:tr>
      <w:tr w:rsidR="00D1375D" w:rsidRPr="000A27B3" w14:paraId="6B4C9C5D"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8DAE636"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453</w:t>
            </w:r>
          </w:p>
        </w:tc>
        <w:tc>
          <w:tcPr>
            <w:tcW w:w="1795" w:type="dxa"/>
            <w:tcBorders>
              <w:top w:val="single" w:sz="4" w:space="0" w:color="auto"/>
              <w:left w:val="nil"/>
              <w:bottom w:val="single" w:sz="4" w:space="0" w:color="auto"/>
              <w:right w:val="single" w:sz="4" w:space="0" w:color="auto"/>
            </w:tcBorders>
            <w:shd w:val="clear" w:color="auto" w:fill="C6EFCE"/>
            <w:noWrap/>
          </w:tcPr>
          <w:p w14:paraId="20BE58F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2. Dezvoltarea unui sistem de servicii de educație timpurie unitar, incluziv și de calitate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166FFA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276A64F0" w14:textId="77777777" w:rsidR="002B1133" w:rsidRPr="000A27B3" w:rsidRDefault="002B1133">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 Intrarea în vigoare a Ordinului ministerial (OM) de adoptare a programului-cadru intersectorial </w:t>
            </w:r>
          </w:p>
          <w:p w14:paraId="37AF18A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Intrarea în vigoare a MO care reglementează înființarea, organizarea și funcționarea serviciilor complementare de educație timpurie</w:t>
            </w:r>
          </w:p>
          <w:p w14:paraId="5352048D" w14:textId="77777777" w:rsidR="002B1133" w:rsidRPr="000A27B3" w:rsidRDefault="002B1133">
            <w:pPr>
              <w:spacing w:after="0" w:line="240" w:lineRule="auto"/>
              <w:jc w:val="both"/>
              <w:rPr>
                <w:rFonts w:ascii="Times New Roman" w:hAnsi="Times New Roman" w:cs="Times New Roman"/>
                <w:noProof/>
                <w:sz w:val="24"/>
                <w:szCs w:val="24"/>
                <w:lang w:val="en-GB"/>
              </w:rPr>
            </w:pPr>
          </w:p>
          <w:p w14:paraId="0C858A6A"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843" w:type="dxa"/>
            <w:tcBorders>
              <w:top w:val="single" w:sz="4" w:space="0" w:color="auto"/>
              <w:left w:val="nil"/>
              <w:bottom w:val="single" w:sz="4" w:space="0" w:color="auto"/>
              <w:right w:val="single" w:sz="4" w:space="0" w:color="auto"/>
            </w:tcBorders>
            <w:shd w:val="clear" w:color="auto" w:fill="C6EFCE"/>
            <w:noWrap/>
          </w:tcPr>
          <w:p w14:paraId="7A1BBB47" w14:textId="77777777" w:rsidR="002B1133" w:rsidRPr="000A27B3" w:rsidRDefault="002B1133">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 Dispoziție legală în OM care indică intrarea în vigoare a programului-cadru intersectorial </w:t>
            </w:r>
          </w:p>
          <w:p w14:paraId="14EC8A8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Dispoziție legală în OM care indică intrare în vigoare a regulamentului privind înființarea, organizarea și funcționarea serviciilor complementare de educație timpurie</w:t>
            </w:r>
          </w:p>
        </w:tc>
        <w:tc>
          <w:tcPr>
            <w:tcW w:w="1072" w:type="dxa"/>
            <w:tcBorders>
              <w:top w:val="single" w:sz="4" w:space="0" w:color="auto"/>
              <w:left w:val="nil"/>
              <w:bottom w:val="single" w:sz="4" w:space="0" w:color="auto"/>
              <w:right w:val="single" w:sz="4" w:space="0" w:color="auto"/>
            </w:tcBorders>
            <w:shd w:val="clear" w:color="auto" w:fill="C6EFCE"/>
            <w:noWrap/>
          </w:tcPr>
          <w:p w14:paraId="518B411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664C3C2F"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15ADBF74"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4596799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38C3756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3D7B478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Ordinul ministerial, semnat de ministrul educației, ministrul muncii și protecției sociale, ministrul sănătății și ministrul dezvoltării, lucrărilor publice și administrației, va adopta și va operaționaliza, în cursul primului an al programului, programul-cadru intersectorial privind dezvoltarea serviciilor de educație timpurie, ca servicii unitare, incluzive și de calitate.</w:t>
            </w:r>
          </w:p>
          <w:p w14:paraId="3D73195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Ordinul ministerial va cuprinde:</w:t>
            </w:r>
          </w:p>
          <w:p w14:paraId="039F497E" w14:textId="77777777" w:rsidR="002B1133" w:rsidRPr="000A27B3" w:rsidRDefault="002B1133" w:rsidP="002B1133">
            <w:pPr>
              <w:numPr>
                <w:ilvl w:val="0"/>
                <w:numId w:val="123"/>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programul-cadru intersectorial, cu responsabilitățile fiecărui minister;</w:t>
            </w:r>
          </w:p>
          <w:p w14:paraId="10D30D11" w14:textId="77777777" w:rsidR="002B1133" w:rsidRPr="000A27B3" w:rsidRDefault="002B1133" w:rsidP="002B1133">
            <w:pPr>
              <w:numPr>
                <w:ilvl w:val="0"/>
                <w:numId w:val="123"/>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planuri operaționale anuale de implementare pentru punerea în aplicare a programului-cadru intersectorial. Aceste planuri anuale vor defini termenele și responsabilitățile și vor clarifica aspectele cooperării în ceea ce privește monitorizarea implementării măsurilor respective. </w:t>
            </w:r>
          </w:p>
          <w:p w14:paraId="0BA8F1B0" w14:textId="1CE486FD"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Un pas suplimentar va fi adoptarea până la 31</w:t>
            </w:r>
            <w:r w:rsidR="00B74F9A">
              <w:rPr>
                <w:rFonts w:ascii="Times New Roman" w:hAnsi="Times New Roman"/>
                <w:noProof/>
                <w:sz w:val="24"/>
              </w:rPr>
              <w:t> </w:t>
            </w:r>
            <w:r>
              <w:rPr>
                <w:rFonts w:ascii="Times New Roman" w:hAnsi="Times New Roman"/>
                <w:noProof/>
                <w:sz w:val="24"/>
              </w:rPr>
              <w:t>decembrie 2022 a unui ordin ministerial care să reglementeze înființarea, organizarea și funcționarea serviciilor complementare de educație timpurie, în vederea pregătirii lansării schemei de granturi.</w:t>
            </w:r>
          </w:p>
        </w:tc>
      </w:tr>
      <w:tr w:rsidR="00D1375D" w:rsidRPr="000A27B3" w14:paraId="40D69AA9" w14:textId="77777777" w:rsidTr="00B74F9A">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75179B29"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454</w:t>
            </w:r>
          </w:p>
        </w:tc>
        <w:tc>
          <w:tcPr>
            <w:tcW w:w="1795" w:type="dxa"/>
            <w:tcBorders>
              <w:top w:val="nil"/>
              <w:left w:val="nil"/>
              <w:bottom w:val="single" w:sz="4" w:space="0" w:color="auto"/>
              <w:right w:val="single" w:sz="4" w:space="0" w:color="auto"/>
            </w:tcBorders>
            <w:shd w:val="clear" w:color="auto" w:fill="C6EFCE"/>
            <w:noWrap/>
          </w:tcPr>
          <w:p w14:paraId="25A86C0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2. Dezvoltarea unui sistem de servicii de educație timpurie unitar, incluziv și de calitate</w:t>
            </w:r>
          </w:p>
        </w:tc>
        <w:tc>
          <w:tcPr>
            <w:tcW w:w="1182" w:type="dxa"/>
            <w:gridSpan w:val="2"/>
            <w:tcBorders>
              <w:top w:val="nil"/>
              <w:left w:val="nil"/>
              <w:bottom w:val="single" w:sz="4" w:space="0" w:color="auto"/>
              <w:right w:val="single" w:sz="4" w:space="0" w:color="auto"/>
            </w:tcBorders>
            <w:shd w:val="clear" w:color="auto" w:fill="C6EFCE"/>
            <w:noWrap/>
          </w:tcPr>
          <w:p w14:paraId="494442C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nil"/>
              <w:left w:val="nil"/>
              <w:bottom w:val="single" w:sz="4" w:space="0" w:color="auto"/>
              <w:right w:val="single" w:sz="4" w:space="0" w:color="auto"/>
            </w:tcBorders>
            <w:shd w:val="clear" w:color="auto" w:fill="C6EFCE"/>
            <w:noWrap/>
          </w:tcPr>
          <w:p w14:paraId="5AC35D2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Rata de participare a copiilor cu vârste cuprinse între 0 și 3 ani la serviciile de educație timpurie</w:t>
            </w:r>
          </w:p>
        </w:tc>
        <w:tc>
          <w:tcPr>
            <w:tcW w:w="1843" w:type="dxa"/>
            <w:tcBorders>
              <w:top w:val="nil"/>
              <w:left w:val="nil"/>
              <w:bottom w:val="single" w:sz="4" w:space="0" w:color="auto"/>
              <w:right w:val="single" w:sz="4" w:space="0" w:color="auto"/>
            </w:tcBorders>
            <w:shd w:val="clear" w:color="auto" w:fill="C6EFCE"/>
            <w:noWrap/>
          </w:tcPr>
          <w:p w14:paraId="13DA9C1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nil"/>
              <w:left w:val="nil"/>
              <w:bottom w:val="single" w:sz="4" w:space="0" w:color="auto"/>
              <w:right w:val="single" w:sz="4" w:space="0" w:color="auto"/>
            </w:tcBorders>
            <w:shd w:val="clear" w:color="auto" w:fill="C6EFCE"/>
            <w:noWrap/>
          </w:tcPr>
          <w:p w14:paraId="44A29A76" w14:textId="77777777" w:rsidR="002B1133" w:rsidRPr="000A27B3" w:rsidRDefault="002B1133">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2D0C69A0"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nil"/>
              <w:left w:val="nil"/>
              <w:bottom w:val="single" w:sz="4" w:space="0" w:color="auto"/>
              <w:right w:val="single" w:sz="4" w:space="0" w:color="auto"/>
            </w:tcBorders>
            <w:shd w:val="clear" w:color="auto" w:fill="C6EFCE"/>
            <w:noWrap/>
          </w:tcPr>
          <w:p w14:paraId="503CE0E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14,1</w:t>
            </w:r>
          </w:p>
        </w:tc>
        <w:tc>
          <w:tcPr>
            <w:tcW w:w="1080" w:type="dxa"/>
            <w:tcBorders>
              <w:top w:val="nil"/>
              <w:left w:val="nil"/>
              <w:bottom w:val="single" w:sz="4" w:space="0" w:color="auto"/>
              <w:right w:val="single" w:sz="4" w:space="0" w:color="auto"/>
            </w:tcBorders>
            <w:shd w:val="clear" w:color="auto" w:fill="C6EFCE"/>
            <w:noWrap/>
          </w:tcPr>
          <w:p w14:paraId="4A8D36E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19</w:t>
            </w:r>
          </w:p>
          <w:p w14:paraId="26809AE8"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2EC37F5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nil"/>
              <w:left w:val="nil"/>
              <w:bottom w:val="single" w:sz="4" w:space="0" w:color="auto"/>
              <w:right w:val="single" w:sz="4" w:space="0" w:color="auto"/>
            </w:tcBorders>
            <w:shd w:val="clear" w:color="auto" w:fill="C6EFCE"/>
            <w:noWrap/>
          </w:tcPr>
          <w:p w14:paraId="1CF8E3E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nil"/>
              <w:left w:val="nil"/>
              <w:bottom w:val="single" w:sz="4" w:space="0" w:color="auto"/>
              <w:right w:val="single" w:sz="4" w:space="0" w:color="auto"/>
            </w:tcBorders>
            <w:shd w:val="clear" w:color="auto" w:fill="C6EFCE"/>
            <w:noWrap/>
          </w:tcPr>
          <w:p w14:paraId="134BF0B5" w14:textId="607E22C1"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Rata de participare a copiilor cu vârste cuprinse între 0 și 3 ani la serviciile de educație</w:t>
            </w:r>
            <w:r w:rsidR="00B74F9A">
              <w:rPr>
                <w:rFonts w:ascii="Times New Roman" w:hAnsi="Times New Roman"/>
                <w:noProof/>
                <w:sz w:val="24"/>
              </w:rPr>
              <w:t> </w:t>
            </w:r>
            <w:r>
              <w:rPr>
                <w:rFonts w:ascii="Times New Roman" w:hAnsi="Times New Roman"/>
                <w:noProof/>
                <w:sz w:val="24"/>
              </w:rPr>
              <w:t>timpurie va crește cu 4,9 puncte procentuale.</w:t>
            </w:r>
          </w:p>
          <w:p w14:paraId="635E16C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Indicatorul „participarea la îngrijirea formală a copiilor cu vârste între 0 și 3 ani” va fi extras din sondajul EU-SILC.</w:t>
            </w:r>
          </w:p>
          <w:p w14:paraId="2B9CFE5A" w14:textId="0900AF5C"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Numărul posibil de locuri în cadrul serviciilor standard și complementare nou construite/înființate până la 31</w:t>
            </w:r>
            <w:r w:rsidR="00B74F9A">
              <w:rPr>
                <w:rFonts w:ascii="Times New Roman" w:hAnsi="Times New Roman"/>
                <w:noProof/>
                <w:sz w:val="24"/>
              </w:rPr>
              <w:t> </w:t>
            </w:r>
            <w:r>
              <w:rPr>
                <w:rFonts w:ascii="Times New Roman" w:hAnsi="Times New Roman"/>
                <w:noProof/>
                <w:sz w:val="24"/>
              </w:rPr>
              <w:t>decembrie 2025 este de aproximativ 15 000.</w:t>
            </w:r>
          </w:p>
        </w:tc>
      </w:tr>
      <w:tr w:rsidR="00D1375D" w:rsidRPr="000A27B3" w14:paraId="004C7941" w14:textId="77777777" w:rsidTr="00B74F9A">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03F828AE"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455</w:t>
            </w:r>
          </w:p>
        </w:tc>
        <w:tc>
          <w:tcPr>
            <w:tcW w:w="1795" w:type="dxa"/>
            <w:tcBorders>
              <w:top w:val="nil"/>
              <w:left w:val="nil"/>
              <w:bottom w:val="single" w:sz="4" w:space="0" w:color="auto"/>
              <w:right w:val="single" w:sz="4" w:space="0" w:color="auto"/>
            </w:tcBorders>
            <w:shd w:val="clear" w:color="auto" w:fill="C6EFCE"/>
            <w:noWrap/>
          </w:tcPr>
          <w:p w14:paraId="623D422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2. Dezvoltarea unui sistem de servicii de educație timpurie unitar, incluziv și de calitate</w:t>
            </w:r>
          </w:p>
        </w:tc>
        <w:tc>
          <w:tcPr>
            <w:tcW w:w="1182" w:type="dxa"/>
            <w:gridSpan w:val="2"/>
            <w:tcBorders>
              <w:top w:val="nil"/>
              <w:left w:val="nil"/>
              <w:bottom w:val="single" w:sz="4" w:space="0" w:color="auto"/>
              <w:right w:val="single" w:sz="4" w:space="0" w:color="auto"/>
            </w:tcBorders>
            <w:shd w:val="clear" w:color="auto" w:fill="C6EFCE"/>
            <w:noWrap/>
          </w:tcPr>
          <w:p w14:paraId="63207D3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nil"/>
              <w:left w:val="nil"/>
              <w:bottom w:val="single" w:sz="4" w:space="0" w:color="auto"/>
              <w:right w:val="single" w:sz="4" w:space="0" w:color="auto"/>
            </w:tcBorders>
            <w:shd w:val="clear" w:color="auto" w:fill="C6EFCE"/>
            <w:noWrap/>
          </w:tcPr>
          <w:p w14:paraId="70703151" w14:textId="125533D0"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Rata de participare a copiilor cu vârste cuprinse între 3 și 6 ani la serviciile de educație timpurie</w:t>
            </w:r>
          </w:p>
        </w:tc>
        <w:tc>
          <w:tcPr>
            <w:tcW w:w="1843" w:type="dxa"/>
            <w:tcBorders>
              <w:top w:val="nil"/>
              <w:left w:val="nil"/>
              <w:bottom w:val="single" w:sz="4" w:space="0" w:color="auto"/>
              <w:right w:val="single" w:sz="4" w:space="0" w:color="auto"/>
            </w:tcBorders>
            <w:shd w:val="clear" w:color="auto" w:fill="C6EFCE"/>
            <w:noWrap/>
          </w:tcPr>
          <w:p w14:paraId="1B20F32E"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nil"/>
              <w:left w:val="nil"/>
              <w:bottom w:val="single" w:sz="4" w:space="0" w:color="auto"/>
              <w:right w:val="single" w:sz="4" w:space="0" w:color="auto"/>
            </w:tcBorders>
            <w:shd w:val="clear" w:color="auto" w:fill="C6EFCE"/>
            <w:noWrap/>
          </w:tcPr>
          <w:p w14:paraId="5A1DDDD6" w14:textId="77777777" w:rsidR="002B1133" w:rsidRPr="000A27B3" w:rsidRDefault="002B1133">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46D44870"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nil"/>
              <w:left w:val="nil"/>
              <w:bottom w:val="single" w:sz="4" w:space="0" w:color="auto"/>
              <w:right w:val="single" w:sz="4" w:space="0" w:color="auto"/>
            </w:tcBorders>
            <w:shd w:val="clear" w:color="auto" w:fill="C6EFCE"/>
            <w:noWrap/>
          </w:tcPr>
          <w:p w14:paraId="58EBC78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88</w:t>
            </w:r>
          </w:p>
        </w:tc>
        <w:tc>
          <w:tcPr>
            <w:tcW w:w="1080" w:type="dxa"/>
            <w:tcBorders>
              <w:top w:val="nil"/>
              <w:left w:val="nil"/>
              <w:bottom w:val="single" w:sz="4" w:space="0" w:color="auto"/>
              <w:right w:val="single" w:sz="4" w:space="0" w:color="auto"/>
            </w:tcBorders>
            <w:shd w:val="clear" w:color="auto" w:fill="C6EFCE"/>
            <w:noWrap/>
          </w:tcPr>
          <w:p w14:paraId="685273E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91</w:t>
            </w:r>
          </w:p>
        </w:tc>
        <w:tc>
          <w:tcPr>
            <w:tcW w:w="1200" w:type="dxa"/>
            <w:tcBorders>
              <w:top w:val="nil"/>
              <w:left w:val="nil"/>
              <w:bottom w:val="single" w:sz="4" w:space="0" w:color="auto"/>
              <w:right w:val="single" w:sz="4" w:space="0" w:color="auto"/>
            </w:tcBorders>
            <w:shd w:val="clear" w:color="auto" w:fill="C6EFCE"/>
            <w:noWrap/>
          </w:tcPr>
          <w:p w14:paraId="3E34B03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nil"/>
              <w:left w:val="nil"/>
              <w:bottom w:val="single" w:sz="4" w:space="0" w:color="auto"/>
              <w:right w:val="single" w:sz="4" w:space="0" w:color="auto"/>
            </w:tcBorders>
            <w:shd w:val="clear" w:color="auto" w:fill="C6EFCE"/>
            <w:noWrap/>
          </w:tcPr>
          <w:p w14:paraId="065A202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nil"/>
              <w:left w:val="nil"/>
              <w:bottom w:val="single" w:sz="4" w:space="0" w:color="auto"/>
              <w:right w:val="single" w:sz="4" w:space="0" w:color="auto"/>
            </w:tcBorders>
            <w:shd w:val="clear" w:color="auto" w:fill="C6EFCE"/>
            <w:noWrap/>
          </w:tcPr>
          <w:p w14:paraId="4A8F512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Rata de participare a copiilor cu vârste cuprinse între 3 și 6 ani la serviciile de educație timpurie va crește cu 3 puncte procentuale.</w:t>
            </w:r>
          </w:p>
          <w:p w14:paraId="772923B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Rata de participare se va calcula anual de către Institutul Național de Statistică (INS) pe baza informațiilor furnizate de unitățile de educație timpurie.</w:t>
            </w:r>
          </w:p>
        </w:tc>
      </w:tr>
      <w:tr w:rsidR="00D1375D" w:rsidRPr="000A27B3" w14:paraId="253006CF" w14:textId="77777777" w:rsidTr="00B74F9A">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10D46EA2"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456</w:t>
            </w:r>
          </w:p>
        </w:tc>
        <w:tc>
          <w:tcPr>
            <w:tcW w:w="1795" w:type="dxa"/>
            <w:tcBorders>
              <w:top w:val="nil"/>
              <w:left w:val="nil"/>
              <w:bottom w:val="single" w:sz="4" w:space="0" w:color="auto"/>
              <w:right w:val="single" w:sz="4" w:space="0" w:color="auto"/>
            </w:tcBorders>
            <w:shd w:val="clear" w:color="auto" w:fill="C6EFCE"/>
            <w:noWrap/>
          </w:tcPr>
          <w:p w14:paraId="40A5034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 Construirea, echiparea și operaționalizarea a 110 creșe</w:t>
            </w:r>
          </w:p>
        </w:tc>
        <w:tc>
          <w:tcPr>
            <w:tcW w:w="1182" w:type="dxa"/>
            <w:gridSpan w:val="2"/>
            <w:tcBorders>
              <w:top w:val="nil"/>
              <w:left w:val="nil"/>
              <w:bottom w:val="single" w:sz="4" w:space="0" w:color="auto"/>
              <w:right w:val="single" w:sz="4" w:space="0" w:color="auto"/>
            </w:tcBorders>
            <w:shd w:val="clear" w:color="auto" w:fill="C6EFCE"/>
            <w:noWrap/>
          </w:tcPr>
          <w:p w14:paraId="157BE5D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nil"/>
              <w:left w:val="nil"/>
              <w:bottom w:val="single" w:sz="4" w:space="0" w:color="auto"/>
              <w:right w:val="single" w:sz="4" w:space="0" w:color="auto"/>
            </w:tcBorders>
            <w:shd w:val="clear" w:color="auto" w:fill="C6EFCE"/>
            <w:noWrap/>
          </w:tcPr>
          <w:p w14:paraId="4D2D186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cu operatorii publici (municipalități) pentru construirea, echiparea și operaționalizarea a 110 creșe</w:t>
            </w:r>
          </w:p>
        </w:tc>
        <w:tc>
          <w:tcPr>
            <w:tcW w:w="1843" w:type="dxa"/>
            <w:tcBorders>
              <w:top w:val="nil"/>
              <w:left w:val="nil"/>
              <w:bottom w:val="single" w:sz="4" w:space="0" w:color="auto"/>
              <w:right w:val="single" w:sz="4" w:space="0" w:color="auto"/>
            </w:tcBorders>
            <w:shd w:val="clear" w:color="auto" w:fill="C6EFCE"/>
            <w:noWrap/>
          </w:tcPr>
          <w:p w14:paraId="560D590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072" w:type="dxa"/>
            <w:tcBorders>
              <w:top w:val="nil"/>
              <w:left w:val="nil"/>
              <w:bottom w:val="single" w:sz="4" w:space="0" w:color="auto"/>
              <w:right w:val="single" w:sz="4" w:space="0" w:color="auto"/>
            </w:tcBorders>
            <w:shd w:val="clear" w:color="auto" w:fill="C6EFCE"/>
            <w:noWrap/>
          </w:tcPr>
          <w:p w14:paraId="591DD4F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nil"/>
              <w:bottom w:val="single" w:sz="4" w:space="0" w:color="auto"/>
              <w:right w:val="single" w:sz="4" w:space="0" w:color="auto"/>
            </w:tcBorders>
            <w:shd w:val="clear" w:color="auto" w:fill="C6EFCE"/>
            <w:noWrap/>
          </w:tcPr>
          <w:p w14:paraId="6880A72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nil"/>
              <w:left w:val="nil"/>
              <w:bottom w:val="single" w:sz="4" w:space="0" w:color="auto"/>
              <w:right w:val="single" w:sz="4" w:space="0" w:color="auto"/>
            </w:tcBorders>
            <w:shd w:val="clear" w:color="auto" w:fill="C6EFCE"/>
            <w:noWrap/>
          </w:tcPr>
          <w:p w14:paraId="2A997AAE"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5D04342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nil"/>
              <w:left w:val="nil"/>
              <w:bottom w:val="single" w:sz="4" w:space="0" w:color="auto"/>
              <w:right w:val="single" w:sz="4" w:space="0" w:color="auto"/>
            </w:tcBorders>
            <w:shd w:val="clear" w:color="auto" w:fill="C6EFCE"/>
            <w:noWrap/>
          </w:tcPr>
          <w:p w14:paraId="0552DA2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nil"/>
              <w:left w:val="nil"/>
              <w:bottom w:val="single" w:sz="4" w:space="0" w:color="auto"/>
              <w:right w:val="single" w:sz="4" w:space="0" w:color="auto"/>
            </w:tcBorders>
            <w:shd w:val="clear" w:color="auto" w:fill="C6EFCE"/>
            <w:noWrap/>
          </w:tcPr>
          <w:p w14:paraId="5687ACE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Semnarea contractelor, cu distribuție teritorială, pentru grădinițe, unități de învățământ preșcolar și servicii de educație și îngrijire timpurie. </w:t>
            </w:r>
          </w:p>
          <w:p w14:paraId="2E023174" w14:textId="55C3FDE2"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Schema de granturi se va bazează pe următoarele criterii: (i) existența unei strategii la nivel local de dezvoltare a acestor servicii; (ii) numărul copiilor cu vârsta până în 3 ani raportat la capacitatea de cuprindere a serviciilor existente pe o rază de maximum 2-3 km; (iii) numărul de cereri din partea părinților, nesoluționate, pentru acest tip de servicii (cel puțin 50); (iv) o analiză a nevoilor, ținând seama de nevoile specifice ale comunităților marginalizate; (v) 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tc>
      </w:tr>
      <w:tr w:rsidR="00D1375D" w:rsidRPr="000A27B3" w14:paraId="6DDC5A9C" w14:textId="77777777" w:rsidTr="00B74F9A">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3E81FA9B"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457</w:t>
            </w:r>
          </w:p>
        </w:tc>
        <w:tc>
          <w:tcPr>
            <w:tcW w:w="1795" w:type="dxa"/>
            <w:tcBorders>
              <w:top w:val="nil"/>
              <w:left w:val="nil"/>
              <w:bottom w:val="single" w:sz="4" w:space="0" w:color="auto"/>
              <w:right w:val="single" w:sz="4" w:space="0" w:color="auto"/>
            </w:tcBorders>
            <w:shd w:val="clear" w:color="auto" w:fill="C6EFCE"/>
            <w:noWrap/>
          </w:tcPr>
          <w:p w14:paraId="1B77EA1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 Construirea, echiparea și operaționalizarea a 110 creșe</w:t>
            </w:r>
          </w:p>
        </w:tc>
        <w:tc>
          <w:tcPr>
            <w:tcW w:w="1182" w:type="dxa"/>
            <w:gridSpan w:val="2"/>
            <w:tcBorders>
              <w:top w:val="nil"/>
              <w:left w:val="nil"/>
              <w:bottom w:val="single" w:sz="4" w:space="0" w:color="auto"/>
              <w:right w:val="single" w:sz="4" w:space="0" w:color="auto"/>
            </w:tcBorders>
            <w:shd w:val="clear" w:color="auto" w:fill="C6EFCE"/>
            <w:noWrap/>
          </w:tcPr>
          <w:p w14:paraId="625D6A9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nil"/>
              <w:left w:val="nil"/>
              <w:bottom w:val="single" w:sz="4" w:space="0" w:color="auto"/>
              <w:right w:val="single" w:sz="4" w:space="0" w:color="auto"/>
            </w:tcBorders>
            <w:shd w:val="clear" w:color="auto" w:fill="C6EFCE"/>
            <w:noWrap/>
          </w:tcPr>
          <w:p w14:paraId="34D03AE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Creșe nou-construite, echipate și operaționalizate</w:t>
            </w:r>
          </w:p>
        </w:tc>
        <w:tc>
          <w:tcPr>
            <w:tcW w:w="1843" w:type="dxa"/>
            <w:tcBorders>
              <w:top w:val="nil"/>
              <w:left w:val="nil"/>
              <w:bottom w:val="single" w:sz="4" w:space="0" w:color="auto"/>
              <w:right w:val="single" w:sz="4" w:space="0" w:color="auto"/>
            </w:tcBorders>
            <w:shd w:val="clear" w:color="auto" w:fill="C6EFCE"/>
            <w:noWrap/>
          </w:tcPr>
          <w:p w14:paraId="33710517"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72" w:type="dxa"/>
            <w:tcBorders>
              <w:top w:val="nil"/>
              <w:left w:val="nil"/>
              <w:bottom w:val="single" w:sz="4" w:space="0" w:color="auto"/>
              <w:right w:val="single" w:sz="4" w:space="0" w:color="auto"/>
            </w:tcBorders>
            <w:shd w:val="clear" w:color="auto" w:fill="C6EFCE"/>
            <w:noWrap/>
          </w:tcPr>
          <w:p w14:paraId="11DD144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nil"/>
              <w:left w:val="nil"/>
              <w:bottom w:val="single" w:sz="4" w:space="0" w:color="auto"/>
              <w:right w:val="single" w:sz="4" w:space="0" w:color="auto"/>
            </w:tcBorders>
            <w:shd w:val="clear" w:color="auto" w:fill="C6EFCE"/>
            <w:noWrap/>
          </w:tcPr>
          <w:p w14:paraId="695FC83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nil"/>
              <w:left w:val="nil"/>
              <w:bottom w:val="single" w:sz="4" w:space="0" w:color="auto"/>
              <w:right w:val="single" w:sz="4" w:space="0" w:color="auto"/>
            </w:tcBorders>
            <w:shd w:val="clear" w:color="auto" w:fill="C6EFCE"/>
            <w:noWrap/>
          </w:tcPr>
          <w:p w14:paraId="1A912A2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110</w:t>
            </w:r>
          </w:p>
        </w:tc>
        <w:tc>
          <w:tcPr>
            <w:tcW w:w="1200" w:type="dxa"/>
            <w:tcBorders>
              <w:top w:val="nil"/>
              <w:left w:val="nil"/>
              <w:bottom w:val="single" w:sz="4" w:space="0" w:color="auto"/>
              <w:right w:val="single" w:sz="4" w:space="0" w:color="auto"/>
            </w:tcBorders>
            <w:shd w:val="clear" w:color="auto" w:fill="C6EFCE"/>
            <w:noWrap/>
          </w:tcPr>
          <w:p w14:paraId="4E0A957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nil"/>
              <w:left w:val="nil"/>
              <w:bottom w:val="single" w:sz="4" w:space="0" w:color="auto"/>
              <w:right w:val="single" w:sz="4" w:space="0" w:color="auto"/>
            </w:tcBorders>
            <w:shd w:val="clear" w:color="auto" w:fill="C6EFCE"/>
            <w:noWrap/>
          </w:tcPr>
          <w:p w14:paraId="0714259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nil"/>
              <w:left w:val="nil"/>
              <w:bottom w:val="single" w:sz="4" w:space="0" w:color="auto"/>
              <w:right w:val="single" w:sz="4" w:space="0" w:color="auto"/>
            </w:tcBorders>
            <w:shd w:val="clear" w:color="auto" w:fill="C6EFCE"/>
            <w:noWrap/>
          </w:tcPr>
          <w:p w14:paraId="2AF39A6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110 creșe vor fi construite după lansarea schemei de granturi pentru construcția (și echiparea) lor, în conformitate cu cerințele de la jalonul 453. </w:t>
            </w:r>
          </w:p>
          <w:p w14:paraId="5E782FBF" w14:textId="34E17C0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Cele 110 creșe, cu o capacitate cuprinsă între 40 și 110 locuri, vor fi construite de autoritățile publice locale. </w:t>
            </w:r>
          </w:p>
          <w:p w14:paraId="43CC9EA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1BEF7EEE" w14:textId="7EB7A43B"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Creșele nou construite trebuie să poată oferi sprijin educațional pentru un număr maxim de 4 500 de copii. </w:t>
            </w:r>
          </w:p>
          <w:p w14:paraId="4DE53984" w14:textId="24F70015"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 are în vedere construcția de creșe de dimensiuni mici, medii și mari.</w:t>
            </w:r>
          </w:p>
        </w:tc>
      </w:tr>
      <w:tr w:rsidR="00D1375D" w:rsidRPr="000A27B3" w14:paraId="11650915" w14:textId="77777777" w:rsidTr="00B74F9A">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398D14D3"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458</w:t>
            </w:r>
          </w:p>
        </w:tc>
        <w:tc>
          <w:tcPr>
            <w:tcW w:w="1795" w:type="dxa"/>
            <w:tcBorders>
              <w:top w:val="nil"/>
              <w:left w:val="nil"/>
              <w:bottom w:val="single" w:sz="4" w:space="0" w:color="auto"/>
              <w:right w:val="single" w:sz="4" w:space="0" w:color="auto"/>
            </w:tcBorders>
            <w:shd w:val="clear" w:color="auto" w:fill="C6EFCE"/>
            <w:noWrap/>
          </w:tcPr>
          <w:p w14:paraId="7464A9C2" w14:textId="42A4184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2. Înființarea, echiparea și operaționalizarea a 90 servicii complementare pentru grupurile defavorizate</w:t>
            </w:r>
          </w:p>
        </w:tc>
        <w:tc>
          <w:tcPr>
            <w:tcW w:w="1182" w:type="dxa"/>
            <w:gridSpan w:val="2"/>
            <w:tcBorders>
              <w:top w:val="nil"/>
              <w:left w:val="nil"/>
              <w:bottom w:val="single" w:sz="4" w:space="0" w:color="auto"/>
              <w:right w:val="single" w:sz="4" w:space="0" w:color="auto"/>
            </w:tcBorders>
            <w:shd w:val="clear" w:color="auto" w:fill="C6EFCE"/>
            <w:noWrap/>
          </w:tcPr>
          <w:p w14:paraId="54D15FC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nil"/>
              <w:left w:val="nil"/>
              <w:bottom w:val="single" w:sz="4" w:space="0" w:color="auto"/>
              <w:right w:val="single" w:sz="4" w:space="0" w:color="auto"/>
            </w:tcBorders>
            <w:shd w:val="clear" w:color="auto" w:fill="C6EFCE"/>
            <w:noWrap/>
          </w:tcPr>
          <w:p w14:paraId="7F54292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înființarea, echiparea și operaționalizarea serviciilor complementare pentru grupurile defavorizate</w:t>
            </w:r>
          </w:p>
        </w:tc>
        <w:tc>
          <w:tcPr>
            <w:tcW w:w="1843" w:type="dxa"/>
            <w:tcBorders>
              <w:top w:val="nil"/>
              <w:left w:val="nil"/>
              <w:bottom w:val="single" w:sz="4" w:space="0" w:color="auto"/>
              <w:right w:val="single" w:sz="4" w:space="0" w:color="auto"/>
            </w:tcBorders>
            <w:shd w:val="clear" w:color="auto" w:fill="C6EFCE"/>
            <w:noWrap/>
          </w:tcPr>
          <w:p w14:paraId="5ABB075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072" w:type="dxa"/>
            <w:tcBorders>
              <w:top w:val="nil"/>
              <w:left w:val="nil"/>
              <w:bottom w:val="single" w:sz="4" w:space="0" w:color="auto"/>
              <w:right w:val="single" w:sz="4" w:space="0" w:color="auto"/>
            </w:tcBorders>
            <w:shd w:val="clear" w:color="auto" w:fill="C6EFCE"/>
            <w:noWrap/>
          </w:tcPr>
          <w:p w14:paraId="54169177"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nil"/>
              <w:left w:val="nil"/>
              <w:bottom w:val="single" w:sz="4" w:space="0" w:color="auto"/>
              <w:right w:val="single" w:sz="4" w:space="0" w:color="auto"/>
            </w:tcBorders>
            <w:shd w:val="clear" w:color="auto" w:fill="C6EFCE"/>
            <w:noWrap/>
          </w:tcPr>
          <w:p w14:paraId="00D766CA"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nil"/>
              <w:left w:val="nil"/>
              <w:bottom w:val="single" w:sz="4" w:space="0" w:color="auto"/>
              <w:right w:val="single" w:sz="4" w:space="0" w:color="auto"/>
            </w:tcBorders>
            <w:shd w:val="clear" w:color="auto" w:fill="C6EFCE"/>
            <w:noWrap/>
          </w:tcPr>
          <w:p w14:paraId="628EFDB7"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nil"/>
              <w:left w:val="nil"/>
              <w:bottom w:val="single" w:sz="4" w:space="0" w:color="auto"/>
              <w:right w:val="single" w:sz="4" w:space="0" w:color="auto"/>
            </w:tcBorders>
            <w:shd w:val="clear" w:color="auto" w:fill="C6EFCE"/>
            <w:noWrap/>
          </w:tcPr>
          <w:p w14:paraId="22A8476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nil"/>
              <w:left w:val="nil"/>
              <w:bottom w:val="single" w:sz="4" w:space="0" w:color="auto"/>
              <w:right w:val="single" w:sz="4" w:space="0" w:color="auto"/>
            </w:tcBorders>
            <w:shd w:val="clear" w:color="auto" w:fill="C6EFCE"/>
            <w:noWrap/>
          </w:tcPr>
          <w:p w14:paraId="2CC6F06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034" w:type="dxa"/>
            <w:tcBorders>
              <w:top w:val="nil"/>
              <w:left w:val="nil"/>
              <w:bottom w:val="single" w:sz="4" w:space="0" w:color="auto"/>
              <w:right w:val="single" w:sz="4" w:space="0" w:color="auto"/>
            </w:tcBorders>
            <w:shd w:val="clear" w:color="auto" w:fill="C6EFCE"/>
            <w:noWrap/>
          </w:tcPr>
          <w:p w14:paraId="6701D15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Ministerul Educației va avea responsabilitatea elaborării și lansării apelului pentru schema de granturi și, ulterior, consilierii și monitorizării beneficiarilor în ceea ce privește înființarea, echiparea și operaționalizarea de servicii complementare pentru grupurile defavorizate.</w:t>
            </w:r>
          </w:p>
          <w:p w14:paraId="4BCA1290" w14:textId="4DF5CE9A"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Serviciile complementare vor fi înființate, echipate și operaționalizate ca urmare a derulării etapizate a schemei de granturi.</w:t>
            </w:r>
          </w:p>
          <w:p w14:paraId="2236EB1E" w14:textId="1CA71062"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Se preconizează că aceste servicii vor fi înființate în spații oferite de comunitate/diferiți furnizori publici și privați de educație în localitățile izolate/dezavantajate, unde o unitate de învățământ este prea departe de domiciliul copilului, iar numărul de copii de la 0 la 6 ani este foarte scăzut, din aceste motive nefiind justificată construirea unei creșe/grădinițe, în vederea asigurării dreptului la educație a copiilor cu vârste de la naștere la 6 ani cât mai aproape de domiciliu. </w:t>
            </w:r>
          </w:p>
          <w:p w14:paraId="2FE6985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Serviciile complementare pot fi servicii tip ludotecă, centru de joacă, centru multifuncțional etc. și vor fi dotate cu mese și scaune copii; saltele pentru odihnă copii; materiale si echipamente educaționale, inclusiv echipamente digitale (laptop, tablă smart, aparate de fotografiat și video digitale, covoare digitale pentru activități educative, tăblițe digitale pentru scris și desenat etc.); dulapuri pentru materiale și jucării și rafturi tip bibliotecă; mobilier pentru baie, inclusiv mobilier pentru schimbarea scutecelor; mobilier pentru spații administrative (birouri, scaune, dulapuri); mobilier și echipamente de bucătărie.</w:t>
            </w:r>
          </w:p>
          <w:p w14:paraId="3C6F3585" w14:textId="06D8B1E2"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Fiecare serviciu complementar se va ocupa de înființarea și echiparea a 2 clase/grupuri. Prin urmare, serviciile complementare vor fi în măsură să ofere sprijin educațional pentru până la 50</w:t>
            </w:r>
            <w:r w:rsidR="00B74F9A">
              <w:rPr>
                <w:rFonts w:ascii="Times New Roman" w:hAnsi="Times New Roman"/>
                <w:noProof/>
                <w:sz w:val="24"/>
              </w:rPr>
              <w:t> </w:t>
            </w:r>
            <w:r>
              <w:rPr>
                <w:rFonts w:ascii="Times New Roman" w:hAnsi="Times New Roman"/>
                <w:noProof/>
                <w:sz w:val="24"/>
              </w:rPr>
              <w:t>de copii cu vârsta cuprinsă între naștere și 6 ani per serviciu, pentru maximum 4 500 de copii.</w:t>
            </w:r>
          </w:p>
        </w:tc>
      </w:tr>
      <w:tr w:rsidR="00D1375D" w:rsidRPr="000A27B3" w14:paraId="6A510A8A" w14:textId="77777777" w:rsidTr="00B74F9A">
        <w:trPr>
          <w:trHeight w:val="309"/>
        </w:trPr>
        <w:tc>
          <w:tcPr>
            <w:tcW w:w="1276" w:type="dxa"/>
            <w:tcBorders>
              <w:top w:val="nil"/>
              <w:left w:val="single" w:sz="4" w:space="0" w:color="auto"/>
              <w:bottom w:val="single" w:sz="4" w:space="0" w:color="auto"/>
              <w:right w:val="single" w:sz="4" w:space="0" w:color="auto"/>
            </w:tcBorders>
            <w:shd w:val="clear" w:color="auto" w:fill="C6EFCE"/>
            <w:noWrap/>
          </w:tcPr>
          <w:p w14:paraId="6C1A3554"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459</w:t>
            </w:r>
          </w:p>
        </w:tc>
        <w:tc>
          <w:tcPr>
            <w:tcW w:w="1795" w:type="dxa"/>
            <w:tcBorders>
              <w:top w:val="nil"/>
              <w:left w:val="nil"/>
              <w:bottom w:val="single" w:sz="4" w:space="0" w:color="auto"/>
              <w:right w:val="single" w:sz="4" w:space="0" w:color="auto"/>
            </w:tcBorders>
            <w:shd w:val="clear" w:color="auto" w:fill="C6EFCE"/>
            <w:noWrap/>
          </w:tcPr>
          <w:p w14:paraId="447CDB64" w14:textId="6CE3FA3B"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2. Înființarea, echiparea și operaționalizarea a 90 de servicii complementare pentru grupurile defavorizate</w:t>
            </w:r>
          </w:p>
        </w:tc>
        <w:tc>
          <w:tcPr>
            <w:tcW w:w="1182" w:type="dxa"/>
            <w:gridSpan w:val="2"/>
            <w:tcBorders>
              <w:top w:val="nil"/>
              <w:left w:val="nil"/>
              <w:bottom w:val="single" w:sz="4" w:space="0" w:color="auto"/>
              <w:right w:val="single" w:sz="4" w:space="0" w:color="auto"/>
            </w:tcBorders>
            <w:shd w:val="clear" w:color="auto" w:fill="C6EFCE"/>
            <w:noWrap/>
          </w:tcPr>
          <w:p w14:paraId="04F9592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nil"/>
              <w:left w:val="nil"/>
              <w:bottom w:val="single" w:sz="4" w:space="0" w:color="auto"/>
              <w:right w:val="single" w:sz="4" w:space="0" w:color="auto"/>
            </w:tcBorders>
            <w:shd w:val="clear" w:color="auto" w:fill="C6EFCE"/>
            <w:noWrap/>
          </w:tcPr>
          <w:p w14:paraId="6CDF08F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Servicii complementare înființate, echipate și operaționale</w:t>
            </w:r>
          </w:p>
        </w:tc>
        <w:tc>
          <w:tcPr>
            <w:tcW w:w="1843" w:type="dxa"/>
            <w:tcBorders>
              <w:top w:val="nil"/>
              <w:left w:val="nil"/>
              <w:bottom w:val="single" w:sz="4" w:space="0" w:color="auto"/>
              <w:right w:val="single" w:sz="4" w:space="0" w:color="auto"/>
            </w:tcBorders>
            <w:shd w:val="clear" w:color="auto" w:fill="C6EFCE"/>
            <w:noWrap/>
          </w:tcPr>
          <w:p w14:paraId="43688C21"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72" w:type="dxa"/>
            <w:tcBorders>
              <w:top w:val="nil"/>
              <w:left w:val="nil"/>
              <w:bottom w:val="single" w:sz="4" w:space="0" w:color="auto"/>
              <w:right w:val="single" w:sz="4" w:space="0" w:color="auto"/>
            </w:tcBorders>
            <w:shd w:val="clear" w:color="auto" w:fill="C6EFCE"/>
            <w:noWrap/>
          </w:tcPr>
          <w:p w14:paraId="1CD4AD1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nil"/>
              <w:left w:val="nil"/>
              <w:bottom w:val="single" w:sz="4" w:space="0" w:color="auto"/>
              <w:right w:val="single" w:sz="4" w:space="0" w:color="auto"/>
            </w:tcBorders>
            <w:shd w:val="clear" w:color="auto" w:fill="C6EFCE"/>
            <w:noWrap/>
          </w:tcPr>
          <w:p w14:paraId="260078A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nil"/>
              <w:left w:val="nil"/>
              <w:bottom w:val="single" w:sz="4" w:space="0" w:color="auto"/>
              <w:right w:val="single" w:sz="4" w:space="0" w:color="auto"/>
            </w:tcBorders>
            <w:shd w:val="clear" w:color="auto" w:fill="C6EFCE"/>
            <w:noWrap/>
          </w:tcPr>
          <w:p w14:paraId="7B20CAAC" w14:textId="01038BE5"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90</w:t>
            </w:r>
          </w:p>
        </w:tc>
        <w:tc>
          <w:tcPr>
            <w:tcW w:w="1200" w:type="dxa"/>
            <w:tcBorders>
              <w:top w:val="nil"/>
              <w:left w:val="nil"/>
              <w:bottom w:val="single" w:sz="4" w:space="0" w:color="auto"/>
              <w:right w:val="single" w:sz="4" w:space="0" w:color="auto"/>
            </w:tcBorders>
            <w:shd w:val="clear" w:color="auto" w:fill="C6EFCE"/>
            <w:noWrap/>
          </w:tcPr>
          <w:p w14:paraId="340C10E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nil"/>
              <w:left w:val="nil"/>
              <w:bottom w:val="single" w:sz="4" w:space="0" w:color="auto"/>
              <w:right w:val="single" w:sz="4" w:space="0" w:color="auto"/>
            </w:tcBorders>
            <w:shd w:val="clear" w:color="auto" w:fill="C6EFCE"/>
            <w:noWrap/>
          </w:tcPr>
          <w:p w14:paraId="4DF282C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nil"/>
              <w:left w:val="nil"/>
              <w:bottom w:val="single" w:sz="4" w:space="0" w:color="auto"/>
              <w:right w:val="single" w:sz="4" w:space="0" w:color="auto"/>
            </w:tcBorders>
            <w:shd w:val="clear" w:color="auto" w:fill="C6EFCE"/>
            <w:noWrap/>
          </w:tcPr>
          <w:p w14:paraId="6B8F0F76" w14:textId="50AE0B0E"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Crearea, echiparea și operaționalizarea a cel puțin 90</w:t>
            </w:r>
            <w:r w:rsidR="00B74F9A">
              <w:rPr>
                <w:rFonts w:ascii="Times New Roman" w:hAnsi="Times New Roman"/>
                <w:noProof/>
                <w:sz w:val="24"/>
              </w:rPr>
              <w:t> </w:t>
            </w:r>
            <w:r>
              <w:rPr>
                <w:rFonts w:ascii="Times New Roman" w:hAnsi="Times New Roman"/>
                <w:noProof/>
                <w:sz w:val="24"/>
              </w:rPr>
              <w:t xml:space="preserve">de servicii complementare în conformitate cu dispozițiile de la jalonul 458. </w:t>
            </w:r>
          </w:p>
        </w:tc>
      </w:tr>
      <w:tr w:rsidR="00D1375D" w:rsidRPr="000A27B3" w14:paraId="2D433C43"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20E46E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460</w:t>
            </w:r>
          </w:p>
        </w:tc>
        <w:tc>
          <w:tcPr>
            <w:tcW w:w="1795" w:type="dxa"/>
            <w:tcBorders>
              <w:top w:val="single" w:sz="4" w:space="0" w:color="auto"/>
              <w:left w:val="nil"/>
              <w:bottom w:val="single" w:sz="4" w:space="0" w:color="auto"/>
              <w:right w:val="single" w:sz="4" w:space="0" w:color="auto"/>
            </w:tcBorders>
            <w:shd w:val="clear" w:color="auto" w:fill="C6EFCE"/>
            <w:noWrap/>
          </w:tcPr>
          <w:p w14:paraId="38C2953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3. Dezvoltarea programului-cadru pentru formarea continuă a profesioniștilor care lucrează în servicii de educație timpurii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BE3002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6E8A83B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Formatori instruiți în domeniul curricular și al monitorizării</w:t>
            </w:r>
          </w:p>
        </w:tc>
        <w:tc>
          <w:tcPr>
            <w:tcW w:w="1843" w:type="dxa"/>
            <w:tcBorders>
              <w:top w:val="single" w:sz="4" w:space="0" w:color="auto"/>
              <w:left w:val="nil"/>
              <w:bottom w:val="single" w:sz="4" w:space="0" w:color="auto"/>
              <w:right w:val="single" w:sz="4" w:space="0" w:color="auto"/>
            </w:tcBorders>
            <w:shd w:val="clear" w:color="auto" w:fill="C6EFCE"/>
            <w:noWrap/>
          </w:tcPr>
          <w:p w14:paraId="52EC7E6A"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55BA8E7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70F90D0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1D769C0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420</w:t>
            </w:r>
          </w:p>
        </w:tc>
        <w:tc>
          <w:tcPr>
            <w:tcW w:w="1200" w:type="dxa"/>
            <w:tcBorders>
              <w:top w:val="single" w:sz="4" w:space="0" w:color="auto"/>
              <w:left w:val="nil"/>
              <w:bottom w:val="single" w:sz="4" w:space="0" w:color="auto"/>
              <w:right w:val="single" w:sz="4" w:space="0" w:color="auto"/>
            </w:tcBorders>
            <w:shd w:val="clear" w:color="auto" w:fill="C6EFCE"/>
            <w:noWrap/>
          </w:tcPr>
          <w:p w14:paraId="6A4D104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2975B20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233ABE23" w14:textId="33BD1DDB"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420 de formatori (168</w:t>
            </w:r>
            <w:r w:rsidR="00B74F9A">
              <w:rPr>
                <w:rFonts w:ascii="Times New Roman" w:hAnsi="Times New Roman"/>
                <w:noProof/>
                <w:sz w:val="24"/>
              </w:rPr>
              <w:t> </w:t>
            </w:r>
            <w:r>
              <w:rPr>
                <w:rFonts w:ascii="Times New Roman" w:hAnsi="Times New Roman"/>
                <w:noProof/>
                <w:sz w:val="24"/>
              </w:rPr>
              <w:t>formatori în domeniul curricular și 252 de formatori în domeniul monitorizării serviciilor de educație timpurie) vor fi formați și evaluați în cadrul a două programe și vor primi certificate specifice.</w:t>
            </w:r>
          </w:p>
          <w:p w14:paraId="1F9CFC2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 vor pune în aplicare două programe de formare continuă:</w:t>
            </w:r>
          </w:p>
          <w:p w14:paraId="64829A9E" w14:textId="77777777" w:rsidR="002B1133" w:rsidRPr="000A27B3" w:rsidRDefault="002B1133" w:rsidP="002B1133">
            <w:pPr>
              <w:numPr>
                <w:ilvl w:val="0"/>
                <w:numId w:val="114"/>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un program de formare a formatorilor în domeniul educației timpurii: implementarea unei programe specifice, cu module pentru personalul didactic și nedidactic, inclusiv un modul de educație digitală;</w:t>
            </w:r>
          </w:p>
          <w:p w14:paraId="0172848E" w14:textId="77777777" w:rsidR="002B1133" w:rsidRPr="000A27B3" w:rsidRDefault="002B1133" w:rsidP="002B1133">
            <w:pPr>
              <w:numPr>
                <w:ilvl w:val="0"/>
                <w:numId w:val="114"/>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un program de formare a formatorilor (din cele trei sectoare: social, educație și sănătate), pentru monitorizarea calității serviciilor de educație timpurie.</w:t>
            </w:r>
          </w:p>
          <w:p w14:paraId="2153F74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 va acorda prioritate persoanelor care lucrează în cadrul serviciilor nou înființate.</w:t>
            </w:r>
          </w:p>
        </w:tc>
      </w:tr>
      <w:tr w:rsidR="00D1375D" w:rsidRPr="000A27B3" w14:paraId="0EC2CF4F"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76B9BEA"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461</w:t>
            </w:r>
          </w:p>
        </w:tc>
        <w:tc>
          <w:tcPr>
            <w:tcW w:w="1795" w:type="dxa"/>
            <w:tcBorders>
              <w:top w:val="single" w:sz="4" w:space="0" w:color="auto"/>
              <w:left w:val="nil"/>
              <w:bottom w:val="single" w:sz="4" w:space="0" w:color="auto"/>
              <w:right w:val="single" w:sz="4" w:space="0" w:color="auto"/>
            </w:tcBorders>
            <w:shd w:val="clear" w:color="auto" w:fill="C6EFCE"/>
            <w:noWrap/>
          </w:tcPr>
          <w:p w14:paraId="4649195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3. Dezvoltarea programului-cadru pentru formarea continuă a profesioniștilor care lucrează în servicii de educație timpurie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D5EF39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3EB2DDB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Personal instruit, care lucrează în cadrul serviciilor de educație timpurie standard și complementare, acordând prioritate celor din cadrul serviciilor nou-înființate</w:t>
            </w:r>
          </w:p>
        </w:tc>
        <w:tc>
          <w:tcPr>
            <w:tcW w:w="1843" w:type="dxa"/>
            <w:tcBorders>
              <w:top w:val="single" w:sz="4" w:space="0" w:color="auto"/>
              <w:left w:val="nil"/>
              <w:bottom w:val="single" w:sz="4" w:space="0" w:color="auto"/>
              <w:right w:val="single" w:sz="4" w:space="0" w:color="auto"/>
            </w:tcBorders>
            <w:shd w:val="clear" w:color="auto" w:fill="C6EFCE"/>
            <w:noWrap/>
          </w:tcPr>
          <w:p w14:paraId="6EEF84D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75C95A5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489BBB3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1969C6F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19 950</w:t>
            </w:r>
          </w:p>
        </w:tc>
        <w:tc>
          <w:tcPr>
            <w:tcW w:w="1200" w:type="dxa"/>
            <w:tcBorders>
              <w:top w:val="single" w:sz="4" w:space="0" w:color="auto"/>
              <w:left w:val="nil"/>
              <w:bottom w:val="single" w:sz="4" w:space="0" w:color="auto"/>
              <w:right w:val="single" w:sz="4" w:space="0" w:color="auto"/>
            </w:tcBorders>
            <w:shd w:val="clear" w:color="auto" w:fill="C6EFCE"/>
            <w:noWrap/>
          </w:tcPr>
          <w:p w14:paraId="0A03662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3F7286E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27AE80F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Vor fi formate 19 950 de persoane care lucrează în cadrul serviciilor de educație timpurie standard și complementare (personal didactic și nedidactic), acordând prioritate celor din cadrul serviciilor nou-înființate. </w:t>
            </w:r>
          </w:p>
          <w:p w14:paraId="6C9597C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 va acorda prioritate persoanelor care lucrează în cadrul serviciilor nou înființate (dacă acestea sunt operaționale). De asemenea, finalizarea programului de formare 1 ar putea constitui un avantaj pentru persoanele care vor fi angajate în cadrul acestor noi servicii.</w:t>
            </w:r>
          </w:p>
          <w:p w14:paraId="41EBD12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Beneficiarii acestor cursuri de formare (475 de cadre didactice și nedidactice per grant per județ) vor finaliza programele de formare predefinite de asistența tehnică, care urmează să fie furnizate în prealabil, vor fi evaluați și vor primi certificate specifice.</w:t>
            </w:r>
          </w:p>
        </w:tc>
      </w:tr>
      <w:tr w:rsidR="00D1375D" w:rsidRPr="000A27B3" w14:paraId="2282FEAD"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297C7E3"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462</w:t>
            </w:r>
          </w:p>
        </w:tc>
        <w:tc>
          <w:tcPr>
            <w:tcW w:w="1795" w:type="dxa"/>
            <w:tcBorders>
              <w:top w:val="single" w:sz="4" w:space="0" w:color="auto"/>
              <w:left w:val="nil"/>
              <w:bottom w:val="single" w:sz="4" w:space="0" w:color="auto"/>
              <w:right w:val="single" w:sz="4" w:space="0" w:color="auto"/>
            </w:tcBorders>
            <w:shd w:val="clear" w:color="auto" w:fill="C6EFCE"/>
            <w:noWrap/>
          </w:tcPr>
          <w:p w14:paraId="73DC468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3. Reforma sistemului de învățământ obligatoriu pentru prevenirea și reducerea părăsirii timpurii a școlii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648A749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2EA6E27A" w14:textId="4CB2E0CA"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hotărârii de guvern de stabilire a implementării Programului național pentru reducerea abandonului școlar </w:t>
            </w:r>
          </w:p>
        </w:tc>
        <w:tc>
          <w:tcPr>
            <w:tcW w:w="1843" w:type="dxa"/>
            <w:tcBorders>
              <w:top w:val="single" w:sz="4" w:space="0" w:color="auto"/>
              <w:left w:val="nil"/>
              <w:bottom w:val="single" w:sz="4" w:space="0" w:color="auto"/>
              <w:right w:val="single" w:sz="4" w:space="0" w:color="auto"/>
            </w:tcBorders>
            <w:shd w:val="clear" w:color="auto" w:fill="C6EFCE"/>
            <w:noWrap/>
          </w:tcPr>
          <w:p w14:paraId="534B2934" w14:textId="65081A89"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Dispoziție a hotărârii de guvern care indică intrarea în vigoare a Programului național pentru reducerea abandonului școlar</w:t>
            </w:r>
            <w:r w:rsidR="004C4C72">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0578834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7B5167B9"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7D052D19"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4AA012E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7A01839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2021</w:t>
            </w:r>
          </w:p>
        </w:tc>
        <w:tc>
          <w:tcPr>
            <w:tcW w:w="3034" w:type="dxa"/>
            <w:tcBorders>
              <w:top w:val="single" w:sz="4" w:space="0" w:color="auto"/>
              <w:left w:val="nil"/>
              <w:bottom w:val="single" w:sz="4" w:space="0" w:color="auto"/>
              <w:right w:val="single" w:sz="4" w:space="0" w:color="auto"/>
            </w:tcBorders>
            <w:shd w:val="clear" w:color="auto" w:fill="C6EFCE"/>
            <w:noWrap/>
          </w:tcPr>
          <w:p w14:paraId="27219AE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Va intra în vigoare o Hotărâre de Guvern privind realizarea programului național pentru reducerea abandonului școlar, inclusiv punerea în aplicare a Mecanismului de Avertizare Timpurie în Educație în școlile incluse în program, cu obiective stabilite în timp, fundamentat pe dovezi și rentabil. </w:t>
            </w:r>
          </w:p>
          <w:p w14:paraId="4F419877"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Programul național de implementare a Mecanismului de Avertizare Timpurie în Educație va permite o abordare integrată și sistemică la nivel local, regional și național.</w:t>
            </w:r>
          </w:p>
        </w:tc>
      </w:tr>
      <w:tr w:rsidR="00D1375D" w:rsidRPr="000A27B3" w14:paraId="01F038FC"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670E67A"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463</w:t>
            </w:r>
          </w:p>
        </w:tc>
        <w:tc>
          <w:tcPr>
            <w:tcW w:w="1795" w:type="dxa"/>
            <w:tcBorders>
              <w:top w:val="single" w:sz="4" w:space="0" w:color="auto"/>
              <w:left w:val="nil"/>
              <w:bottom w:val="single" w:sz="4" w:space="0" w:color="auto"/>
              <w:right w:val="single" w:sz="4" w:space="0" w:color="auto"/>
            </w:tcBorders>
            <w:shd w:val="clear" w:color="auto" w:fill="C6EFCE"/>
            <w:noWrap/>
          </w:tcPr>
          <w:p w14:paraId="04468F9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3. Reforma sistemului de învățământ obligatoriu pentru prevenirea și reducerea părăsirii timpurii a școlii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1FE7ED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3B5433A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ordinului ministerial de utilizare a instrumentului MATE la nivel național</w:t>
            </w:r>
          </w:p>
        </w:tc>
        <w:tc>
          <w:tcPr>
            <w:tcW w:w="1843" w:type="dxa"/>
            <w:tcBorders>
              <w:top w:val="single" w:sz="4" w:space="0" w:color="auto"/>
              <w:left w:val="nil"/>
              <w:bottom w:val="single" w:sz="4" w:space="0" w:color="auto"/>
              <w:right w:val="single" w:sz="4" w:space="0" w:color="auto"/>
            </w:tcBorders>
            <w:shd w:val="clear" w:color="auto" w:fill="C6EFCE"/>
            <w:noWrap/>
          </w:tcPr>
          <w:p w14:paraId="284D6C3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în OM care indică intrarea în vigoare a utilizării la nivel național a instrumentului MATE în toate școlile din învățământul primar și secundar inferior</w:t>
            </w:r>
          </w:p>
        </w:tc>
        <w:tc>
          <w:tcPr>
            <w:tcW w:w="1072" w:type="dxa"/>
            <w:tcBorders>
              <w:top w:val="single" w:sz="4" w:space="0" w:color="auto"/>
              <w:left w:val="nil"/>
              <w:bottom w:val="single" w:sz="4" w:space="0" w:color="auto"/>
              <w:right w:val="single" w:sz="4" w:space="0" w:color="auto"/>
            </w:tcBorders>
            <w:shd w:val="clear" w:color="auto" w:fill="C6EFCE"/>
            <w:noWrap/>
          </w:tcPr>
          <w:p w14:paraId="3D3CA9A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5B4576A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12E6091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1DF6723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1288AC2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20413DE5" w14:textId="77777777"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Ordinul ministerial va prevedea utilizarea modulului informatic MATE la nivel național. Modulul informatic identifică riscurile, iar programul național include unitățile educaționale cu un grad ridicat de risc de abandon școlar (rata tinerilor care nu au terminat ciclul secundar inferior și care nu sunt înscriși nici în sistemul de învățământ, nici în cel de formare), respectiv unitățile care vor primi granturi.</w:t>
            </w:r>
          </w:p>
        </w:tc>
      </w:tr>
      <w:tr w:rsidR="00D1375D" w:rsidRPr="000A27B3" w14:paraId="1F59FBCD"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C6D743"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464</w:t>
            </w:r>
          </w:p>
        </w:tc>
        <w:tc>
          <w:tcPr>
            <w:tcW w:w="1795" w:type="dxa"/>
            <w:tcBorders>
              <w:top w:val="single" w:sz="4" w:space="0" w:color="auto"/>
              <w:left w:val="nil"/>
              <w:bottom w:val="single" w:sz="4" w:space="0" w:color="auto"/>
              <w:right w:val="single" w:sz="4" w:space="0" w:color="auto"/>
            </w:tcBorders>
            <w:shd w:val="clear" w:color="auto" w:fill="C6EFCE"/>
            <w:noWrap/>
          </w:tcPr>
          <w:p w14:paraId="223D1CA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4. Sprijinirea unităților de învățământ cu risc mediu și ridicat de abandon școlar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D801DA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56FDC53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Procedură de ofertare pentru sprijinirea elevilor în vederea asigurării tranziției de la învățământul secundar inferior la cel superior, pe baza a 5 indicatori definiți în Mecanismul de Avertizare Timpurie în Educație</w:t>
            </w:r>
          </w:p>
        </w:tc>
        <w:tc>
          <w:tcPr>
            <w:tcW w:w="1843" w:type="dxa"/>
            <w:tcBorders>
              <w:top w:val="single" w:sz="4" w:space="0" w:color="auto"/>
              <w:left w:val="nil"/>
              <w:bottom w:val="single" w:sz="4" w:space="0" w:color="auto"/>
              <w:right w:val="single" w:sz="4" w:space="0" w:color="auto"/>
            </w:tcBorders>
            <w:shd w:val="clear" w:color="auto" w:fill="C6EFCE"/>
            <w:noWrap/>
          </w:tcPr>
          <w:p w14:paraId="6082AD8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Publicarea cererii de propuneri </w:t>
            </w:r>
          </w:p>
        </w:tc>
        <w:tc>
          <w:tcPr>
            <w:tcW w:w="1072" w:type="dxa"/>
            <w:tcBorders>
              <w:top w:val="single" w:sz="4" w:space="0" w:color="auto"/>
              <w:left w:val="nil"/>
              <w:bottom w:val="single" w:sz="4" w:space="0" w:color="auto"/>
              <w:right w:val="single" w:sz="4" w:space="0" w:color="auto"/>
            </w:tcBorders>
            <w:shd w:val="clear" w:color="auto" w:fill="C6EFCE"/>
            <w:noWrap/>
          </w:tcPr>
          <w:p w14:paraId="104743B9"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18FDCE7A"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5BE6CF9F"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40B7F48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6C2CE33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2021</w:t>
            </w:r>
          </w:p>
        </w:tc>
        <w:tc>
          <w:tcPr>
            <w:tcW w:w="3034" w:type="dxa"/>
            <w:tcBorders>
              <w:top w:val="single" w:sz="4" w:space="0" w:color="auto"/>
              <w:left w:val="nil"/>
              <w:bottom w:val="single" w:sz="4" w:space="0" w:color="auto"/>
              <w:right w:val="single" w:sz="4" w:space="0" w:color="auto"/>
            </w:tcBorders>
            <w:shd w:val="clear" w:color="auto" w:fill="C6EFCE"/>
            <w:noWrap/>
          </w:tcPr>
          <w:p w14:paraId="11159EB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Cerere de propuneri pentru atribuirea de granturi în favoarea unităților de învățământ pentru sprijinirea elevilor în vederea asigurării tranziției de la învățământul secundar inferior la cel superior, pe baza a 5 indicatori definiți în Mecanismul de Avertizare Timpurie în Educație. Toți indicatorii sunt calculați pe baza unei ponderi care analizează cantitatea, adică numărul de elevi și de cadre didactice, sau calitatea, adică notele obținute la evaluarea națională. </w:t>
            </w:r>
          </w:p>
          <w:p w14:paraId="0576449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Pe baza indicelui de vulnerabilitate privind părăsirea timpurie a școlii, s-au clasificat școlile MATE în trei categorii, în funcție de prioritatea intervenției: ridicată, medie și scăzută. Unitățile de învățământ cu prioritate ridicată, care necesită o intervenție imediată, sunt considerate a fi cele care primesc un punctaj total cuprins între 3,5 și 5 și care prezintă mai multe elemente de vulnerabilitate, cum ar fi un număr ridicat de cadre didactice suplinitoare, o rată ridicată a abandonului școlar, o rată scăzută de participare și rezultate slabe la evaluarea națională. Acestor școli li se va acorda prioritate pentru finanțare.</w:t>
            </w:r>
          </w:p>
          <w:p w14:paraId="25334A7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Activitățile eligibile includ: </w:t>
            </w:r>
          </w:p>
          <w:p w14:paraId="3BBBEA94"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activități pedagogice și de sprijin; </w:t>
            </w:r>
          </w:p>
          <w:p w14:paraId="33231093"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activități extracurriculare; </w:t>
            </w:r>
          </w:p>
          <w:p w14:paraId="633FA4F4"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lucrări minore și achiziționarea de bunuri; </w:t>
            </w:r>
          </w:p>
          <w:p w14:paraId="1BA7FE68"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subvenții pentru elevii din grupuri vulnerabile de asigurare a tranziției din învățământul secundar inferior către învățământul secundar superior pentru finalizarea învățământului obligatoriu; </w:t>
            </w:r>
          </w:p>
          <w:p w14:paraId="16D7A67D"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parteneriate cu ONG-uri pentru activități de sprijin și/sau extracurriculare</w:t>
            </w:r>
          </w:p>
          <w:p w14:paraId="6A1AC08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Școlile vor deveni responsabile pentru rezultatele elevilor și pentru actualizări periodice cu privire la progresele înregistrate, prin transferarea informațiilor respective în sistemul MATE de colectare a datelor.</w:t>
            </w:r>
          </w:p>
        </w:tc>
      </w:tr>
      <w:tr w:rsidR="00D1375D" w:rsidRPr="000A27B3" w14:paraId="3F7495C9"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A1DB6B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465</w:t>
            </w:r>
          </w:p>
        </w:tc>
        <w:tc>
          <w:tcPr>
            <w:tcW w:w="1795" w:type="dxa"/>
            <w:tcBorders>
              <w:top w:val="single" w:sz="4" w:space="0" w:color="auto"/>
              <w:left w:val="nil"/>
              <w:bottom w:val="single" w:sz="4" w:space="0" w:color="auto"/>
              <w:right w:val="single" w:sz="4" w:space="0" w:color="auto"/>
            </w:tcBorders>
            <w:shd w:val="clear" w:color="auto" w:fill="C6EFCE"/>
            <w:noWrap/>
          </w:tcPr>
          <w:p w14:paraId="40F89DF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4. Sprijinirea unităților de învățământ cu risc mediu și ridicat de abandon școlar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CD1121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1BB0559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Unități de învățământ cărora li s-a acordat un grant (lotul 1)</w:t>
            </w:r>
          </w:p>
        </w:tc>
        <w:tc>
          <w:tcPr>
            <w:tcW w:w="1843" w:type="dxa"/>
            <w:tcBorders>
              <w:top w:val="single" w:sz="4" w:space="0" w:color="auto"/>
              <w:left w:val="nil"/>
              <w:bottom w:val="single" w:sz="4" w:space="0" w:color="auto"/>
              <w:right w:val="single" w:sz="4" w:space="0" w:color="auto"/>
            </w:tcBorders>
            <w:shd w:val="clear" w:color="auto" w:fill="C6EFCE"/>
            <w:noWrap/>
          </w:tcPr>
          <w:p w14:paraId="56CFB1FB"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78EBD24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09EE134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0D667AD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750</w:t>
            </w:r>
          </w:p>
        </w:tc>
        <w:tc>
          <w:tcPr>
            <w:tcW w:w="1200" w:type="dxa"/>
            <w:tcBorders>
              <w:top w:val="single" w:sz="4" w:space="0" w:color="auto"/>
              <w:left w:val="nil"/>
              <w:bottom w:val="single" w:sz="4" w:space="0" w:color="auto"/>
              <w:right w:val="single" w:sz="4" w:space="0" w:color="auto"/>
            </w:tcBorders>
            <w:shd w:val="clear" w:color="auto" w:fill="C6EFCE"/>
            <w:noWrap/>
          </w:tcPr>
          <w:p w14:paraId="2F82463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single" w:sz="4" w:space="0" w:color="auto"/>
              <w:left w:val="nil"/>
              <w:bottom w:val="single" w:sz="4" w:space="0" w:color="auto"/>
              <w:right w:val="single" w:sz="4" w:space="0" w:color="auto"/>
            </w:tcBorders>
            <w:shd w:val="clear" w:color="auto" w:fill="C6EFCE"/>
            <w:noWrap/>
          </w:tcPr>
          <w:p w14:paraId="33CD99B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718E7EC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750 de unități de învățământ vor primi granturi pentru sprijinirea elevilor în vederea asigurării tranziției de la învățământul secundar inferior la cel superior, pe baza a 5 indicatori definiți în Mecanismul de Avertizare Timpurie în Educație. Toți indicatorii sunt calculați pe baza unei ponderi care analizează cantitatea, adică numărul de elevi și de cadre didactice, sau calitatea, adică notele obținute la evaluarea națională. </w:t>
            </w:r>
          </w:p>
          <w:p w14:paraId="02A2AA2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Pe baza indicelui de vulnerabilitate privind părăsirea timpurie a școlii, s-au clasificat școlile MATE în trei categorii, în funcție de prioritatea intervenției: ridicată, medie și scăzută. Unitățile de învățământ cu prioritate ridicată, care necesită o intervenție imediată, sunt considerate a fi cele care primesc un punctaj total cuprins între 3,5 și 5 și care prezintă mai multe elemente de vulnerabilitate, cum ar fi un număr ridicat de cadre didactice suplinitoare, o rată ridicată a abandonului școlar, o rată scăzută de participare și rezultate slabe la evaluarea națională. Acestor școli li se va acorda prioritate pentru finanțare.</w:t>
            </w:r>
          </w:p>
          <w:p w14:paraId="3567735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Activitățile eligibile includ: </w:t>
            </w:r>
          </w:p>
          <w:p w14:paraId="5CC189A8"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activități pedagogice și de sprijin; </w:t>
            </w:r>
          </w:p>
          <w:p w14:paraId="07CADED5"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activități extracurriculare; </w:t>
            </w:r>
          </w:p>
          <w:p w14:paraId="0CD33AF8"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lucrări minore și achiziționarea de bunuri; </w:t>
            </w:r>
          </w:p>
          <w:p w14:paraId="1E89E84E"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subvenții pentru elevii din grupuri vulnerabile de asigurare a tranziției din învățământul secundar inferior către învățământul secundar superior pentru finalizarea învățământului obligatoriu; </w:t>
            </w:r>
          </w:p>
          <w:p w14:paraId="2BA1B242" w14:textId="77777777" w:rsidR="002B1133" w:rsidRPr="000A27B3" w:rsidRDefault="002B1133" w:rsidP="002B1133">
            <w:pPr>
              <w:numPr>
                <w:ilvl w:val="0"/>
                <w:numId w:val="115"/>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parteneriate cu ONG-uri pentru activități de sprijin și/sau extracurriculare</w:t>
            </w:r>
          </w:p>
          <w:p w14:paraId="7540511C" w14:textId="77777777"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Școlile vor deveni responsabile pentru rezultatele elevilor și pentru actualizări periodice cu privire la progresele înregistrate, prin transferarea informațiilor respective în sistemul MATE de colectare a datelor.</w:t>
            </w:r>
          </w:p>
        </w:tc>
      </w:tr>
      <w:tr w:rsidR="00D1375D" w:rsidRPr="000A27B3" w14:paraId="66D38CD6"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6A3082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466</w:t>
            </w:r>
          </w:p>
        </w:tc>
        <w:tc>
          <w:tcPr>
            <w:tcW w:w="1795" w:type="dxa"/>
            <w:tcBorders>
              <w:top w:val="single" w:sz="4" w:space="0" w:color="auto"/>
              <w:left w:val="nil"/>
              <w:bottom w:val="single" w:sz="4" w:space="0" w:color="auto"/>
              <w:right w:val="single" w:sz="4" w:space="0" w:color="auto"/>
            </w:tcBorders>
            <w:shd w:val="clear" w:color="auto" w:fill="C6EFCE"/>
            <w:noWrap/>
          </w:tcPr>
          <w:p w14:paraId="677D7D1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4. Sprijinirea unităților de învățământ cu risc mediu și ridicat de abandon școlar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435A89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29906CC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Unități de învățământ cărora li s-a acordat un grant (lotul 2)</w:t>
            </w:r>
          </w:p>
        </w:tc>
        <w:tc>
          <w:tcPr>
            <w:tcW w:w="1843" w:type="dxa"/>
            <w:tcBorders>
              <w:top w:val="single" w:sz="4" w:space="0" w:color="auto"/>
              <w:left w:val="nil"/>
              <w:bottom w:val="single" w:sz="4" w:space="0" w:color="auto"/>
              <w:right w:val="single" w:sz="4" w:space="0" w:color="auto"/>
            </w:tcBorders>
            <w:shd w:val="clear" w:color="auto" w:fill="C6EFCE"/>
            <w:noWrap/>
          </w:tcPr>
          <w:p w14:paraId="24AA3802"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3133682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1C2FD90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750</w:t>
            </w:r>
          </w:p>
        </w:tc>
        <w:tc>
          <w:tcPr>
            <w:tcW w:w="1080" w:type="dxa"/>
            <w:tcBorders>
              <w:top w:val="single" w:sz="4" w:space="0" w:color="auto"/>
              <w:left w:val="nil"/>
              <w:bottom w:val="single" w:sz="4" w:space="0" w:color="auto"/>
              <w:right w:val="single" w:sz="4" w:space="0" w:color="auto"/>
            </w:tcBorders>
            <w:shd w:val="clear" w:color="auto" w:fill="C6EFCE"/>
            <w:noWrap/>
          </w:tcPr>
          <w:p w14:paraId="72A54C6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1 750</w:t>
            </w:r>
          </w:p>
        </w:tc>
        <w:tc>
          <w:tcPr>
            <w:tcW w:w="1200" w:type="dxa"/>
            <w:tcBorders>
              <w:top w:val="single" w:sz="4" w:space="0" w:color="auto"/>
              <w:left w:val="nil"/>
              <w:bottom w:val="single" w:sz="4" w:space="0" w:color="auto"/>
              <w:right w:val="single" w:sz="4" w:space="0" w:color="auto"/>
            </w:tcBorders>
            <w:shd w:val="clear" w:color="auto" w:fill="C6EFCE"/>
            <w:noWrap/>
          </w:tcPr>
          <w:p w14:paraId="4A714FCE" w14:textId="12629E02"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single" w:sz="4" w:space="0" w:color="auto"/>
              <w:left w:val="nil"/>
              <w:bottom w:val="single" w:sz="4" w:space="0" w:color="auto"/>
              <w:right w:val="single" w:sz="4" w:space="0" w:color="auto"/>
            </w:tcBorders>
            <w:shd w:val="clear" w:color="auto" w:fill="C6EFCE"/>
            <w:noWrap/>
          </w:tcPr>
          <w:p w14:paraId="780F6ED2" w14:textId="6C546290"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031B5818" w14:textId="576A8038"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Alte 1 000 de unități de învățământ vor primi granturi pentru sprijinirea elevilor în vederea asigurării tranziției de la învățământul secundar inferior la cel superior, pe baza a 5 indicatori definiți în Mecanismul de Avertizare Timpurie în Educație. Toți indicatorii sunt calculați pe baza unei ponderi care analizează cantitatea, adică numărul de elevi și de cadre didactice, sau calitatea, adică notele obținute la evaluarea națională. </w:t>
            </w:r>
          </w:p>
          <w:p w14:paraId="4B0F301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Pe baza indicelui de vulnerabilitate privind părăsirea timpurie a școlii, s-au clasificat școlile MATE în trei categorii, în funcție de prioritatea intervenției: ridicată, medie și scăzută. Unitățile de învățământ cu prioritate ridicată, care necesită o intervenție imediată, sunt considerate a fi cele care primesc un punctaj total cuprins între 3,5 și 5 și care prezintă mai multe elemente de vulnerabilitate, cum ar fi un număr ridicat de cadre didactice suplinitoare, o rată ridicată a abandonului școlar, o rată scăzută de participare și rezultate slabe la evaluarea națională. Acestor școli li se va acorda prioritate pentru finanțare.</w:t>
            </w:r>
          </w:p>
          <w:p w14:paraId="20B5A68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Activitățile eligibile includ: </w:t>
            </w:r>
          </w:p>
          <w:p w14:paraId="73C13E6F" w14:textId="77777777" w:rsidR="002B1133" w:rsidRPr="000A27B3" w:rsidRDefault="002B1133" w:rsidP="002B1133">
            <w:pPr>
              <w:numPr>
                <w:ilvl w:val="0"/>
                <w:numId w:val="116"/>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activități pedagogice și de sprijin; </w:t>
            </w:r>
          </w:p>
          <w:p w14:paraId="57852288" w14:textId="77777777" w:rsidR="002B1133" w:rsidRPr="000A27B3" w:rsidRDefault="002B1133" w:rsidP="002B1133">
            <w:pPr>
              <w:numPr>
                <w:ilvl w:val="0"/>
                <w:numId w:val="116"/>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activități extracurriculare; </w:t>
            </w:r>
          </w:p>
          <w:p w14:paraId="298A9F23" w14:textId="77777777" w:rsidR="002B1133" w:rsidRPr="000A27B3" w:rsidRDefault="002B1133" w:rsidP="002B1133">
            <w:pPr>
              <w:numPr>
                <w:ilvl w:val="0"/>
                <w:numId w:val="116"/>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lucrări minore și achiziționarea de bunuri; </w:t>
            </w:r>
          </w:p>
          <w:p w14:paraId="4607D27D" w14:textId="77777777" w:rsidR="002B1133" w:rsidRPr="000A27B3" w:rsidRDefault="002B1133" w:rsidP="002B1133">
            <w:pPr>
              <w:numPr>
                <w:ilvl w:val="0"/>
                <w:numId w:val="116"/>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subvenții pentru elevii din grupuri vulnerabile de asigurare a tranziției din învățământul secundar inferior către învățământul secundar superior pentru finalizarea învățământului obligatoriu; </w:t>
            </w:r>
          </w:p>
          <w:p w14:paraId="3522D7E8" w14:textId="77777777" w:rsidR="002B1133" w:rsidRPr="000A27B3" w:rsidRDefault="002B1133" w:rsidP="002B1133">
            <w:pPr>
              <w:numPr>
                <w:ilvl w:val="0"/>
                <w:numId w:val="116"/>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parteneriate cu ONG-uri pentru activități de sprijin și/sau extracurriculare</w:t>
            </w:r>
          </w:p>
          <w:p w14:paraId="14C1B899" w14:textId="77777777"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Școlile vor deveni responsabile pentru rezultatele elevilor și pentru actualizări periodice cu privire la progresele înregistrate, prin transferarea informațiilor respective în sistemul MATE de colectare a datelor.</w:t>
            </w:r>
          </w:p>
        </w:tc>
      </w:tr>
      <w:tr w:rsidR="00D1375D" w:rsidRPr="000A27B3" w14:paraId="40643B0E"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CCEE3FA"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467</w:t>
            </w:r>
          </w:p>
        </w:tc>
        <w:tc>
          <w:tcPr>
            <w:tcW w:w="1795" w:type="dxa"/>
            <w:tcBorders>
              <w:top w:val="single" w:sz="4" w:space="0" w:color="auto"/>
              <w:left w:val="nil"/>
              <w:bottom w:val="single" w:sz="4" w:space="0" w:color="auto"/>
              <w:right w:val="single" w:sz="4" w:space="0" w:color="auto"/>
            </w:tcBorders>
            <w:shd w:val="clear" w:color="auto" w:fill="C6EFCE"/>
            <w:noWrap/>
          </w:tcPr>
          <w:p w14:paraId="080CDFC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4. Sprijinirea unităților de învățământ cu risc mediu și ridicat de abandon școlar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0F2066C"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0FED465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Instituții de învățământ incluse în programul de abandon școlar cu săli de clasă digitalizate</w:t>
            </w:r>
          </w:p>
        </w:tc>
        <w:tc>
          <w:tcPr>
            <w:tcW w:w="1843" w:type="dxa"/>
            <w:tcBorders>
              <w:top w:val="single" w:sz="4" w:space="0" w:color="auto"/>
              <w:left w:val="nil"/>
              <w:bottom w:val="single" w:sz="4" w:space="0" w:color="auto"/>
              <w:right w:val="single" w:sz="4" w:space="0" w:color="auto"/>
            </w:tcBorders>
            <w:shd w:val="clear" w:color="auto" w:fill="C6EFCE"/>
            <w:noWrap/>
          </w:tcPr>
          <w:p w14:paraId="1CB10B45"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4F0A135B"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50957A3A"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117ED9B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2 500</w:t>
            </w:r>
          </w:p>
        </w:tc>
        <w:tc>
          <w:tcPr>
            <w:tcW w:w="1200" w:type="dxa"/>
            <w:tcBorders>
              <w:top w:val="single" w:sz="4" w:space="0" w:color="auto"/>
              <w:left w:val="nil"/>
              <w:bottom w:val="single" w:sz="4" w:space="0" w:color="auto"/>
              <w:right w:val="single" w:sz="4" w:space="0" w:color="auto"/>
            </w:tcBorders>
            <w:shd w:val="clear" w:color="auto" w:fill="C6EFCE"/>
            <w:noWrap/>
          </w:tcPr>
          <w:p w14:paraId="4A720DE1" w14:textId="7C562CB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T3 </w:t>
            </w:r>
          </w:p>
        </w:tc>
        <w:tc>
          <w:tcPr>
            <w:tcW w:w="840" w:type="dxa"/>
            <w:tcBorders>
              <w:top w:val="single" w:sz="4" w:space="0" w:color="auto"/>
              <w:left w:val="nil"/>
              <w:bottom w:val="single" w:sz="4" w:space="0" w:color="auto"/>
              <w:right w:val="single" w:sz="4" w:space="0" w:color="auto"/>
            </w:tcBorders>
            <w:shd w:val="clear" w:color="auto" w:fill="C6EFCE"/>
            <w:noWrap/>
          </w:tcPr>
          <w:p w14:paraId="148B3B85" w14:textId="10FE52CF"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3C771B6F" w14:textId="4B497348"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2 500 de unități de învățământ incluse în programul privind prevenirea abandonului școlar vor fi complet digitalizate prin achiziționarea echipamentelor necesare (tablete, imprimante, routere).</w:t>
            </w:r>
          </w:p>
        </w:tc>
      </w:tr>
      <w:tr w:rsidR="00D1375D" w:rsidRPr="000A27B3" w14:paraId="2D49676D"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03A57B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468</w:t>
            </w:r>
          </w:p>
        </w:tc>
        <w:tc>
          <w:tcPr>
            <w:tcW w:w="1795" w:type="dxa"/>
            <w:tcBorders>
              <w:top w:val="single" w:sz="4" w:space="0" w:color="auto"/>
              <w:left w:val="nil"/>
              <w:bottom w:val="single" w:sz="4" w:space="0" w:color="auto"/>
              <w:right w:val="single" w:sz="4" w:space="0" w:color="auto"/>
            </w:tcBorders>
            <w:shd w:val="clear" w:color="auto" w:fill="C6EFCE"/>
            <w:noWrap/>
          </w:tcPr>
          <w:p w14:paraId="3944A45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4. Sprijinirea unităților de învățământ cu risc mediu și ridicat de abandon școlar </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96227D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659EB1A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Reducerea numărului de școli cu risc mediu și ridicat de abandon școlar</w:t>
            </w:r>
          </w:p>
        </w:tc>
        <w:tc>
          <w:tcPr>
            <w:tcW w:w="1843" w:type="dxa"/>
            <w:tcBorders>
              <w:top w:val="single" w:sz="4" w:space="0" w:color="auto"/>
              <w:left w:val="nil"/>
              <w:bottom w:val="single" w:sz="4" w:space="0" w:color="auto"/>
              <w:right w:val="single" w:sz="4" w:space="0" w:color="auto"/>
            </w:tcBorders>
            <w:shd w:val="clear" w:color="auto" w:fill="C6EFCE"/>
            <w:noWrap/>
          </w:tcPr>
          <w:p w14:paraId="14123201"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19151E2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Număr </w:t>
            </w:r>
          </w:p>
        </w:tc>
        <w:tc>
          <w:tcPr>
            <w:tcW w:w="1080" w:type="dxa"/>
            <w:tcBorders>
              <w:top w:val="single" w:sz="4" w:space="0" w:color="auto"/>
              <w:left w:val="nil"/>
              <w:bottom w:val="single" w:sz="4" w:space="0" w:color="auto"/>
              <w:right w:val="single" w:sz="4" w:space="0" w:color="auto"/>
            </w:tcBorders>
            <w:shd w:val="clear" w:color="auto" w:fill="C6EFCE"/>
            <w:noWrap/>
          </w:tcPr>
          <w:p w14:paraId="5A32136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2 500 </w:t>
            </w:r>
          </w:p>
        </w:tc>
        <w:tc>
          <w:tcPr>
            <w:tcW w:w="1080" w:type="dxa"/>
            <w:tcBorders>
              <w:top w:val="single" w:sz="4" w:space="0" w:color="auto"/>
              <w:left w:val="nil"/>
              <w:bottom w:val="single" w:sz="4" w:space="0" w:color="auto"/>
              <w:right w:val="single" w:sz="4" w:space="0" w:color="auto"/>
            </w:tcBorders>
            <w:shd w:val="clear" w:color="auto" w:fill="C6EFCE"/>
            <w:noWrap/>
          </w:tcPr>
          <w:p w14:paraId="4E1E7B4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1 875 </w:t>
            </w:r>
          </w:p>
        </w:tc>
        <w:tc>
          <w:tcPr>
            <w:tcW w:w="1200" w:type="dxa"/>
            <w:tcBorders>
              <w:top w:val="single" w:sz="4" w:space="0" w:color="auto"/>
              <w:left w:val="nil"/>
              <w:bottom w:val="single" w:sz="4" w:space="0" w:color="auto"/>
              <w:right w:val="single" w:sz="4" w:space="0" w:color="auto"/>
            </w:tcBorders>
            <w:shd w:val="clear" w:color="auto" w:fill="C6EFCE"/>
            <w:noWrap/>
          </w:tcPr>
          <w:p w14:paraId="026D3DF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33EF3CB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34" w:type="dxa"/>
            <w:tcBorders>
              <w:top w:val="single" w:sz="4" w:space="0" w:color="auto"/>
              <w:left w:val="nil"/>
              <w:bottom w:val="single" w:sz="4" w:space="0" w:color="auto"/>
              <w:right w:val="single" w:sz="4" w:space="0" w:color="auto"/>
            </w:tcBorders>
            <w:shd w:val="clear" w:color="auto" w:fill="C6EFCE"/>
            <w:noWrap/>
          </w:tcPr>
          <w:p w14:paraId="7BFA233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Numărul școlilor cu risc mediu și ridicat de abandon școlar se va reduce cu 625.</w:t>
            </w:r>
          </w:p>
          <w:p w14:paraId="4625A576" w14:textId="77777777"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Indicele de vulnerabilitate se utilizează pentru a confirma o reducere de 25 % a cohortei de intervenție cu prioritate ridicată, cu o valoare de referință în T2 2022, chiar înainte de alocarea lotului 1 al granturilor. </w:t>
            </w:r>
          </w:p>
        </w:tc>
      </w:tr>
      <w:tr w:rsidR="00D1375D" w:rsidRPr="000A27B3" w14:paraId="51381F73"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41185FA"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469</w:t>
            </w:r>
          </w:p>
        </w:tc>
        <w:tc>
          <w:tcPr>
            <w:tcW w:w="1851" w:type="dxa"/>
            <w:gridSpan w:val="2"/>
            <w:tcBorders>
              <w:top w:val="single" w:sz="4" w:space="0" w:color="auto"/>
              <w:left w:val="nil"/>
              <w:bottom w:val="single" w:sz="4" w:space="0" w:color="auto"/>
              <w:right w:val="single" w:sz="4" w:space="0" w:color="auto"/>
            </w:tcBorders>
            <w:shd w:val="clear" w:color="auto" w:fill="C6EFCE"/>
            <w:noWrap/>
          </w:tcPr>
          <w:p w14:paraId="5F4DCFA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5. Cursuri de formare a utilizatorilor Sistemului Informatic Integrat al Învățământului din România (SIIIR) și ai instrumentului informatic al mecanismului de avertizare timpurie (MATE) și intervenții sistemice pentru reducerea părăsirii timpurii a școlii</w:t>
            </w:r>
          </w:p>
        </w:tc>
        <w:tc>
          <w:tcPr>
            <w:tcW w:w="1126" w:type="dxa"/>
            <w:tcBorders>
              <w:top w:val="single" w:sz="4" w:space="0" w:color="auto"/>
              <w:left w:val="nil"/>
              <w:bottom w:val="single" w:sz="4" w:space="0" w:color="auto"/>
              <w:right w:val="single" w:sz="4" w:space="0" w:color="auto"/>
            </w:tcBorders>
            <w:shd w:val="clear" w:color="auto" w:fill="C6EFCE"/>
            <w:noWrap/>
          </w:tcPr>
          <w:p w14:paraId="472492B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611E184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Utilizatorii Sistemului Informatic Integrat al Învățământului din România (SIIIR) și ai instrumentului informatic MATE care au fost formați</w:t>
            </w:r>
          </w:p>
        </w:tc>
        <w:tc>
          <w:tcPr>
            <w:tcW w:w="1843" w:type="dxa"/>
            <w:tcBorders>
              <w:top w:val="single" w:sz="4" w:space="0" w:color="auto"/>
              <w:left w:val="nil"/>
              <w:bottom w:val="single" w:sz="4" w:space="0" w:color="auto"/>
              <w:right w:val="single" w:sz="4" w:space="0" w:color="auto"/>
            </w:tcBorders>
            <w:shd w:val="clear" w:color="auto" w:fill="C6EFCE"/>
            <w:noWrap/>
          </w:tcPr>
          <w:p w14:paraId="5A97324A"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7571256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10B60A6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32B9439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45 000 </w:t>
            </w:r>
          </w:p>
        </w:tc>
        <w:tc>
          <w:tcPr>
            <w:tcW w:w="1200" w:type="dxa"/>
            <w:tcBorders>
              <w:top w:val="single" w:sz="4" w:space="0" w:color="auto"/>
              <w:left w:val="nil"/>
              <w:bottom w:val="single" w:sz="4" w:space="0" w:color="auto"/>
              <w:right w:val="single" w:sz="4" w:space="0" w:color="auto"/>
            </w:tcBorders>
            <w:shd w:val="clear" w:color="auto" w:fill="C6EFCE"/>
            <w:noWrap/>
          </w:tcPr>
          <w:p w14:paraId="0861F615" w14:textId="77777777" w:rsidR="002B1133" w:rsidRPr="000A27B3" w:rsidRDefault="002B1133">
            <w:pPr>
              <w:spacing w:after="120" w:line="240" w:lineRule="auto"/>
              <w:jc w:val="both"/>
              <w:rPr>
                <w:rFonts w:ascii="Times New Roman" w:hAnsi="Times New Roman" w:cs="Times New Roman"/>
                <w:noProof/>
                <w:sz w:val="24"/>
                <w:szCs w:val="24"/>
              </w:rPr>
            </w:pPr>
            <w:r>
              <w:rPr>
                <w:rFonts w:ascii="Times New Roman" w:hAnsi="Times New Roman"/>
                <w:noProof/>
                <w:sz w:val="24"/>
              </w:rPr>
              <w:t>T1</w:t>
            </w:r>
          </w:p>
          <w:p w14:paraId="312A4664"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840" w:type="dxa"/>
            <w:tcBorders>
              <w:top w:val="single" w:sz="4" w:space="0" w:color="auto"/>
              <w:left w:val="nil"/>
              <w:bottom w:val="single" w:sz="4" w:space="0" w:color="auto"/>
              <w:right w:val="single" w:sz="4" w:space="0" w:color="auto"/>
            </w:tcBorders>
            <w:shd w:val="clear" w:color="auto" w:fill="C6EFCE"/>
            <w:noWrap/>
          </w:tcPr>
          <w:p w14:paraId="3DDB3E1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2023</w:t>
            </w:r>
          </w:p>
        </w:tc>
        <w:tc>
          <w:tcPr>
            <w:tcW w:w="3034" w:type="dxa"/>
            <w:tcBorders>
              <w:top w:val="single" w:sz="4" w:space="0" w:color="auto"/>
              <w:left w:val="nil"/>
              <w:bottom w:val="single" w:sz="4" w:space="0" w:color="auto"/>
              <w:right w:val="single" w:sz="4" w:space="0" w:color="auto"/>
            </w:tcBorders>
            <w:shd w:val="clear" w:color="auto" w:fill="C6EFCE"/>
            <w:noWrap/>
          </w:tcPr>
          <w:p w14:paraId="1EEA21C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Cel puțin 45 000 de utilizatori vor fi instruiți să utilizeze SIIIR și instrumentul informatic MATE. Modulele cursului de formare trebuie să fie adaptate la:</w:t>
            </w:r>
          </w:p>
          <w:p w14:paraId="171E507F" w14:textId="77777777" w:rsidR="002B1133" w:rsidRPr="000A27B3" w:rsidRDefault="002B1133" w:rsidP="002B1133">
            <w:pPr>
              <w:numPr>
                <w:ilvl w:val="0"/>
                <w:numId w:val="116"/>
              </w:numPr>
              <w:spacing w:before="120" w:after="0" w:line="240" w:lineRule="auto"/>
              <w:ind w:left="189" w:hanging="189"/>
              <w:contextualSpacing/>
              <w:jc w:val="both"/>
              <w:rPr>
                <w:rFonts w:ascii="Times New Roman" w:hAnsi="Times New Roman" w:cs="Times New Roman"/>
                <w:noProof/>
                <w:sz w:val="24"/>
                <w:szCs w:val="24"/>
              </w:rPr>
            </w:pPr>
            <w:r>
              <w:rPr>
                <w:rFonts w:ascii="Times New Roman" w:hAnsi="Times New Roman"/>
                <w:noProof/>
                <w:sz w:val="24"/>
              </w:rPr>
              <w:t xml:space="preserve">nevoile și competențele elevilor (educație favorabilă incluziunii), abordările didactice centrate pe elev, competența interculturală și evaluarea formativă; </w:t>
            </w:r>
          </w:p>
          <w:p w14:paraId="0102C805" w14:textId="77777777" w:rsidR="002B1133" w:rsidRPr="000A27B3" w:rsidRDefault="002B1133" w:rsidP="002B1133">
            <w:pPr>
              <w:numPr>
                <w:ilvl w:val="0"/>
                <w:numId w:val="116"/>
              </w:numPr>
              <w:spacing w:before="120" w:after="0" w:line="240" w:lineRule="auto"/>
              <w:ind w:left="189" w:hanging="189"/>
              <w:contextualSpacing/>
              <w:jc w:val="both"/>
              <w:rPr>
                <w:rFonts w:ascii="Times New Roman" w:hAnsi="Times New Roman" w:cs="Times New Roman"/>
                <w:noProof/>
                <w:sz w:val="24"/>
                <w:szCs w:val="24"/>
              </w:rPr>
            </w:pPr>
            <w:r>
              <w:rPr>
                <w:rFonts w:ascii="Times New Roman" w:hAnsi="Times New Roman"/>
                <w:noProof/>
                <w:sz w:val="24"/>
              </w:rPr>
              <w:t xml:space="preserve">îmbunătățirea condițiilor de predare; </w:t>
            </w:r>
          </w:p>
          <w:p w14:paraId="62C01DEA" w14:textId="77777777" w:rsidR="002B1133" w:rsidRPr="000A27B3" w:rsidRDefault="002B1133" w:rsidP="002B1133">
            <w:pPr>
              <w:numPr>
                <w:ilvl w:val="0"/>
                <w:numId w:val="116"/>
              </w:numPr>
              <w:spacing w:before="120" w:after="0" w:line="240" w:lineRule="auto"/>
              <w:ind w:left="189" w:hanging="189"/>
              <w:contextualSpacing/>
              <w:jc w:val="both"/>
              <w:rPr>
                <w:rFonts w:ascii="Times New Roman" w:hAnsi="Times New Roman" w:cs="Times New Roman"/>
                <w:noProof/>
                <w:sz w:val="24"/>
                <w:szCs w:val="24"/>
              </w:rPr>
            </w:pPr>
            <w:r>
              <w:rPr>
                <w:rFonts w:ascii="Times New Roman" w:hAnsi="Times New Roman"/>
                <w:noProof/>
                <w:sz w:val="24"/>
              </w:rPr>
              <w:t xml:space="preserve">furnizarea de cursuri de formare pentru utilizarea modulului informatic MATE; </w:t>
            </w:r>
          </w:p>
          <w:p w14:paraId="7F487964" w14:textId="77777777" w:rsidR="002B1133" w:rsidRPr="000A27B3" w:rsidRDefault="002B1133" w:rsidP="002B1133">
            <w:pPr>
              <w:numPr>
                <w:ilvl w:val="0"/>
                <w:numId w:val="116"/>
              </w:numPr>
              <w:spacing w:before="120" w:after="0" w:line="240" w:lineRule="auto"/>
              <w:ind w:left="189" w:hanging="189"/>
              <w:contextualSpacing/>
              <w:jc w:val="both"/>
              <w:rPr>
                <w:rFonts w:ascii="Times New Roman" w:hAnsi="Times New Roman" w:cs="Times New Roman"/>
                <w:noProof/>
                <w:sz w:val="24"/>
                <w:szCs w:val="24"/>
              </w:rPr>
            </w:pPr>
            <w:r>
              <w:rPr>
                <w:rFonts w:ascii="Times New Roman" w:hAnsi="Times New Roman"/>
                <w:noProof/>
                <w:sz w:val="24"/>
              </w:rPr>
              <w:t xml:space="preserve">dezvoltarea și punerea în aplicare a unor campanii de sensibilizare pentru elevi și cadre didactice, care ar putea fi adaptate pentru elevii din grupurile defavorizate. </w:t>
            </w:r>
          </w:p>
          <w:p w14:paraId="1A65DF67" w14:textId="77777777" w:rsidR="002B1133" w:rsidRPr="000A27B3" w:rsidRDefault="002B1133" w:rsidP="002B1133">
            <w:pPr>
              <w:numPr>
                <w:ilvl w:val="0"/>
                <w:numId w:val="116"/>
              </w:numPr>
              <w:spacing w:before="120" w:after="0" w:line="240" w:lineRule="auto"/>
              <w:ind w:left="189" w:hanging="189"/>
              <w:contextualSpacing/>
              <w:jc w:val="both"/>
              <w:rPr>
                <w:rFonts w:ascii="Times New Roman" w:hAnsi="Times New Roman" w:cs="Times New Roman"/>
                <w:noProof/>
                <w:sz w:val="24"/>
                <w:szCs w:val="24"/>
              </w:rPr>
            </w:pPr>
            <w:r>
              <w:rPr>
                <w:rFonts w:ascii="Times New Roman" w:hAnsi="Times New Roman"/>
                <w:noProof/>
                <w:sz w:val="24"/>
              </w:rPr>
              <w:t>îmbunătățirea competențelor socioemoționale ale elevilor pentru finalizarea învățământului obligatoriu.</w:t>
            </w:r>
          </w:p>
        </w:tc>
      </w:tr>
      <w:tr w:rsidR="00D1375D" w:rsidRPr="000A27B3" w14:paraId="7EFD58FB"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11B5EF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470</w:t>
            </w:r>
          </w:p>
        </w:tc>
        <w:tc>
          <w:tcPr>
            <w:tcW w:w="1795" w:type="dxa"/>
            <w:tcBorders>
              <w:top w:val="single" w:sz="4" w:space="0" w:color="auto"/>
              <w:left w:val="nil"/>
              <w:bottom w:val="single" w:sz="4" w:space="0" w:color="auto"/>
              <w:right w:val="single" w:sz="4" w:space="0" w:color="auto"/>
            </w:tcBorders>
            <w:shd w:val="clear" w:color="auto" w:fill="C6EFCE"/>
            <w:noWrap/>
          </w:tcPr>
          <w:p w14:paraId="4217CC1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4. Crearea unei rute profesionale complete pentru învățământul tehnic superior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5FCEFB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p w14:paraId="7384E7CA"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559" w:type="dxa"/>
            <w:tcBorders>
              <w:top w:val="single" w:sz="4" w:space="0" w:color="auto"/>
              <w:left w:val="nil"/>
              <w:bottom w:val="single" w:sz="4" w:space="0" w:color="auto"/>
              <w:right w:val="single" w:sz="4" w:space="0" w:color="auto"/>
            </w:tcBorders>
            <w:shd w:val="clear" w:color="auto" w:fill="C6EFCE"/>
            <w:noWrap/>
          </w:tcPr>
          <w:p w14:paraId="4CBD25F2" w14:textId="77777777" w:rsidR="002B1133" w:rsidRPr="000A27B3" w:rsidRDefault="002B1133">
            <w:pPr>
              <w:spacing w:after="0" w:line="240" w:lineRule="auto"/>
              <w:jc w:val="both"/>
              <w:rPr>
                <w:rFonts w:ascii="Times New Roman" w:hAnsi="Times New Roman" w:cs="Times New Roman"/>
                <w:noProof/>
                <w:sz w:val="24"/>
                <w:szCs w:val="24"/>
              </w:rPr>
            </w:pPr>
            <w:bookmarkStart w:id="16" w:name="_Hlk79413408"/>
            <w:r>
              <w:rPr>
                <w:rFonts w:ascii="Times New Roman" w:hAnsi="Times New Roman"/>
                <w:noProof/>
                <w:sz w:val="24"/>
              </w:rPr>
              <w:t>Intrarea în vigoare a hotărârii de guvern de aprobare a Metodologiei de organizare a rutei duale complete și a noilor calificări rezultate din ruta duală completă</w:t>
            </w:r>
            <w:bookmarkEnd w:id="16"/>
          </w:p>
        </w:tc>
        <w:tc>
          <w:tcPr>
            <w:tcW w:w="1843" w:type="dxa"/>
            <w:tcBorders>
              <w:top w:val="single" w:sz="4" w:space="0" w:color="auto"/>
              <w:left w:val="nil"/>
              <w:bottom w:val="single" w:sz="4" w:space="0" w:color="auto"/>
              <w:right w:val="single" w:sz="4" w:space="0" w:color="auto"/>
            </w:tcBorders>
            <w:shd w:val="clear" w:color="auto" w:fill="C6EFCE"/>
            <w:noWrap/>
          </w:tcPr>
          <w:p w14:paraId="0F658E9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a hotărârii de guvern care indică intrarea în vigoare a metodologiei de organizare a rutei duale complete și a noilor calificări rezultate din ruta duală completă </w:t>
            </w:r>
          </w:p>
        </w:tc>
        <w:tc>
          <w:tcPr>
            <w:tcW w:w="1072" w:type="dxa"/>
            <w:tcBorders>
              <w:top w:val="single" w:sz="4" w:space="0" w:color="auto"/>
              <w:left w:val="nil"/>
              <w:bottom w:val="single" w:sz="4" w:space="0" w:color="auto"/>
              <w:right w:val="single" w:sz="4" w:space="0" w:color="auto"/>
            </w:tcBorders>
            <w:shd w:val="clear" w:color="auto" w:fill="C6EFCE"/>
            <w:noWrap/>
          </w:tcPr>
          <w:p w14:paraId="461C940B" w14:textId="77777777" w:rsidR="002B1133" w:rsidRPr="009F1DC7" w:rsidRDefault="002B1133">
            <w:pPr>
              <w:spacing w:after="0" w:line="240" w:lineRule="auto"/>
              <w:jc w:val="both"/>
              <w:rPr>
                <w:rFonts w:ascii="Times New Roman" w:hAnsi="Times New Roman" w:cs="Times New Roman"/>
                <w:noProof/>
                <w:sz w:val="24"/>
                <w:szCs w:val="24"/>
              </w:rPr>
            </w:pPr>
          </w:p>
        </w:tc>
        <w:tc>
          <w:tcPr>
            <w:tcW w:w="1080" w:type="dxa"/>
            <w:tcBorders>
              <w:top w:val="single" w:sz="4" w:space="0" w:color="auto"/>
              <w:left w:val="nil"/>
              <w:bottom w:val="single" w:sz="4" w:space="0" w:color="auto"/>
              <w:right w:val="single" w:sz="4" w:space="0" w:color="auto"/>
            </w:tcBorders>
            <w:shd w:val="clear" w:color="auto" w:fill="C6EFCE"/>
            <w:noWrap/>
          </w:tcPr>
          <w:p w14:paraId="51684BA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292A2CF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520BD28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2A9853D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30D648C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Noua metodologie:</w:t>
            </w:r>
          </w:p>
          <w:p w14:paraId="27B31865" w14:textId="77777777" w:rsidR="002B1133" w:rsidRPr="000A27B3" w:rsidRDefault="002B1133" w:rsidP="002B1133">
            <w:pPr>
              <w:numPr>
                <w:ilvl w:val="0"/>
                <w:numId w:val="117"/>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va urmări îmbunătățirea rezultatelor școlare în educația și formarea profesională (EFP);</w:t>
            </w:r>
          </w:p>
          <w:p w14:paraId="1CBB9836" w14:textId="227004F0" w:rsidR="002B1133" w:rsidRPr="000A27B3" w:rsidRDefault="002B1133" w:rsidP="002B1133">
            <w:pPr>
              <w:numPr>
                <w:ilvl w:val="0"/>
                <w:numId w:val="117"/>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va asigura un parcurs educațional complet pentru elevii înscriși în programe de învățământ dual de nivel liceal și terțiar (calificare 3</w:t>
            </w:r>
            <w:r w:rsidR="00B74F9A">
              <w:rPr>
                <w:rFonts w:ascii="Times New Roman" w:hAnsi="Times New Roman"/>
                <w:noProof/>
                <w:sz w:val="24"/>
              </w:rPr>
              <w:t>­</w:t>
            </w:r>
            <w:r>
              <w:rPr>
                <w:rFonts w:ascii="Times New Roman" w:hAnsi="Times New Roman"/>
                <w:noProof/>
                <w:sz w:val="24"/>
              </w:rPr>
              <w:t xml:space="preserve">7); </w:t>
            </w:r>
          </w:p>
          <w:p w14:paraId="63CB07F6" w14:textId="77777777" w:rsidR="002B1133" w:rsidRPr="000A27B3" w:rsidRDefault="002B1133" w:rsidP="002B1133">
            <w:pPr>
              <w:numPr>
                <w:ilvl w:val="0"/>
                <w:numId w:val="117"/>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va asigura corespondența dintre nivelurile Cadrului Național al Calificărilor, actele de studii/calificare ce se eliberează, tipul de programe de educație și formare profesională din România prin care pot fi dobândite nivelurile de calificare, nivelurile de referință ale Cadrului european al calificărilor, precum și condițiile de acces corespunzătoare fiecărui nivel de calificare.</w:t>
            </w:r>
          </w:p>
        </w:tc>
      </w:tr>
      <w:tr w:rsidR="00D1375D" w:rsidRPr="000A27B3" w14:paraId="4F21B4CA"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84B959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471</w:t>
            </w:r>
          </w:p>
        </w:tc>
        <w:tc>
          <w:tcPr>
            <w:tcW w:w="1795" w:type="dxa"/>
            <w:tcBorders>
              <w:top w:val="single" w:sz="4" w:space="0" w:color="auto"/>
              <w:left w:val="nil"/>
              <w:bottom w:val="single" w:sz="4" w:space="0" w:color="auto"/>
              <w:right w:val="single" w:sz="4" w:space="0" w:color="auto"/>
            </w:tcBorders>
            <w:shd w:val="clear" w:color="auto" w:fill="C6EFCE"/>
            <w:noWrap/>
          </w:tcPr>
          <w:p w14:paraId="66B7686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4. Crearea unei rute profesionale complete pentru învățământul tehnic superior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52CEC0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476742E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Ponderea elevilor înscriși în ruta profesională, în raport cu populația școlară înscrisă în învățământul secundar</w:t>
            </w:r>
          </w:p>
          <w:p w14:paraId="5F7F4008" w14:textId="77777777" w:rsidR="002B1133" w:rsidRPr="009F1DC7" w:rsidRDefault="002B1133">
            <w:pPr>
              <w:spacing w:after="0" w:line="240" w:lineRule="auto"/>
              <w:jc w:val="both"/>
              <w:rPr>
                <w:rFonts w:ascii="Times New Roman" w:hAnsi="Times New Roman" w:cs="Times New Roman"/>
                <w:noProof/>
                <w:sz w:val="24"/>
                <w:szCs w:val="24"/>
              </w:rPr>
            </w:pPr>
          </w:p>
          <w:p w14:paraId="2FC86D1E" w14:textId="77777777" w:rsidR="002B1133" w:rsidRPr="009F1DC7" w:rsidRDefault="002B1133">
            <w:pPr>
              <w:spacing w:after="0" w:line="240" w:lineRule="auto"/>
              <w:jc w:val="both"/>
              <w:rPr>
                <w:rFonts w:ascii="Times New Roman" w:hAnsi="Times New Roman" w:cs="Times New Roman"/>
                <w:noProof/>
                <w:sz w:val="24"/>
                <w:szCs w:val="24"/>
              </w:rPr>
            </w:pPr>
          </w:p>
          <w:p w14:paraId="370ED531" w14:textId="77777777" w:rsidR="002B1133" w:rsidRPr="009F1DC7" w:rsidRDefault="002B1133">
            <w:pPr>
              <w:spacing w:after="0" w:line="240" w:lineRule="auto"/>
              <w:jc w:val="both"/>
              <w:rPr>
                <w:rFonts w:ascii="Times New Roman" w:hAnsi="Times New Roman" w:cs="Times New Roman"/>
                <w:noProof/>
                <w:sz w:val="24"/>
                <w:szCs w:val="24"/>
              </w:rPr>
            </w:pPr>
          </w:p>
          <w:p w14:paraId="4F15829B" w14:textId="77777777" w:rsidR="002B1133" w:rsidRPr="009F1DC7" w:rsidRDefault="002B1133">
            <w:pPr>
              <w:spacing w:after="0" w:line="240" w:lineRule="auto"/>
              <w:jc w:val="both"/>
              <w:rPr>
                <w:rFonts w:ascii="Times New Roman" w:hAnsi="Times New Roman" w:cs="Times New Roman"/>
                <w:noProof/>
                <w:sz w:val="24"/>
                <w:szCs w:val="24"/>
              </w:rPr>
            </w:pPr>
          </w:p>
        </w:tc>
        <w:tc>
          <w:tcPr>
            <w:tcW w:w="1843" w:type="dxa"/>
            <w:tcBorders>
              <w:top w:val="single" w:sz="4" w:space="0" w:color="auto"/>
              <w:left w:val="nil"/>
              <w:bottom w:val="single" w:sz="4" w:space="0" w:color="auto"/>
              <w:right w:val="single" w:sz="4" w:space="0" w:color="auto"/>
            </w:tcBorders>
            <w:shd w:val="clear" w:color="auto" w:fill="C6EFCE"/>
            <w:noWrap/>
          </w:tcPr>
          <w:p w14:paraId="07404AEE" w14:textId="77777777" w:rsidR="002B1133" w:rsidRPr="009F1DC7" w:rsidRDefault="002B1133">
            <w:pPr>
              <w:spacing w:after="0" w:line="240" w:lineRule="auto"/>
              <w:jc w:val="both"/>
              <w:rPr>
                <w:rFonts w:ascii="Times New Roman" w:hAnsi="Times New Roman" w:cs="Times New Roman"/>
                <w:noProof/>
                <w:sz w:val="24"/>
                <w:szCs w:val="24"/>
              </w:rPr>
            </w:pPr>
          </w:p>
        </w:tc>
        <w:tc>
          <w:tcPr>
            <w:tcW w:w="1072" w:type="dxa"/>
            <w:tcBorders>
              <w:top w:val="single" w:sz="4" w:space="0" w:color="auto"/>
              <w:left w:val="nil"/>
              <w:bottom w:val="single" w:sz="4" w:space="0" w:color="auto"/>
              <w:right w:val="single" w:sz="4" w:space="0" w:color="auto"/>
            </w:tcBorders>
            <w:shd w:val="clear" w:color="auto" w:fill="C6EFCE"/>
            <w:noWrap/>
          </w:tcPr>
          <w:p w14:paraId="48873F0A" w14:textId="77777777" w:rsidR="002B1133" w:rsidRPr="000A27B3" w:rsidRDefault="002B1133">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078A2D6A"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5AFCF99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17 % </w:t>
            </w:r>
          </w:p>
        </w:tc>
        <w:tc>
          <w:tcPr>
            <w:tcW w:w="1080" w:type="dxa"/>
            <w:tcBorders>
              <w:top w:val="single" w:sz="4" w:space="0" w:color="auto"/>
              <w:left w:val="nil"/>
              <w:bottom w:val="single" w:sz="4" w:space="0" w:color="auto"/>
              <w:right w:val="single" w:sz="4" w:space="0" w:color="auto"/>
            </w:tcBorders>
            <w:shd w:val="clear" w:color="auto" w:fill="C6EFCE"/>
            <w:noWrap/>
          </w:tcPr>
          <w:p w14:paraId="360138D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40 %</w:t>
            </w:r>
          </w:p>
        </w:tc>
        <w:tc>
          <w:tcPr>
            <w:tcW w:w="1200" w:type="dxa"/>
            <w:tcBorders>
              <w:top w:val="single" w:sz="4" w:space="0" w:color="auto"/>
              <w:left w:val="nil"/>
              <w:bottom w:val="single" w:sz="4" w:space="0" w:color="auto"/>
              <w:right w:val="single" w:sz="4" w:space="0" w:color="auto"/>
            </w:tcBorders>
            <w:shd w:val="clear" w:color="auto" w:fill="C6EFCE"/>
            <w:noWrap/>
          </w:tcPr>
          <w:p w14:paraId="67EEF93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55DB435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34" w:type="dxa"/>
            <w:tcBorders>
              <w:top w:val="single" w:sz="4" w:space="0" w:color="auto"/>
              <w:left w:val="nil"/>
              <w:bottom w:val="single" w:sz="4" w:space="0" w:color="auto"/>
              <w:right w:val="single" w:sz="4" w:space="0" w:color="auto"/>
            </w:tcBorders>
            <w:shd w:val="clear" w:color="auto" w:fill="C6EFCE"/>
            <w:noWrap/>
          </w:tcPr>
          <w:p w14:paraId="57B244D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O creștere de 23 % a ponderii elevilor înscriși în ruta profesională, în raport cu populația școlară înscrisă în învățământul secundar.</w:t>
            </w:r>
          </w:p>
          <w:p w14:paraId="6D076103" w14:textId="6ED1A799"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Conform datelor din SIIIR, în anul școlar 2020-2021, 98 430 de elevi au fost înscriși într-o rută profesională de 3 ani, reprezentând aproximativ 17 % din numărul total al elevilor de liceu. Odată cu apariția rutei duale complete, se estimează o creștere a atractivității rutei profesionale, astfel încât în anul școlar 2025</w:t>
            </w:r>
            <w:r w:rsidR="00B74F9A">
              <w:rPr>
                <w:rFonts w:ascii="Times New Roman" w:hAnsi="Times New Roman"/>
                <w:noProof/>
                <w:sz w:val="24"/>
              </w:rPr>
              <w:t>­</w:t>
            </w:r>
            <w:r>
              <w:rPr>
                <w:rFonts w:ascii="Times New Roman" w:hAnsi="Times New Roman"/>
                <w:noProof/>
                <w:sz w:val="24"/>
              </w:rPr>
              <w:t>2026 să se înregistreze o creștere de până la 40 % a numărului de elevi înscriși în ruta profesională (elevi din IPT, licee tehnologice, inclusiv ruta duală completă), în comparație cu numărul total de elevi de liceu.</w:t>
            </w:r>
          </w:p>
        </w:tc>
      </w:tr>
      <w:tr w:rsidR="00D1375D" w:rsidRPr="000A27B3" w14:paraId="07A838E9"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21773B"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472</w:t>
            </w:r>
          </w:p>
        </w:tc>
        <w:tc>
          <w:tcPr>
            <w:tcW w:w="1795" w:type="dxa"/>
            <w:tcBorders>
              <w:top w:val="single" w:sz="4" w:space="0" w:color="auto"/>
              <w:left w:val="nil"/>
              <w:bottom w:val="single" w:sz="4" w:space="0" w:color="auto"/>
              <w:right w:val="single" w:sz="4" w:space="0" w:color="auto"/>
            </w:tcBorders>
            <w:shd w:val="clear" w:color="auto" w:fill="C6EFCE"/>
            <w:noWrap/>
          </w:tcPr>
          <w:p w14:paraId="2DE80813"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Investiția 6. Dezvoltarea a 10 consorții regionale și dezvoltarea și dotarea a 10 campusuri profesionale integrate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98A7B1F"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Țintă </w:t>
            </w:r>
          </w:p>
        </w:tc>
        <w:tc>
          <w:tcPr>
            <w:tcW w:w="1559" w:type="dxa"/>
            <w:tcBorders>
              <w:top w:val="single" w:sz="4" w:space="0" w:color="auto"/>
              <w:left w:val="nil"/>
              <w:bottom w:val="single" w:sz="4" w:space="0" w:color="auto"/>
              <w:right w:val="single" w:sz="4" w:space="0" w:color="auto"/>
            </w:tcBorders>
            <w:shd w:val="clear" w:color="auto" w:fill="C6EFCE"/>
            <w:noWrap/>
          </w:tcPr>
          <w:p w14:paraId="10A23346"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10 campusuri profesionale integrate nou-construite </w:t>
            </w:r>
          </w:p>
        </w:tc>
        <w:tc>
          <w:tcPr>
            <w:tcW w:w="1843" w:type="dxa"/>
            <w:tcBorders>
              <w:top w:val="single" w:sz="4" w:space="0" w:color="auto"/>
              <w:left w:val="nil"/>
              <w:bottom w:val="single" w:sz="4" w:space="0" w:color="auto"/>
              <w:right w:val="single" w:sz="4" w:space="0" w:color="auto"/>
            </w:tcBorders>
            <w:shd w:val="clear" w:color="auto" w:fill="C6EFCE"/>
            <w:noWrap/>
          </w:tcPr>
          <w:p w14:paraId="3995C432"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41947BBE"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785C1019"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7EE27462"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10</w:t>
            </w:r>
          </w:p>
        </w:tc>
        <w:tc>
          <w:tcPr>
            <w:tcW w:w="1200" w:type="dxa"/>
            <w:tcBorders>
              <w:top w:val="single" w:sz="4" w:space="0" w:color="auto"/>
              <w:left w:val="nil"/>
              <w:bottom w:val="single" w:sz="4" w:space="0" w:color="auto"/>
              <w:right w:val="single" w:sz="4" w:space="0" w:color="auto"/>
            </w:tcBorders>
            <w:shd w:val="clear" w:color="auto" w:fill="C6EFCE"/>
            <w:noWrap/>
          </w:tcPr>
          <w:p w14:paraId="5097C39E"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69387384"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35B4771B"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Se vor construi 10 campusuri profesionale integrate pentru educație și formare profesională. </w:t>
            </w:r>
          </w:p>
          <w:p w14:paraId="674A0CB7"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Fiecare consorțiu va primi un grant pentru dezvoltarea infrastructurii campusurilor. Campusurile vor aparține centrelor de învățământ dual. </w:t>
            </w:r>
          </w:p>
          <w:p w14:paraId="1ED6B461"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2DD2B64B"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Fiecare campus profesional integrat construit va fi echipat pentru ateliere digitale, pe baza unui concept de digitalizare adaptat profilului liceelor și universităților tehnologice. Prin urmare, universitățile și liceele tehnologice care vor fi implicate în structura de parteneriat legată de centrele de învățământ dual vor putea beneficia de granturi specifice.</w:t>
            </w:r>
          </w:p>
        </w:tc>
      </w:tr>
      <w:tr w:rsidR="00D1375D" w:rsidRPr="000A27B3" w14:paraId="003E1503"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9BF811"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473</w:t>
            </w:r>
          </w:p>
        </w:tc>
        <w:tc>
          <w:tcPr>
            <w:tcW w:w="1795" w:type="dxa"/>
            <w:tcBorders>
              <w:top w:val="single" w:sz="4" w:space="0" w:color="auto"/>
              <w:left w:val="nil"/>
              <w:bottom w:val="single" w:sz="4" w:space="0" w:color="auto"/>
              <w:right w:val="single" w:sz="4" w:space="0" w:color="auto"/>
            </w:tcBorders>
            <w:shd w:val="clear" w:color="auto" w:fill="C6EFCE"/>
            <w:noWrap/>
          </w:tcPr>
          <w:p w14:paraId="0988919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6. Dezvoltarea a 10 consorții regionale și dezvoltarea și dotarea a 10 campusuri profesionale integrate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7456F5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1DCE677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Centre de învățământ dual integrate, finalizate și operaționale, corelate cu cerințele operatorilor economici din zona respectivă</w:t>
            </w:r>
          </w:p>
        </w:tc>
        <w:tc>
          <w:tcPr>
            <w:tcW w:w="1843" w:type="dxa"/>
            <w:tcBorders>
              <w:top w:val="single" w:sz="4" w:space="0" w:color="auto"/>
              <w:left w:val="nil"/>
              <w:bottom w:val="single" w:sz="4" w:space="0" w:color="auto"/>
              <w:right w:val="single" w:sz="4" w:space="0" w:color="auto"/>
            </w:tcBorders>
            <w:shd w:val="clear" w:color="auto" w:fill="C6EFCE"/>
            <w:noWrap/>
          </w:tcPr>
          <w:p w14:paraId="1264969A"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72" w:type="dxa"/>
            <w:tcBorders>
              <w:top w:val="single" w:sz="4" w:space="0" w:color="auto"/>
              <w:left w:val="nil"/>
              <w:bottom w:val="single" w:sz="4" w:space="0" w:color="auto"/>
              <w:right w:val="single" w:sz="4" w:space="0" w:color="auto"/>
            </w:tcBorders>
            <w:shd w:val="clear" w:color="auto" w:fill="C6EFCE"/>
            <w:noWrap/>
          </w:tcPr>
          <w:p w14:paraId="37F25F4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683DC54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24C67EF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10</w:t>
            </w:r>
          </w:p>
        </w:tc>
        <w:tc>
          <w:tcPr>
            <w:tcW w:w="1200" w:type="dxa"/>
            <w:tcBorders>
              <w:top w:val="single" w:sz="4" w:space="0" w:color="auto"/>
              <w:left w:val="nil"/>
              <w:bottom w:val="single" w:sz="4" w:space="0" w:color="auto"/>
              <w:right w:val="single" w:sz="4" w:space="0" w:color="auto"/>
            </w:tcBorders>
            <w:shd w:val="clear" w:color="auto" w:fill="C6EFCE"/>
            <w:noWrap/>
          </w:tcPr>
          <w:p w14:paraId="6E010CA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single" w:sz="4" w:space="0" w:color="auto"/>
              <w:left w:val="nil"/>
              <w:bottom w:val="single" w:sz="4" w:space="0" w:color="auto"/>
              <w:right w:val="single" w:sz="4" w:space="0" w:color="auto"/>
            </w:tcBorders>
            <w:shd w:val="clear" w:color="auto" w:fill="C6EFCE"/>
            <w:noWrap/>
          </w:tcPr>
          <w:p w14:paraId="394FAE2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34" w:type="dxa"/>
            <w:tcBorders>
              <w:top w:val="single" w:sz="4" w:space="0" w:color="auto"/>
              <w:left w:val="nil"/>
              <w:bottom w:val="single" w:sz="4" w:space="0" w:color="auto"/>
              <w:right w:val="single" w:sz="4" w:space="0" w:color="auto"/>
            </w:tcBorders>
            <w:shd w:val="clear" w:color="auto" w:fill="C6EFCE"/>
            <w:noWrap/>
          </w:tcPr>
          <w:p w14:paraId="40D9B4B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10 consorții de învățământ dual, fiecare alcătuit din cel puțin următoarele tipuri de entități: autorități publice locale, întreprinderi locale, școli profesionale și tehnice, universități tehnice, pentru a sprijini angajatorii să joace un rol activ în formarea elevilor și a studenților.</w:t>
            </w:r>
          </w:p>
          <w:p w14:paraId="7AF6851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Procesul de selecție va avea la bază o metodologie unitară, elaborată de Ministerul Educației, aplicabilă la nivel național pentru a identifica cele mai adecvate și de impact structuri parteneriale regionale. Criteriile de selecție sunt următoarele:</w:t>
            </w:r>
          </w:p>
          <w:p w14:paraId="5E5C3DBC"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fiecare structură de parteneriat care va sta la baza creării consorțiului de învățământ dual este alcătuită din următoarele tipuri de entități: unități de învățământ profesional și tehnic inclusiv dual, universități tehnologice, agenți economici și autorități publice locale, alți parteneri naționali/europeni relevanți care pot aduce plusvaloare consorțiului;</w:t>
            </w:r>
          </w:p>
          <w:p w14:paraId="13B93DAD"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consorțiile de învățământ dual participă ca structuri funcționale, în baza unui acord de colaborare agreat înainte de depunerea ofertei de participare;</w:t>
            </w:r>
          </w:p>
          <w:p w14:paraId="447FCA4C"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potențialul economic și demografic oferit de zona unde va funcționa consorțiul regional de învățământ dual;</w:t>
            </w:r>
          </w:p>
          <w:p w14:paraId="7580A524"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de preferat, fiecare structură partenerială va fi amplasată într-o regiune distinctă/în fiecare regiune de dezvoltare, pentru a asigura o distribuție geografică egală la nivel național;</w:t>
            </w:r>
          </w:p>
          <w:p w14:paraId="634C469E"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pentru a se asigura conformitatea cu Orientările tehnice privind aplicarea principiului de „a nu aduce prejudicii semnificative” (2021/C58/01), criteriile de eligibilitate prevăzute în mandatul pentru viitoarele cereri de propuneri de proiecte vor conține o listă de excludere a anumitor activități.</w:t>
            </w:r>
          </w:p>
        </w:tc>
      </w:tr>
      <w:tr w:rsidR="00D1375D" w:rsidRPr="000A27B3" w14:paraId="1E33DBFC"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8B8BFF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474</w:t>
            </w:r>
          </w:p>
        </w:tc>
        <w:tc>
          <w:tcPr>
            <w:tcW w:w="1795" w:type="dxa"/>
            <w:tcBorders>
              <w:top w:val="single" w:sz="4" w:space="0" w:color="auto"/>
              <w:left w:val="nil"/>
              <w:bottom w:val="single" w:sz="4" w:space="0" w:color="auto"/>
              <w:right w:val="single" w:sz="4" w:space="0" w:color="auto"/>
            </w:tcBorders>
            <w:shd w:val="clear" w:color="auto" w:fill="C6EFCE"/>
            <w:noWrap/>
          </w:tcPr>
          <w:p w14:paraId="12AA846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6. Dezvoltarea a 10 consorții regionale și dezvoltarea și dotarea a 10 campusuri profesionale integrate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2A6922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p w14:paraId="3B41AC1F"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559" w:type="dxa"/>
            <w:tcBorders>
              <w:top w:val="single" w:sz="4" w:space="0" w:color="auto"/>
              <w:left w:val="nil"/>
              <w:bottom w:val="single" w:sz="4" w:space="0" w:color="auto"/>
              <w:right w:val="single" w:sz="4" w:space="0" w:color="auto"/>
            </w:tcBorders>
            <w:shd w:val="clear" w:color="auto" w:fill="C6EFCE"/>
            <w:noWrap/>
          </w:tcPr>
          <w:p w14:paraId="617505D0" w14:textId="3E210913"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Elevi înscriși în ruta duală completă </w:t>
            </w:r>
          </w:p>
        </w:tc>
        <w:tc>
          <w:tcPr>
            <w:tcW w:w="1843" w:type="dxa"/>
            <w:tcBorders>
              <w:top w:val="single" w:sz="4" w:space="0" w:color="auto"/>
              <w:left w:val="nil"/>
              <w:bottom w:val="single" w:sz="4" w:space="0" w:color="auto"/>
              <w:right w:val="single" w:sz="4" w:space="0" w:color="auto"/>
            </w:tcBorders>
            <w:shd w:val="clear" w:color="auto" w:fill="C6EFCE"/>
            <w:noWrap/>
          </w:tcPr>
          <w:p w14:paraId="616CF39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2BCB0CA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p w14:paraId="27B1401B" w14:textId="77777777" w:rsidR="002B1133" w:rsidRPr="000A27B3" w:rsidRDefault="002B1133">
            <w:pPr>
              <w:spacing w:after="0" w:line="240" w:lineRule="auto"/>
              <w:jc w:val="both"/>
              <w:rPr>
                <w:rFonts w:ascii="Times New Roman" w:hAnsi="Times New Roman" w:cs="Times New Roman"/>
                <w:noProof/>
                <w:sz w:val="24"/>
                <w:szCs w:val="24"/>
                <w:lang w:val="en-GB"/>
              </w:rPr>
            </w:pPr>
          </w:p>
          <w:p w14:paraId="55F512B1"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35DAE3B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1 847 </w:t>
            </w:r>
          </w:p>
          <w:p w14:paraId="295E03E0" w14:textId="77777777" w:rsidR="002B1133" w:rsidRPr="000A27B3" w:rsidRDefault="002B1133">
            <w:pPr>
              <w:spacing w:after="0" w:line="240" w:lineRule="auto"/>
              <w:jc w:val="both"/>
              <w:rPr>
                <w:rFonts w:ascii="Times New Roman" w:hAnsi="Times New Roman" w:cs="Times New Roman"/>
                <w:noProof/>
                <w:sz w:val="24"/>
                <w:szCs w:val="24"/>
                <w:lang w:val="en-GB"/>
              </w:rPr>
            </w:pPr>
          </w:p>
          <w:p w14:paraId="16C7648C"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7A68FCD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3 000</w:t>
            </w:r>
          </w:p>
          <w:p w14:paraId="28B9985B" w14:textId="77777777" w:rsidR="002B1133" w:rsidRPr="000A27B3" w:rsidRDefault="002B1133">
            <w:pPr>
              <w:spacing w:after="0" w:line="240" w:lineRule="auto"/>
              <w:jc w:val="both"/>
              <w:rPr>
                <w:rFonts w:ascii="Times New Roman" w:hAnsi="Times New Roman" w:cs="Times New Roman"/>
                <w:noProof/>
                <w:sz w:val="24"/>
                <w:szCs w:val="24"/>
                <w:lang w:val="en-GB"/>
              </w:rPr>
            </w:pPr>
          </w:p>
          <w:p w14:paraId="7316AE73"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482F785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6028D0D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34" w:type="dxa"/>
            <w:tcBorders>
              <w:top w:val="single" w:sz="4" w:space="0" w:color="auto"/>
              <w:left w:val="nil"/>
              <w:bottom w:val="single" w:sz="4" w:space="0" w:color="auto"/>
              <w:right w:val="single" w:sz="4" w:space="0" w:color="auto"/>
            </w:tcBorders>
            <w:shd w:val="clear" w:color="auto" w:fill="C6EFCE"/>
            <w:noWrap/>
          </w:tcPr>
          <w:p w14:paraId="18E182A8" w14:textId="75B1E9B4"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Creșterea cu cel puțin 60 % a numărului de elevi înscriși în ruta duală completă. În 2020, 1 847 de elevi au absolvit ruta duală. În urma măsurilor de sprijinire a centrelor de învățământ dual, se estimează că 3 000 de elevi vor absolvi ruta duală completă.</w:t>
            </w:r>
          </w:p>
          <w:p w14:paraId="1E5E2EBD"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Fiecare campus profesional integrat construit va fi echipat pentru ateliere digitale, pe baza unui concept de digitalizare adaptat profilului liceelor și universităților tehnologice. Astfel, se va asigura transformarea digitală.</w:t>
            </w:r>
          </w:p>
        </w:tc>
      </w:tr>
      <w:tr w:rsidR="00D1375D" w:rsidRPr="000A27B3" w14:paraId="7CB80687"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68B056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475</w:t>
            </w:r>
          </w:p>
        </w:tc>
        <w:tc>
          <w:tcPr>
            <w:tcW w:w="1795" w:type="dxa"/>
            <w:tcBorders>
              <w:top w:val="single" w:sz="4" w:space="0" w:color="auto"/>
              <w:left w:val="nil"/>
              <w:bottom w:val="single" w:sz="4" w:space="0" w:color="auto"/>
              <w:right w:val="single" w:sz="4" w:space="0" w:color="auto"/>
            </w:tcBorders>
            <w:shd w:val="clear" w:color="auto" w:fill="C6EFCE"/>
            <w:noWrap/>
          </w:tcPr>
          <w:p w14:paraId="5E5BE6E2" w14:textId="1995FE6A"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7. Transformarea liceelor agricole în centre de profesionalizare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06B5667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7828881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57 de licee agricole au beneficiat de sprijin prin intermediul granturilor</w:t>
            </w:r>
          </w:p>
        </w:tc>
        <w:tc>
          <w:tcPr>
            <w:tcW w:w="1843" w:type="dxa"/>
            <w:tcBorders>
              <w:top w:val="single" w:sz="4" w:space="0" w:color="auto"/>
              <w:left w:val="nil"/>
              <w:bottom w:val="single" w:sz="4" w:space="0" w:color="auto"/>
              <w:right w:val="single" w:sz="4" w:space="0" w:color="auto"/>
            </w:tcBorders>
            <w:shd w:val="clear" w:color="auto" w:fill="C6EFCE"/>
            <w:noWrap/>
          </w:tcPr>
          <w:p w14:paraId="45F9E8A5"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1F5ED96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14C65D7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18FC886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57</w:t>
            </w:r>
          </w:p>
        </w:tc>
        <w:tc>
          <w:tcPr>
            <w:tcW w:w="1200" w:type="dxa"/>
            <w:tcBorders>
              <w:top w:val="single" w:sz="4" w:space="0" w:color="auto"/>
              <w:left w:val="nil"/>
              <w:bottom w:val="single" w:sz="4" w:space="0" w:color="auto"/>
              <w:right w:val="single" w:sz="4" w:space="0" w:color="auto"/>
            </w:tcBorders>
            <w:shd w:val="clear" w:color="auto" w:fill="C6EFCE"/>
            <w:noWrap/>
          </w:tcPr>
          <w:p w14:paraId="2B09C00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3018492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2EBBF02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57 de licee agricole vor beneficia de sprijin pentru:</w:t>
            </w:r>
          </w:p>
          <w:p w14:paraId="7AF8F9D5"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modernizarea, renovarea și extinderea laboratoarelor școlare, a atelierelor și a laboratoarelor de informatică, a cantinelor, a căminelor pentru elevi;</w:t>
            </w:r>
          </w:p>
          <w:p w14:paraId="3C954F46"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achiziționarea de materiale biologice, echipamente agricole și utilaje pentru executarea lucrărilor agricole;</w:t>
            </w:r>
          </w:p>
          <w:p w14:paraId="470F03AD"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formarea cadrelor didactice pe baza unei programe specifice legate de agricultură elaborate împreună de Ministerul Agriculturii și Ministerul Educației.</w:t>
            </w:r>
          </w:p>
          <w:p w14:paraId="260CD61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Fiecare liceu agricol va fi dotat cu un laborator informatic care să includă simulatoare și softuri necesare activităților teoretice și practice de predare/învățare.</w:t>
            </w:r>
          </w:p>
          <w:p w14:paraId="557F27A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Ministerul Educației și Ministerul Agriculturii vor avea atribuții în oferirea de granturi și a unor cheltuieli materiale pentru îmbunătățirea calității învățământului liceal agricol, sporind atractivitatea ofertelor educaționale.</w:t>
            </w:r>
          </w:p>
          <w:p w14:paraId="0A21C51C" w14:textId="08985D3D"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 În acest context, cel puțin 90 % din costurile legate de renovare se referă la îmbunătățirea eficienței energetice. </w:t>
            </w:r>
          </w:p>
          <w:p w14:paraId="4C936B8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4E92231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Tipuri de lucrări necesare pentru a asigura îmbunătățirea performanței energetice atât pentru clădirile noi, cât și pentru cele vechi:</w:t>
            </w:r>
          </w:p>
          <w:p w14:paraId="575A0B6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conectarea la rețeaua de gaze naturale și instalarea de cazane pe gaz și/sau înlocuirea în clădirile vechi a cazanelor pe cărbune și pe gaz existente, după caz;</w:t>
            </w:r>
          </w:p>
          <w:p w14:paraId="3473DED5"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instalarea de cazane pentru încălzire în clădirile noi;</w:t>
            </w:r>
          </w:p>
          <w:p w14:paraId="5C38739C" w14:textId="77777777" w:rsidR="002B1133" w:rsidRPr="000A27B3" w:rsidRDefault="002B1133" w:rsidP="002B1133">
            <w:pPr>
              <w:numPr>
                <w:ilvl w:val="0"/>
                <w:numId w:val="118"/>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instalarea de panouri fotovoltaice pentru clădirile noi care au terenuri disponibile pentru utilizarea acestui sistem de încălzire.</w:t>
            </w:r>
          </w:p>
        </w:tc>
      </w:tr>
      <w:tr w:rsidR="00D1375D" w:rsidRPr="000A27B3" w14:paraId="13F7A27C"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DF6799" w14:textId="77777777" w:rsidR="002B1133" w:rsidRPr="000A27B3" w:rsidRDefault="002B1133">
            <w:pPr>
              <w:spacing w:after="0" w:line="240" w:lineRule="auto"/>
              <w:jc w:val="center"/>
              <w:rPr>
                <w:rFonts w:ascii="Times New Roman" w:hAnsi="Times New Roman" w:cs="Times New Roman"/>
                <w:noProof/>
                <w:sz w:val="24"/>
                <w:szCs w:val="24"/>
              </w:rPr>
            </w:pPr>
            <w:bookmarkStart w:id="17" w:name="_Hlk81470112"/>
            <w:r>
              <w:rPr>
                <w:rFonts w:ascii="Times New Roman" w:hAnsi="Times New Roman"/>
                <w:noProof/>
                <w:sz w:val="24"/>
              </w:rPr>
              <w:t>476</w:t>
            </w:r>
          </w:p>
        </w:tc>
        <w:tc>
          <w:tcPr>
            <w:tcW w:w="1795" w:type="dxa"/>
            <w:tcBorders>
              <w:top w:val="single" w:sz="4" w:space="0" w:color="auto"/>
              <w:left w:val="nil"/>
              <w:bottom w:val="single" w:sz="4" w:space="0" w:color="auto"/>
              <w:right w:val="single" w:sz="4" w:space="0" w:color="auto"/>
            </w:tcBorders>
            <w:shd w:val="clear" w:color="auto" w:fill="C6EFCE"/>
            <w:noWrap/>
          </w:tcPr>
          <w:p w14:paraId="27962A7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7. Transformarea liceelor agricole în centre de profesionalizare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6E8789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5F68074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Numărul de elevi înmatriculați în cadrul liceelor agricole</w:t>
            </w:r>
          </w:p>
        </w:tc>
        <w:tc>
          <w:tcPr>
            <w:tcW w:w="1843" w:type="dxa"/>
            <w:tcBorders>
              <w:top w:val="single" w:sz="4" w:space="0" w:color="auto"/>
              <w:left w:val="nil"/>
              <w:bottom w:val="single" w:sz="4" w:space="0" w:color="auto"/>
              <w:right w:val="single" w:sz="4" w:space="0" w:color="auto"/>
            </w:tcBorders>
            <w:shd w:val="clear" w:color="auto" w:fill="C6EFCE"/>
            <w:noWrap/>
          </w:tcPr>
          <w:p w14:paraId="34EB623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4523BFC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07803EE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18 000</w:t>
            </w:r>
          </w:p>
        </w:tc>
        <w:tc>
          <w:tcPr>
            <w:tcW w:w="1080" w:type="dxa"/>
            <w:tcBorders>
              <w:top w:val="single" w:sz="4" w:space="0" w:color="auto"/>
              <w:left w:val="nil"/>
              <w:bottom w:val="single" w:sz="4" w:space="0" w:color="auto"/>
              <w:right w:val="single" w:sz="4" w:space="0" w:color="auto"/>
            </w:tcBorders>
            <w:shd w:val="clear" w:color="auto" w:fill="C6EFCE"/>
            <w:noWrap/>
          </w:tcPr>
          <w:p w14:paraId="5DFA246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20 000</w:t>
            </w:r>
          </w:p>
        </w:tc>
        <w:tc>
          <w:tcPr>
            <w:tcW w:w="1200" w:type="dxa"/>
            <w:tcBorders>
              <w:top w:val="single" w:sz="4" w:space="0" w:color="auto"/>
              <w:left w:val="nil"/>
              <w:bottom w:val="single" w:sz="4" w:space="0" w:color="auto"/>
              <w:right w:val="single" w:sz="4" w:space="0" w:color="auto"/>
            </w:tcBorders>
            <w:shd w:val="clear" w:color="auto" w:fill="C6EFCE"/>
            <w:noWrap/>
          </w:tcPr>
          <w:p w14:paraId="60540A6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132073C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5F066904"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Numărul elevilor înscriși în cele 57 de licee tehnologice, cu un profil predominant agricol, în anul școlar 2025-2026 va crește cu 11,1 % în comparație cu anul școlar 2020-2021.</w:t>
            </w:r>
          </w:p>
        </w:tc>
      </w:tr>
      <w:bookmarkEnd w:id="17"/>
      <w:tr w:rsidR="00D1375D" w:rsidRPr="000A27B3" w14:paraId="50389E25"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E21355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477</w:t>
            </w:r>
          </w:p>
        </w:tc>
        <w:tc>
          <w:tcPr>
            <w:tcW w:w="1795" w:type="dxa"/>
            <w:tcBorders>
              <w:top w:val="single" w:sz="4" w:space="0" w:color="auto"/>
              <w:left w:val="nil"/>
              <w:bottom w:val="single" w:sz="4" w:space="0" w:color="auto"/>
              <w:right w:val="single" w:sz="4" w:space="0" w:color="auto"/>
            </w:tcBorders>
            <w:shd w:val="clear" w:color="auto" w:fill="C6EFCE"/>
            <w:noWrap/>
          </w:tcPr>
          <w:p w14:paraId="7B07BFE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5. Adoptarea cadrului legislativ pentru digitalizarea educației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35968A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48103B1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Ordinului ministerial (MO) pentru asigurarea unor standarde de echipare a școlilor cu echipamente tehnologice și resurse pentru scop educațional online și pentru asigurarea unui impact durabil al investițiilor propuse.</w:t>
            </w:r>
          </w:p>
        </w:tc>
        <w:tc>
          <w:tcPr>
            <w:tcW w:w="1843" w:type="dxa"/>
            <w:tcBorders>
              <w:top w:val="single" w:sz="4" w:space="0" w:color="auto"/>
              <w:left w:val="nil"/>
              <w:bottom w:val="single" w:sz="4" w:space="0" w:color="auto"/>
              <w:right w:val="single" w:sz="4" w:space="0" w:color="auto"/>
            </w:tcBorders>
            <w:shd w:val="clear" w:color="auto" w:fill="C6EFCE"/>
            <w:noWrap/>
          </w:tcPr>
          <w:p w14:paraId="31B891C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Dispoziție legală în OM care indică intrarea în vigoare a cadrului legislativ privind standardele în materie de echipare</w:t>
            </w:r>
          </w:p>
        </w:tc>
        <w:tc>
          <w:tcPr>
            <w:tcW w:w="1072" w:type="dxa"/>
            <w:tcBorders>
              <w:top w:val="single" w:sz="4" w:space="0" w:color="auto"/>
              <w:left w:val="nil"/>
              <w:bottom w:val="single" w:sz="4" w:space="0" w:color="auto"/>
              <w:right w:val="single" w:sz="4" w:space="0" w:color="auto"/>
            </w:tcBorders>
            <w:shd w:val="clear" w:color="auto" w:fill="C6EFCE"/>
            <w:noWrap/>
          </w:tcPr>
          <w:p w14:paraId="10BDCC7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5C5917F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60FA384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7A4EB15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single" w:sz="4" w:space="0" w:color="auto"/>
              <w:left w:val="nil"/>
              <w:bottom w:val="single" w:sz="4" w:space="0" w:color="auto"/>
              <w:right w:val="single" w:sz="4" w:space="0" w:color="auto"/>
            </w:tcBorders>
            <w:shd w:val="clear" w:color="auto" w:fill="C6EFCE"/>
            <w:noWrap/>
          </w:tcPr>
          <w:p w14:paraId="37F57E5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5FFCAAA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Noul ordin ministerial va defini standardele minime privind echipamentele tehnice pentru școli pentru a asigura calitatea activităților educaționale desfășurate în mediul virtual și prin intermediul tehnologiei virtuale.</w:t>
            </w:r>
          </w:p>
          <w:p w14:paraId="7B2B4A03" w14:textId="77777777" w:rsidR="002B1133" w:rsidRPr="009F1DC7" w:rsidRDefault="002B1133">
            <w:pPr>
              <w:spacing w:after="0" w:line="240" w:lineRule="auto"/>
              <w:jc w:val="both"/>
              <w:rPr>
                <w:rFonts w:ascii="Times New Roman" w:hAnsi="Times New Roman" w:cs="Times New Roman"/>
                <w:noProof/>
                <w:sz w:val="24"/>
                <w:szCs w:val="24"/>
              </w:rPr>
            </w:pPr>
          </w:p>
          <w:p w14:paraId="46C35FA2" w14:textId="77777777" w:rsidR="002B1133" w:rsidRPr="009F1DC7" w:rsidRDefault="002B1133">
            <w:pPr>
              <w:spacing w:after="0" w:line="240" w:lineRule="auto"/>
              <w:jc w:val="both"/>
              <w:rPr>
                <w:rFonts w:ascii="Times New Roman" w:eastAsia="Times New Roman" w:hAnsi="Times New Roman" w:cs="Times New Roman"/>
                <w:noProof/>
                <w:sz w:val="24"/>
                <w:szCs w:val="24"/>
              </w:rPr>
            </w:pPr>
          </w:p>
        </w:tc>
      </w:tr>
      <w:tr w:rsidR="00D1375D" w:rsidRPr="000A27B3" w14:paraId="4D817AA3"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717D88B"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478</w:t>
            </w:r>
          </w:p>
        </w:tc>
        <w:tc>
          <w:tcPr>
            <w:tcW w:w="1795" w:type="dxa"/>
            <w:tcBorders>
              <w:top w:val="single" w:sz="4" w:space="0" w:color="auto"/>
              <w:left w:val="nil"/>
              <w:bottom w:val="single" w:sz="4" w:space="0" w:color="auto"/>
              <w:right w:val="single" w:sz="4" w:space="0" w:color="auto"/>
            </w:tcBorders>
            <w:shd w:val="clear" w:color="auto" w:fill="C6EFCE"/>
            <w:noWrap/>
          </w:tcPr>
          <w:p w14:paraId="58DB23F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5. Adoptarea cadrului legislativ pentru digitalizarea educației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69FE870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648FE7E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legii care stabilește profilul viitorului cadru didactic privind competențele digitale și modalitatea de evaluare a competențelor digitale în cadrul examenelor de grad didactic </w:t>
            </w:r>
          </w:p>
        </w:tc>
        <w:tc>
          <w:tcPr>
            <w:tcW w:w="1843" w:type="dxa"/>
            <w:tcBorders>
              <w:top w:val="single" w:sz="4" w:space="0" w:color="auto"/>
              <w:left w:val="nil"/>
              <w:bottom w:val="single" w:sz="4" w:space="0" w:color="auto"/>
              <w:right w:val="single" w:sz="4" w:space="0" w:color="auto"/>
            </w:tcBorders>
            <w:shd w:val="clear" w:color="auto" w:fill="C6EFCE"/>
            <w:noWrap/>
          </w:tcPr>
          <w:p w14:paraId="7FC024C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Dispoziție a legii care indică intrarea în vigoare a actului legislativ care stabilește profilul viitorului cadru didactic în ceea ce privește competențele digitale și evaluarea competențelor digitale</w:t>
            </w:r>
          </w:p>
        </w:tc>
        <w:tc>
          <w:tcPr>
            <w:tcW w:w="1072" w:type="dxa"/>
            <w:tcBorders>
              <w:top w:val="single" w:sz="4" w:space="0" w:color="auto"/>
              <w:left w:val="nil"/>
              <w:bottom w:val="single" w:sz="4" w:space="0" w:color="auto"/>
              <w:right w:val="single" w:sz="4" w:space="0" w:color="auto"/>
            </w:tcBorders>
            <w:shd w:val="clear" w:color="auto" w:fill="C6EFCE"/>
            <w:noWrap/>
          </w:tcPr>
          <w:p w14:paraId="0950491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68113DB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7878819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420FA8D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6DCC074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473F44B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Noua lege care stabilește profilul viitorului cadru didactic privind competențele digitale și modalitatea de evaluare a competențelor digitale în cadrul examenelor de grad didactic:</w:t>
            </w:r>
          </w:p>
          <w:p w14:paraId="613B32B5" w14:textId="77777777" w:rsidR="002B1133" w:rsidRPr="000A27B3" w:rsidRDefault="002B1133" w:rsidP="002B1133">
            <w:pPr>
              <w:numPr>
                <w:ilvl w:val="0"/>
                <w:numId w:val="119"/>
              </w:numPr>
              <w:tabs>
                <w:tab w:val="left" w:pos="189"/>
              </w:tabs>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va stabili profilul de competențe al profesionistului în educație, precum și mecanismul de validare a competențelor digitale ale cadrelor didactice în cadrul examenelor de grad didactic, în conformitate cu Cadrul european al competențelor digitale pentru personalul din domeniul educației</w:t>
            </w:r>
            <w:r w:rsidRPr="000A27B3">
              <w:rPr>
                <w:rFonts w:ascii="Times New Roman" w:hAnsi="Times New Roman" w:cs="Times New Roman"/>
                <w:noProof/>
                <w:sz w:val="24"/>
                <w:szCs w:val="24"/>
                <w:vertAlign w:val="superscript"/>
                <w:lang w:val="en-GB"/>
              </w:rPr>
              <w:footnoteReference w:id="58"/>
            </w:r>
            <w:r>
              <w:rPr>
                <w:rFonts w:ascii="Times New Roman" w:hAnsi="Times New Roman"/>
                <w:noProof/>
                <w:sz w:val="24"/>
              </w:rPr>
              <w:t>;</w:t>
            </w:r>
          </w:p>
          <w:p w14:paraId="371545FC" w14:textId="77777777" w:rsidR="002B1133" w:rsidRPr="000A27B3" w:rsidRDefault="002B1133" w:rsidP="002B1133">
            <w:pPr>
              <w:numPr>
                <w:ilvl w:val="0"/>
                <w:numId w:val="119"/>
              </w:numPr>
              <w:tabs>
                <w:tab w:val="left" w:pos="189"/>
              </w:tabs>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va integra în Programul-cadru de învățământ, în Programele de formare psihopedagogică și în cel aferent Masteratului didactic, a unor module pentru dezvoltarea competențelor digitale ale viitoarelor cadre didactice și pentru familiarizarea și utilizarea de metode și tehnici de predare moderne, conform Cadrului DigCompEdu;</w:t>
            </w:r>
          </w:p>
          <w:p w14:paraId="462AB488" w14:textId="77777777" w:rsidR="002B1133" w:rsidRPr="000A27B3" w:rsidRDefault="002B1133" w:rsidP="002B1133">
            <w:pPr>
              <w:numPr>
                <w:ilvl w:val="0"/>
                <w:numId w:val="119"/>
              </w:numPr>
              <w:tabs>
                <w:tab w:val="left" w:pos="189"/>
              </w:tabs>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va elabora cadrul de derulare a inspecției școlare (monitorizarea și evaluarea activităților didactice derulate în mediul virtual);</w:t>
            </w:r>
          </w:p>
          <w:p w14:paraId="6F5C9308"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va elabora metodologii de evaluare pentru mediul online, a performanțelor școlare ale elevilor, inclusiv va elabora o platformă de evaluare securizată a competențelor elevilor.</w:t>
            </w:r>
          </w:p>
        </w:tc>
      </w:tr>
      <w:tr w:rsidR="00D1375D" w:rsidRPr="000A27B3" w14:paraId="27C8E308"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B4AAC3B"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479</w:t>
            </w:r>
          </w:p>
        </w:tc>
        <w:tc>
          <w:tcPr>
            <w:tcW w:w="1795" w:type="dxa"/>
            <w:tcBorders>
              <w:top w:val="single" w:sz="4" w:space="0" w:color="auto"/>
              <w:left w:val="nil"/>
              <w:bottom w:val="single" w:sz="4" w:space="0" w:color="auto"/>
              <w:right w:val="single" w:sz="4" w:space="0" w:color="auto"/>
            </w:tcBorders>
            <w:shd w:val="clear" w:color="auto" w:fill="C6EFCE"/>
            <w:noWrap/>
          </w:tcPr>
          <w:p w14:paraId="7ABE5EA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5. Adoptarea cadrului legislativ pentru digitalizarea educației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441F30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21151C9A" w14:textId="455F8724"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Intrarea în vigoare a legislației de instituire a Cadrului național de referință pentru competențe digitale în învățământul preuniversitar</w:t>
            </w:r>
          </w:p>
        </w:tc>
        <w:tc>
          <w:tcPr>
            <w:tcW w:w="1843" w:type="dxa"/>
            <w:tcBorders>
              <w:top w:val="single" w:sz="4" w:space="0" w:color="auto"/>
              <w:left w:val="nil"/>
              <w:bottom w:val="single" w:sz="4" w:space="0" w:color="auto"/>
              <w:right w:val="single" w:sz="4" w:space="0" w:color="auto"/>
            </w:tcBorders>
            <w:shd w:val="clear" w:color="auto" w:fill="C6EFCE"/>
            <w:noWrap/>
          </w:tcPr>
          <w:p w14:paraId="41F6F751" w14:textId="7CD04784"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legislativă care indică intrarea în vigoare a Cadrului național de referință pentru competențe digitale </w:t>
            </w:r>
          </w:p>
        </w:tc>
        <w:tc>
          <w:tcPr>
            <w:tcW w:w="1072" w:type="dxa"/>
            <w:tcBorders>
              <w:top w:val="single" w:sz="4" w:space="0" w:color="auto"/>
              <w:left w:val="nil"/>
              <w:bottom w:val="single" w:sz="4" w:space="0" w:color="auto"/>
              <w:right w:val="single" w:sz="4" w:space="0" w:color="auto"/>
            </w:tcBorders>
            <w:shd w:val="clear" w:color="auto" w:fill="C6EFCE"/>
            <w:noWrap/>
          </w:tcPr>
          <w:p w14:paraId="3A7AC12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1251EAF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6BB0A74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730D3D0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Q2</w:t>
            </w:r>
          </w:p>
        </w:tc>
        <w:tc>
          <w:tcPr>
            <w:tcW w:w="840" w:type="dxa"/>
            <w:tcBorders>
              <w:top w:val="single" w:sz="4" w:space="0" w:color="auto"/>
              <w:left w:val="nil"/>
              <w:bottom w:val="single" w:sz="4" w:space="0" w:color="auto"/>
              <w:right w:val="single" w:sz="4" w:space="0" w:color="auto"/>
            </w:tcBorders>
            <w:shd w:val="clear" w:color="auto" w:fill="C6EFCE"/>
            <w:noWrap/>
          </w:tcPr>
          <w:p w14:paraId="5DEC373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4A0E75C5" w14:textId="5D54922E"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Intrarea în vigoare a legislației prin care se instituie Cadrul național de referință pentru îmbunătățirea competențelor digitale în învățământul preuniversitar în conformitate cu DigComp: Cadrul european al competențelor digitale pentru cetățeni</w:t>
            </w:r>
            <w:r w:rsidRPr="000A27B3">
              <w:rPr>
                <w:rFonts w:ascii="Times New Roman" w:hAnsi="Times New Roman" w:cs="Times New Roman"/>
                <w:noProof/>
                <w:sz w:val="24"/>
                <w:szCs w:val="24"/>
                <w:vertAlign w:val="superscript"/>
                <w:lang w:val="en-GB"/>
              </w:rPr>
              <w:footnoteReference w:id="59"/>
            </w:r>
            <w:r>
              <w:rPr>
                <w:rFonts w:ascii="Times New Roman" w:hAnsi="Times New Roman"/>
                <w:noProof/>
                <w:sz w:val="24"/>
              </w:rPr>
              <w:t>.</w:t>
            </w:r>
          </w:p>
        </w:tc>
      </w:tr>
      <w:tr w:rsidR="00D1375D" w:rsidRPr="000A27B3" w14:paraId="7BB279FD"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0BA62ED"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480</w:t>
            </w:r>
          </w:p>
        </w:tc>
        <w:tc>
          <w:tcPr>
            <w:tcW w:w="1795" w:type="dxa"/>
            <w:tcBorders>
              <w:top w:val="single" w:sz="4" w:space="0" w:color="auto"/>
              <w:left w:val="nil"/>
              <w:bottom w:val="single" w:sz="4" w:space="0" w:color="auto"/>
              <w:right w:val="single" w:sz="4" w:space="0" w:color="auto"/>
            </w:tcBorders>
            <w:shd w:val="clear" w:color="auto" w:fill="C6EFCE"/>
            <w:noWrap/>
          </w:tcPr>
          <w:p w14:paraId="697200B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8. Program de formare la locul de muncă pentru personalul didactic</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591D4B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569ACD8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Cadre didactice care au urmat cursuri de formare pentru predarea online, prin îmbunătățirea competențelor specifice de pedagogie digitală</w:t>
            </w:r>
          </w:p>
        </w:tc>
        <w:tc>
          <w:tcPr>
            <w:tcW w:w="1843" w:type="dxa"/>
            <w:tcBorders>
              <w:top w:val="single" w:sz="4" w:space="0" w:color="auto"/>
              <w:left w:val="nil"/>
              <w:bottom w:val="single" w:sz="4" w:space="0" w:color="auto"/>
              <w:right w:val="single" w:sz="4" w:space="0" w:color="auto"/>
            </w:tcBorders>
            <w:shd w:val="clear" w:color="auto" w:fill="C6EFCE"/>
            <w:noWrap/>
          </w:tcPr>
          <w:p w14:paraId="0BCB3B0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0EA3B7D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39CF523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619310C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100 000</w:t>
            </w:r>
          </w:p>
        </w:tc>
        <w:tc>
          <w:tcPr>
            <w:tcW w:w="1200" w:type="dxa"/>
            <w:tcBorders>
              <w:top w:val="single" w:sz="4" w:space="0" w:color="auto"/>
              <w:left w:val="nil"/>
              <w:bottom w:val="single" w:sz="4" w:space="0" w:color="auto"/>
              <w:right w:val="single" w:sz="4" w:space="0" w:color="auto"/>
            </w:tcBorders>
            <w:shd w:val="clear" w:color="auto" w:fill="C6EFCE"/>
            <w:noWrap/>
          </w:tcPr>
          <w:p w14:paraId="61F69C1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4CCF38B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44BF587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Cel puțin 100 000 de profesori sunt formați în domeniul educației digitale integrate și al tranziției digitale.</w:t>
            </w:r>
          </w:p>
        </w:tc>
      </w:tr>
      <w:tr w:rsidR="00D1375D" w:rsidRPr="000A27B3" w14:paraId="09AAA5F6"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8FEE32A"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481</w:t>
            </w:r>
          </w:p>
        </w:tc>
        <w:tc>
          <w:tcPr>
            <w:tcW w:w="1795" w:type="dxa"/>
            <w:tcBorders>
              <w:top w:val="single" w:sz="4" w:space="0" w:color="auto"/>
              <w:left w:val="nil"/>
              <w:bottom w:val="single" w:sz="4" w:space="0" w:color="auto"/>
              <w:right w:val="single" w:sz="4" w:space="0" w:color="auto"/>
            </w:tcBorders>
            <w:shd w:val="clear" w:color="auto" w:fill="C6EFCE"/>
            <w:noWrap/>
          </w:tcPr>
          <w:p w14:paraId="355D664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8. Program de formare la locul de muncă pentru personalul didactic</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B2A599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02BC940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Cadre didactice care publică materiale educaționale deschise pe platforma edu.cred pentru schimbul de practici</w:t>
            </w:r>
          </w:p>
        </w:tc>
        <w:tc>
          <w:tcPr>
            <w:tcW w:w="1843" w:type="dxa"/>
            <w:tcBorders>
              <w:top w:val="single" w:sz="4" w:space="0" w:color="auto"/>
              <w:left w:val="nil"/>
              <w:bottom w:val="single" w:sz="4" w:space="0" w:color="auto"/>
              <w:right w:val="single" w:sz="4" w:space="0" w:color="auto"/>
            </w:tcBorders>
            <w:shd w:val="clear" w:color="auto" w:fill="C6EFCE"/>
            <w:noWrap/>
          </w:tcPr>
          <w:p w14:paraId="1786DE81"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72" w:type="dxa"/>
            <w:tcBorders>
              <w:top w:val="single" w:sz="4" w:space="0" w:color="auto"/>
              <w:left w:val="nil"/>
              <w:bottom w:val="single" w:sz="4" w:space="0" w:color="auto"/>
              <w:right w:val="single" w:sz="4" w:space="0" w:color="auto"/>
            </w:tcBorders>
            <w:shd w:val="clear" w:color="auto" w:fill="C6EFCE"/>
            <w:noWrap/>
          </w:tcPr>
          <w:p w14:paraId="2C12C32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66D6445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4508201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50 000</w:t>
            </w:r>
          </w:p>
        </w:tc>
        <w:tc>
          <w:tcPr>
            <w:tcW w:w="1200" w:type="dxa"/>
            <w:tcBorders>
              <w:top w:val="single" w:sz="4" w:space="0" w:color="auto"/>
              <w:left w:val="nil"/>
              <w:bottom w:val="single" w:sz="4" w:space="0" w:color="auto"/>
              <w:right w:val="single" w:sz="4" w:space="0" w:color="auto"/>
            </w:tcBorders>
            <w:shd w:val="clear" w:color="auto" w:fill="C6EFCE"/>
            <w:noWrap/>
          </w:tcPr>
          <w:p w14:paraId="63C3B01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6547B38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0AC02DD3"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Cel puțin 50 000 de cadre didactice care participă la formare în cadrul jalonului 480 vor produce materiale educaționale deschise ce vor fi publicate pe o platformă care va cuprinde o colecție de lecții multimedia care să servească drept modele de bune practici pentru fiecare arie curriculară/disciplină de studiu, pentru diferite nivele de educație. </w:t>
            </w:r>
          </w:p>
        </w:tc>
      </w:tr>
      <w:tr w:rsidR="00D1375D" w:rsidRPr="000A27B3" w14:paraId="313B7D66"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2AD8B9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482</w:t>
            </w:r>
          </w:p>
        </w:tc>
        <w:tc>
          <w:tcPr>
            <w:tcW w:w="1795" w:type="dxa"/>
            <w:tcBorders>
              <w:top w:val="single" w:sz="4" w:space="0" w:color="auto"/>
              <w:left w:val="nil"/>
              <w:bottom w:val="single" w:sz="4" w:space="0" w:color="auto"/>
              <w:right w:val="single" w:sz="4" w:space="0" w:color="auto"/>
            </w:tcBorders>
            <w:shd w:val="clear" w:color="auto" w:fill="C6EFCE"/>
            <w:noWrap/>
          </w:tcPr>
          <w:p w14:paraId="06D0BC5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9. Asigurarea echipamentelor și a resurselor tehnologice digitale pentru unitățile de învățământ</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0D5BD4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72CA3F2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Școli care dispun de resurse tehnologice noi pentru echiparea laboratoarelor de informatică</w:t>
            </w:r>
          </w:p>
        </w:tc>
        <w:tc>
          <w:tcPr>
            <w:tcW w:w="1843" w:type="dxa"/>
            <w:tcBorders>
              <w:top w:val="single" w:sz="4" w:space="0" w:color="auto"/>
              <w:left w:val="nil"/>
              <w:bottom w:val="single" w:sz="4" w:space="0" w:color="auto"/>
              <w:right w:val="single" w:sz="4" w:space="0" w:color="auto"/>
            </w:tcBorders>
            <w:shd w:val="clear" w:color="auto" w:fill="C6EFCE"/>
            <w:noWrap/>
          </w:tcPr>
          <w:p w14:paraId="53E6960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5015C3E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6E08AA4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2148AF44" w14:textId="3307FCAC"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4 300</w:t>
            </w:r>
          </w:p>
        </w:tc>
        <w:tc>
          <w:tcPr>
            <w:tcW w:w="1200" w:type="dxa"/>
            <w:tcBorders>
              <w:top w:val="single" w:sz="4" w:space="0" w:color="auto"/>
              <w:left w:val="nil"/>
              <w:bottom w:val="single" w:sz="4" w:space="0" w:color="auto"/>
              <w:right w:val="single" w:sz="4" w:space="0" w:color="auto"/>
            </w:tcBorders>
            <w:shd w:val="clear" w:color="auto" w:fill="C6EFCE"/>
            <w:noWrap/>
          </w:tcPr>
          <w:p w14:paraId="7C78882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370D740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1A28FB40" w14:textId="7C905C89"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Cel puțin 4 300 de școli cu noi resurse tehnologice pentru laboratoarele informatice, în conformitate cu cerințele de la jalonul 477.</w:t>
            </w:r>
          </w:p>
        </w:tc>
      </w:tr>
      <w:tr w:rsidR="00D1375D" w:rsidRPr="000A27B3" w14:paraId="694FF96F"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2467FE8"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483</w:t>
            </w:r>
          </w:p>
        </w:tc>
        <w:tc>
          <w:tcPr>
            <w:tcW w:w="1795" w:type="dxa"/>
            <w:tcBorders>
              <w:top w:val="single" w:sz="4" w:space="0" w:color="auto"/>
              <w:left w:val="nil"/>
              <w:bottom w:val="single" w:sz="4" w:space="0" w:color="auto"/>
              <w:right w:val="single" w:sz="4" w:space="0" w:color="auto"/>
            </w:tcBorders>
            <w:shd w:val="clear" w:color="auto" w:fill="C6EFCE"/>
            <w:noWrap/>
          </w:tcPr>
          <w:p w14:paraId="75A5B68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9. Asigurarea echipamentelor și a resurselor tehnologice digitale pentru unitățile de învățământ</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159462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08E5BEB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Școli dispunând de infrastructură și echipamente tehnologice</w:t>
            </w:r>
          </w:p>
          <w:p w14:paraId="70D1EC8F"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843" w:type="dxa"/>
            <w:tcBorders>
              <w:top w:val="single" w:sz="4" w:space="0" w:color="auto"/>
              <w:left w:val="nil"/>
              <w:bottom w:val="single" w:sz="4" w:space="0" w:color="auto"/>
              <w:right w:val="single" w:sz="4" w:space="0" w:color="auto"/>
            </w:tcBorders>
            <w:shd w:val="clear" w:color="auto" w:fill="C6EFCE"/>
            <w:noWrap/>
          </w:tcPr>
          <w:p w14:paraId="406D1CBD"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34F462F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1E86661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2506721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3 600</w:t>
            </w:r>
          </w:p>
        </w:tc>
        <w:tc>
          <w:tcPr>
            <w:tcW w:w="1200" w:type="dxa"/>
            <w:tcBorders>
              <w:top w:val="single" w:sz="4" w:space="0" w:color="auto"/>
              <w:left w:val="nil"/>
              <w:bottom w:val="single" w:sz="4" w:space="0" w:color="auto"/>
              <w:right w:val="single" w:sz="4" w:space="0" w:color="auto"/>
            </w:tcBorders>
            <w:shd w:val="clear" w:color="auto" w:fill="C6EFCE"/>
            <w:noWrap/>
          </w:tcPr>
          <w:p w14:paraId="0352D27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1B61D6D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137C7A6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Cel puțin 3 600 de școli cu infrastructură și echipamente tehnologice noi, în conformitate cu cerințele de la jalonul 477.</w:t>
            </w:r>
          </w:p>
          <w:p w14:paraId="2970D960" w14:textId="77777777" w:rsidR="002B1133" w:rsidRPr="009F1DC7" w:rsidRDefault="002B1133">
            <w:pPr>
              <w:spacing w:after="0" w:line="240" w:lineRule="auto"/>
              <w:jc w:val="both"/>
              <w:rPr>
                <w:rFonts w:ascii="Times New Roman" w:eastAsia="Times New Roman" w:hAnsi="Times New Roman" w:cs="Times New Roman"/>
                <w:noProof/>
                <w:sz w:val="24"/>
                <w:szCs w:val="24"/>
                <w:lang w:val="fr-FR"/>
              </w:rPr>
            </w:pPr>
          </w:p>
        </w:tc>
      </w:tr>
      <w:tr w:rsidR="00D1375D" w:rsidRPr="000A27B3" w14:paraId="594F384E"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C21150E"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484</w:t>
            </w:r>
          </w:p>
        </w:tc>
        <w:tc>
          <w:tcPr>
            <w:tcW w:w="1795" w:type="dxa"/>
            <w:tcBorders>
              <w:top w:val="single" w:sz="4" w:space="0" w:color="auto"/>
              <w:left w:val="nil"/>
              <w:bottom w:val="single" w:sz="4" w:space="0" w:color="auto"/>
              <w:right w:val="single" w:sz="4" w:space="0" w:color="auto"/>
            </w:tcBorders>
            <w:shd w:val="clear" w:color="auto" w:fill="C6EFCE"/>
            <w:noWrap/>
          </w:tcPr>
          <w:p w14:paraId="5C318BF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9. Asigurarea echipamentelor și a resurselor tehnologice digitale pentru unitățile de învățământ</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73D40A7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28A2D28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Laboratoare inteligente achiziționate pentru unitățile de învățământ secundar și licee</w:t>
            </w:r>
          </w:p>
        </w:tc>
        <w:tc>
          <w:tcPr>
            <w:tcW w:w="1843" w:type="dxa"/>
            <w:tcBorders>
              <w:top w:val="single" w:sz="4" w:space="0" w:color="auto"/>
              <w:left w:val="nil"/>
              <w:bottom w:val="single" w:sz="4" w:space="0" w:color="auto"/>
              <w:right w:val="single" w:sz="4" w:space="0" w:color="auto"/>
            </w:tcBorders>
            <w:shd w:val="clear" w:color="auto" w:fill="C6EFCE"/>
            <w:noWrap/>
          </w:tcPr>
          <w:p w14:paraId="097411D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44DC20F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4BE8A93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37B0CA3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1 100</w:t>
            </w:r>
          </w:p>
        </w:tc>
        <w:tc>
          <w:tcPr>
            <w:tcW w:w="1200" w:type="dxa"/>
            <w:tcBorders>
              <w:top w:val="single" w:sz="4" w:space="0" w:color="auto"/>
              <w:left w:val="nil"/>
              <w:bottom w:val="single" w:sz="4" w:space="0" w:color="auto"/>
              <w:right w:val="single" w:sz="4" w:space="0" w:color="auto"/>
            </w:tcBorders>
            <w:shd w:val="clear" w:color="auto" w:fill="C6EFCE"/>
            <w:noWrap/>
          </w:tcPr>
          <w:p w14:paraId="144AB05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single" w:sz="4" w:space="0" w:color="auto"/>
              <w:left w:val="nil"/>
              <w:bottom w:val="single" w:sz="4" w:space="0" w:color="auto"/>
              <w:right w:val="single" w:sz="4" w:space="0" w:color="auto"/>
            </w:tcBorders>
            <w:shd w:val="clear" w:color="auto" w:fill="C6EFCE"/>
            <w:noWrap/>
          </w:tcPr>
          <w:p w14:paraId="105CE0D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56295D2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Cel puțin 1 100 de laboratoare inteligente achiziționate în conformitate cu cerințele de la jalonul 477.</w:t>
            </w:r>
          </w:p>
          <w:p w14:paraId="0BE7C052" w14:textId="77777777" w:rsidR="002B1133" w:rsidRPr="009F1DC7" w:rsidRDefault="002B1133">
            <w:pPr>
              <w:spacing w:after="0" w:line="240" w:lineRule="auto"/>
              <w:jc w:val="both"/>
              <w:rPr>
                <w:rFonts w:ascii="Times New Roman" w:hAnsi="Times New Roman" w:cs="Times New Roman"/>
                <w:noProof/>
                <w:sz w:val="24"/>
                <w:szCs w:val="24"/>
                <w:lang w:val="fr-FR"/>
              </w:rPr>
            </w:pPr>
          </w:p>
          <w:p w14:paraId="54C9B5C5" w14:textId="77777777" w:rsidR="002B1133" w:rsidRPr="009F1DC7" w:rsidRDefault="002B1133">
            <w:pPr>
              <w:spacing w:after="0" w:line="240" w:lineRule="auto"/>
              <w:jc w:val="both"/>
              <w:rPr>
                <w:rFonts w:ascii="Times New Roman" w:eastAsia="Times New Roman" w:hAnsi="Times New Roman" w:cs="Times New Roman"/>
                <w:noProof/>
                <w:sz w:val="24"/>
                <w:szCs w:val="24"/>
                <w:lang w:val="fr-FR"/>
              </w:rPr>
            </w:pPr>
          </w:p>
        </w:tc>
      </w:tr>
      <w:tr w:rsidR="00D1375D" w:rsidRPr="000A27B3" w14:paraId="0F735326"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F2FFE33"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485</w:t>
            </w:r>
          </w:p>
        </w:tc>
        <w:tc>
          <w:tcPr>
            <w:tcW w:w="1795" w:type="dxa"/>
            <w:tcBorders>
              <w:top w:val="single" w:sz="4" w:space="0" w:color="auto"/>
              <w:left w:val="nil"/>
              <w:bottom w:val="single" w:sz="4" w:space="0" w:color="auto"/>
              <w:right w:val="single" w:sz="4" w:space="0" w:color="auto"/>
            </w:tcBorders>
            <w:shd w:val="clear" w:color="auto" w:fill="C6EFCE"/>
            <w:noWrap/>
          </w:tcPr>
          <w:p w14:paraId="7F37B9A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Reforma 6. </w:t>
            </w:r>
          </w:p>
          <w:p w14:paraId="17DA0E5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Actualizarea cadrului legislativ pentru a asigura standarde ecologice de proiectare, construcție și dotare în sistemul de învățământ preuniversitar</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363FA6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4D89945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Intrarea în vigoare a modificărilor cadrului legislativ privind sporirea calității mediilor de învățare </w:t>
            </w:r>
          </w:p>
        </w:tc>
        <w:tc>
          <w:tcPr>
            <w:tcW w:w="1843" w:type="dxa"/>
            <w:tcBorders>
              <w:top w:val="single" w:sz="4" w:space="0" w:color="auto"/>
              <w:left w:val="nil"/>
              <w:bottom w:val="single" w:sz="4" w:space="0" w:color="auto"/>
              <w:right w:val="single" w:sz="4" w:space="0" w:color="auto"/>
            </w:tcBorders>
            <w:shd w:val="clear" w:color="auto" w:fill="C6EFCE"/>
            <w:noWrap/>
          </w:tcPr>
          <w:p w14:paraId="320B8D9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Dispoziție legală în lege care indică intrarea în vigoare a noului cadru legislativ privind sporirea calității mediilor de învățare </w:t>
            </w:r>
          </w:p>
        </w:tc>
        <w:tc>
          <w:tcPr>
            <w:tcW w:w="1072" w:type="dxa"/>
            <w:tcBorders>
              <w:top w:val="single" w:sz="4" w:space="0" w:color="auto"/>
              <w:left w:val="nil"/>
              <w:bottom w:val="single" w:sz="4" w:space="0" w:color="auto"/>
              <w:right w:val="single" w:sz="4" w:space="0" w:color="auto"/>
            </w:tcBorders>
            <w:shd w:val="clear" w:color="auto" w:fill="C6EFCE"/>
            <w:noWrap/>
          </w:tcPr>
          <w:p w14:paraId="0042B89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1AB116B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16C0F60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03AB04F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52EB62A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2B35A85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În contextul tranziției către clădiri verzi și inteligente, este necesară reformarea cadrului de reglementare privind proiectarea, dotarea și funcționarea școlilor. Noua lege va include:</w:t>
            </w:r>
          </w:p>
          <w:p w14:paraId="448715F9" w14:textId="77777777" w:rsidR="002B1133" w:rsidRPr="000A27B3" w:rsidRDefault="002B1133" w:rsidP="002B1133">
            <w:pPr>
              <w:numPr>
                <w:ilvl w:val="0"/>
                <w:numId w:val="121"/>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norme privind proiectarea și funcționarea clădirilor pentru școli și licee (Normativ 010/1997);</w:t>
            </w:r>
          </w:p>
          <w:p w14:paraId="0D62D68A" w14:textId="505C5279" w:rsidR="002B1133" w:rsidRPr="000A27B3" w:rsidRDefault="002B1133" w:rsidP="002B1133">
            <w:pPr>
              <w:numPr>
                <w:ilvl w:val="0"/>
                <w:numId w:val="121"/>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actualizarea/redactarea cerințelor privind dotările minime prin actualizarea următoarelor acte legislative: dotări minime pentru clasele V-VIII, aprobate prin Ordinul ministerial nr. 3486/2006, norme privind dotările minime pentru învățământul primar, aprobate prin Ordinul ministerial nr. 3263/2006, Standarde și reglementări în învățământul preșcolar, anexa 1 Standarde pentru materialele didactice și anexa 2 privind standardele minime în materie de echipament, aprobate prin Ordinul ministerial nr. 3850/2010</w:t>
            </w:r>
          </w:p>
          <w:p w14:paraId="23CD20E2" w14:textId="77777777" w:rsidR="002B1133" w:rsidRPr="000A27B3" w:rsidRDefault="002B1133">
            <w:pPr>
              <w:spacing w:after="0" w:line="240" w:lineRule="auto"/>
              <w:ind w:left="93"/>
              <w:jc w:val="both"/>
              <w:rPr>
                <w:rFonts w:ascii="Times New Roman" w:hAnsi="Times New Roman" w:cs="Times New Roman"/>
                <w:noProof/>
                <w:sz w:val="24"/>
                <w:szCs w:val="24"/>
              </w:rPr>
            </w:pPr>
            <w:r>
              <w:rPr>
                <w:rFonts w:ascii="Times New Roman" w:hAnsi="Times New Roman"/>
                <w:noProof/>
                <w:sz w:val="24"/>
              </w:rPr>
              <w:t>Cadrul de reglementare pentru implementarea investițiilor în tranziția către clădiri verzi va fi completat de reglementări privind funcționarea școlilor verzi și de metodologii pentru funcționarea și organizarea școlilor verzi, inclusiv un curriculum adaptat, care vor stabili repere didactice pentru a încuraja elevii să adopte un comportament care respectă mediul natural.</w:t>
            </w:r>
          </w:p>
        </w:tc>
      </w:tr>
      <w:tr w:rsidR="00D1375D" w:rsidRPr="000A27B3" w14:paraId="661805FE"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6499280"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486</w:t>
            </w:r>
          </w:p>
        </w:tc>
        <w:tc>
          <w:tcPr>
            <w:tcW w:w="1795" w:type="dxa"/>
            <w:tcBorders>
              <w:top w:val="single" w:sz="4" w:space="0" w:color="auto"/>
              <w:left w:val="nil"/>
              <w:bottom w:val="single" w:sz="4" w:space="0" w:color="auto"/>
              <w:right w:val="single" w:sz="4" w:space="0" w:color="auto"/>
            </w:tcBorders>
            <w:shd w:val="clear" w:color="auto" w:fill="C6EFCE"/>
            <w:noWrap/>
          </w:tcPr>
          <w:p w14:paraId="5F860D1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10. Dezvoltarea rețelei de școli verzi și achiziționarea de microbuze verzi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4B12E5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0C4B39D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Microbuze electrice achiziționate și în folosință</w:t>
            </w:r>
          </w:p>
        </w:tc>
        <w:tc>
          <w:tcPr>
            <w:tcW w:w="1843" w:type="dxa"/>
            <w:tcBorders>
              <w:top w:val="single" w:sz="4" w:space="0" w:color="auto"/>
              <w:left w:val="nil"/>
              <w:bottom w:val="single" w:sz="4" w:space="0" w:color="auto"/>
              <w:right w:val="single" w:sz="4" w:space="0" w:color="auto"/>
            </w:tcBorders>
            <w:shd w:val="clear" w:color="auto" w:fill="C6EFCE"/>
            <w:noWrap/>
          </w:tcPr>
          <w:p w14:paraId="3CF6A11B"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72" w:type="dxa"/>
            <w:tcBorders>
              <w:top w:val="single" w:sz="4" w:space="0" w:color="auto"/>
              <w:left w:val="nil"/>
              <w:bottom w:val="single" w:sz="4" w:space="0" w:color="auto"/>
              <w:right w:val="single" w:sz="4" w:space="0" w:color="auto"/>
            </w:tcBorders>
            <w:shd w:val="clear" w:color="auto" w:fill="C6EFCE"/>
            <w:noWrap/>
          </w:tcPr>
          <w:p w14:paraId="5C8F64E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041E881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23CF3EED" w14:textId="49636876"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1 218</w:t>
            </w:r>
          </w:p>
        </w:tc>
        <w:tc>
          <w:tcPr>
            <w:tcW w:w="1200" w:type="dxa"/>
            <w:tcBorders>
              <w:top w:val="single" w:sz="4" w:space="0" w:color="auto"/>
              <w:left w:val="nil"/>
              <w:bottom w:val="single" w:sz="4" w:space="0" w:color="auto"/>
              <w:right w:val="single" w:sz="4" w:space="0" w:color="auto"/>
            </w:tcBorders>
            <w:shd w:val="clear" w:color="auto" w:fill="C6EFCE"/>
            <w:noWrap/>
          </w:tcPr>
          <w:p w14:paraId="60ADDF4A" w14:textId="3DA75025"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Q4</w:t>
            </w:r>
          </w:p>
        </w:tc>
        <w:tc>
          <w:tcPr>
            <w:tcW w:w="840" w:type="dxa"/>
            <w:tcBorders>
              <w:top w:val="single" w:sz="4" w:space="0" w:color="auto"/>
              <w:left w:val="nil"/>
              <w:bottom w:val="single" w:sz="4" w:space="0" w:color="auto"/>
              <w:right w:val="single" w:sz="4" w:space="0" w:color="auto"/>
            </w:tcBorders>
            <w:shd w:val="clear" w:color="auto" w:fill="C6EFCE"/>
            <w:noWrap/>
          </w:tcPr>
          <w:p w14:paraId="095C07E2" w14:textId="56BA7ECC"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2024</w:t>
            </w:r>
          </w:p>
        </w:tc>
        <w:tc>
          <w:tcPr>
            <w:tcW w:w="3034" w:type="dxa"/>
            <w:tcBorders>
              <w:top w:val="single" w:sz="4" w:space="0" w:color="auto"/>
              <w:left w:val="nil"/>
              <w:bottom w:val="single" w:sz="4" w:space="0" w:color="auto"/>
              <w:right w:val="single" w:sz="4" w:space="0" w:color="auto"/>
            </w:tcBorders>
            <w:shd w:val="clear" w:color="auto" w:fill="C6EFCE"/>
            <w:noWrap/>
          </w:tcPr>
          <w:p w14:paraId="2AA70F18" w14:textId="4B9F2C6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1 218 de microbuze electrice vor fi achiziționate și folosite pentru transportul elevilor din localitățile izolate, în special în zonele rurale.</w:t>
            </w:r>
          </w:p>
          <w:p w14:paraId="65FAC2B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Criteriile luate în considerare pentru selectarea beneficiarilor vor include numărul de elevi care fac naveta, distanța navetei, distribuția geografică egală, conexiunea electrică a școlilor sau disponibilitatea de a instala o stație de încărcare.</w:t>
            </w:r>
          </w:p>
          <w:p w14:paraId="600CCCC2"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Va fi lansata o procedura de achiziție publica a microbuzelor electrice prin intermediul ISJ urilor/UAT urilor (inspectoratele școlare județene/unitățile administrativ-teritoriale).</w:t>
            </w:r>
          </w:p>
        </w:tc>
      </w:tr>
      <w:tr w:rsidR="00D1375D" w:rsidRPr="000A27B3" w14:paraId="56D497D5"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2AAC11B"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487</w:t>
            </w:r>
          </w:p>
        </w:tc>
        <w:tc>
          <w:tcPr>
            <w:tcW w:w="1795" w:type="dxa"/>
            <w:tcBorders>
              <w:top w:val="single" w:sz="4" w:space="0" w:color="auto"/>
              <w:left w:val="nil"/>
              <w:bottom w:val="single" w:sz="4" w:space="0" w:color="auto"/>
              <w:right w:val="single" w:sz="4" w:space="0" w:color="auto"/>
            </w:tcBorders>
            <w:shd w:val="clear" w:color="auto" w:fill="C6EFCE"/>
            <w:noWrap/>
          </w:tcPr>
          <w:p w14:paraId="2BBF0ED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10. Dezvoltarea rețelei de școli verzi și achiziționarea de microbuze verzi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5BA9F6E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22719B6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Unități de învățământ preuniversitar reabilitate pentru a deveni școli verzi</w:t>
            </w:r>
          </w:p>
        </w:tc>
        <w:tc>
          <w:tcPr>
            <w:tcW w:w="1843" w:type="dxa"/>
            <w:tcBorders>
              <w:top w:val="single" w:sz="4" w:space="0" w:color="auto"/>
              <w:left w:val="nil"/>
              <w:bottom w:val="single" w:sz="4" w:space="0" w:color="auto"/>
              <w:right w:val="single" w:sz="4" w:space="0" w:color="auto"/>
            </w:tcBorders>
            <w:shd w:val="clear" w:color="auto" w:fill="C6EFCE"/>
            <w:noWrap/>
          </w:tcPr>
          <w:p w14:paraId="7B6309E4"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217F635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 (m</w:t>
            </w:r>
            <w:r>
              <w:rPr>
                <w:rFonts w:ascii="Times New Roman" w:hAnsi="Times New Roman"/>
                <w:noProof/>
                <w:sz w:val="24"/>
                <w:vertAlign w:val="superscript"/>
              </w:rPr>
              <w:t>2</w:t>
            </w:r>
            <w:r>
              <w:rPr>
                <w:rFonts w:ascii="Times New Roman" w:hAnsi="Times New Roman"/>
                <w:noProof/>
                <w:sz w:val="24"/>
              </w:rPr>
              <w:t>)</w:t>
            </w:r>
          </w:p>
        </w:tc>
        <w:tc>
          <w:tcPr>
            <w:tcW w:w="1080" w:type="dxa"/>
            <w:tcBorders>
              <w:top w:val="single" w:sz="4" w:space="0" w:color="auto"/>
              <w:left w:val="nil"/>
              <w:bottom w:val="single" w:sz="4" w:space="0" w:color="auto"/>
              <w:right w:val="single" w:sz="4" w:space="0" w:color="auto"/>
            </w:tcBorders>
            <w:shd w:val="clear" w:color="auto" w:fill="C6EFCE"/>
            <w:noWrap/>
          </w:tcPr>
          <w:p w14:paraId="2F13EA9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72F48D44" w14:textId="60A58FC2"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238 905</w:t>
            </w:r>
          </w:p>
        </w:tc>
        <w:tc>
          <w:tcPr>
            <w:tcW w:w="1200" w:type="dxa"/>
            <w:tcBorders>
              <w:top w:val="single" w:sz="4" w:space="0" w:color="auto"/>
              <w:left w:val="nil"/>
              <w:bottom w:val="single" w:sz="4" w:space="0" w:color="auto"/>
              <w:right w:val="single" w:sz="4" w:space="0" w:color="auto"/>
            </w:tcBorders>
            <w:shd w:val="clear" w:color="auto" w:fill="C6EFCE"/>
            <w:noWrap/>
          </w:tcPr>
          <w:p w14:paraId="2ADC704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65CC0FF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608D24BC" w14:textId="7FC699C6"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Ministerul Educației va dezvolta o rețea de școli sustenabile, prietenoase cu mediul, cu un curriculum bazată în mare parte pe educația pentru protecția mediului înconjurător. 238 905 m</w:t>
            </w:r>
            <w:r>
              <w:rPr>
                <w:rFonts w:ascii="Times New Roman" w:hAnsi="Times New Roman"/>
                <w:noProof/>
                <w:sz w:val="24"/>
                <w:vertAlign w:val="superscript"/>
              </w:rPr>
              <w:t>2</w:t>
            </w:r>
            <w:r>
              <w:rPr>
                <w:rFonts w:ascii="Times New Roman" w:hAnsi="Times New Roman"/>
                <w:noProof/>
                <w:sz w:val="24"/>
              </w:rPr>
              <w:t xml:space="preserve"> vor beneficia de lucrări de renovare (izolație termică, panouri solare, laboratoare de științele naturii, spații verzi, facilități pentru colectarea selectivă a deșeurilor).</w:t>
            </w:r>
          </w:p>
          <w:p w14:paraId="21C72E5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La selecția școlilor verzi se va urmări asigurarea acoperirii naționale, atât în zonele rurale, cât și în cele urbane. </w:t>
            </w:r>
          </w:p>
          <w:p w14:paraId="714A9F77"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 Pentru renovări, 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w:t>
            </w:r>
          </w:p>
        </w:tc>
      </w:tr>
      <w:tr w:rsidR="00D1375D" w:rsidRPr="000A27B3" w14:paraId="4B8AE36F"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4D1AD1B"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488</w:t>
            </w:r>
          </w:p>
        </w:tc>
        <w:tc>
          <w:tcPr>
            <w:tcW w:w="1795" w:type="dxa"/>
            <w:tcBorders>
              <w:top w:val="single" w:sz="4" w:space="0" w:color="auto"/>
              <w:left w:val="nil"/>
              <w:bottom w:val="single" w:sz="4" w:space="0" w:color="auto"/>
              <w:right w:val="single" w:sz="4" w:space="0" w:color="auto"/>
            </w:tcBorders>
            <w:shd w:val="clear" w:color="auto" w:fill="C6EFCE"/>
            <w:noWrap/>
          </w:tcPr>
          <w:p w14:paraId="6AEABFC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10. Dezvoltarea rețelei de școli verzi și achiziționarea de microbuze verzi </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ACBD60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08DEFFA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Noua zonă școlară verde construită și operațională </w:t>
            </w:r>
          </w:p>
        </w:tc>
        <w:tc>
          <w:tcPr>
            <w:tcW w:w="1843" w:type="dxa"/>
            <w:tcBorders>
              <w:top w:val="single" w:sz="4" w:space="0" w:color="auto"/>
              <w:left w:val="nil"/>
              <w:bottom w:val="single" w:sz="4" w:space="0" w:color="auto"/>
              <w:right w:val="single" w:sz="4" w:space="0" w:color="auto"/>
            </w:tcBorders>
            <w:shd w:val="clear" w:color="auto" w:fill="C6EFCE"/>
            <w:noWrap/>
          </w:tcPr>
          <w:p w14:paraId="6E0237C1" w14:textId="77777777" w:rsidR="002B1133" w:rsidRPr="009F1DC7" w:rsidRDefault="002B1133">
            <w:pPr>
              <w:spacing w:after="0" w:line="240" w:lineRule="auto"/>
              <w:jc w:val="both"/>
              <w:rPr>
                <w:rFonts w:ascii="Times New Roman" w:hAnsi="Times New Roman" w:cs="Times New Roman"/>
                <w:noProof/>
                <w:sz w:val="24"/>
                <w:szCs w:val="24"/>
              </w:rPr>
            </w:pPr>
          </w:p>
        </w:tc>
        <w:tc>
          <w:tcPr>
            <w:tcW w:w="1072" w:type="dxa"/>
            <w:tcBorders>
              <w:top w:val="single" w:sz="4" w:space="0" w:color="auto"/>
              <w:left w:val="nil"/>
              <w:bottom w:val="single" w:sz="4" w:space="0" w:color="auto"/>
              <w:right w:val="single" w:sz="4" w:space="0" w:color="auto"/>
            </w:tcBorders>
            <w:shd w:val="clear" w:color="auto" w:fill="C6EFCE"/>
            <w:noWrap/>
          </w:tcPr>
          <w:p w14:paraId="6621C6A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 (m</w:t>
            </w:r>
            <w:r>
              <w:rPr>
                <w:rFonts w:ascii="Times New Roman" w:hAnsi="Times New Roman"/>
                <w:noProof/>
                <w:sz w:val="24"/>
                <w:vertAlign w:val="superscript"/>
              </w:rPr>
              <w:t>2</w:t>
            </w:r>
            <w:r>
              <w:rPr>
                <w:rFonts w:ascii="Times New Roman" w:hAnsi="Times New Roman"/>
                <w:noProof/>
                <w:sz w:val="24"/>
              </w:rPr>
              <w:t>)</w:t>
            </w:r>
          </w:p>
        </w:tc>
        <w:tc>
          <w:tcPr>
            <w:tcW w:w="1080" w:type="dxa"/>
            <w:tcBorders>
              <w:top w:val="single" w:sz="4" w:space="0" w:color="auto"/>
              <w:left w:val="nil"/>
              <w:bottom w:val="single" w:sz="4" w:space="0" w:color="auto"/>
              <w:right w:val="single" w:sz="4" w:space="0" w:color="auto"/>
            </w:tcBorders>
            <w:shd w:val="clear" w:color="auto" w:fill="C6EFCE"/>
            <w:noWrap/>
          </w:tcPr>
          <w:p w14:paraId="38CE988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68BF8003" w14:textId="01064FE6"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36 951</w:t>
            </w:r>
          </w:p>
        </w:tc>
        <w:tc>
          <w:tcPr>
            <w:tcW w:w="1200" w:type="dxa"/>
            <w:tcBorders>
              <w:top w:val="single" w:sz="4" w:space="0" w:color="auto"/>
              <w:left w:val="nil"/>
              <w:bottom w:val="single" w:sz="4" w:space="0" w:color="auto"/>
              <w:right w:val="single" w:sz="4" w:space="0" w:color="auto"/>
            </w:tcBorders>
            <w:shd w:val="clear" w:color="auto" w:fill="C6EFCE"/>
            <w:noWrap/>
          </w:tcPr>
          <w:p w14:paraId="159ED9A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T4</w:t>
            </w:r>
          </w:p>
        </w:tc>
        <w:tc>
          <w:tcPr>
            <w:tcW w:w="840" w:type="dxa"/>
            <w:tcBorders>
              <w:top w:val="single" w:sz="4" w:space="0" w:color="auto"/>
              <w:left w:val="nil"/>
              <w:bottom w:val="single" w:sz="4" w:space="0" w:color="auto"/>
              <w:right w:val="single" w:sz="4" w:space="0" w:color="auto"/>
            </w:tcBorders>
            <w:shd w:val="clear" w:color="auto" w:fill="C6EFCE"/>
            <w:noWrap/>
          </w:tcPr>
          <w:p w14:paraId="0A11422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2025</w:t>
            </w:r>
          </w:p>
        </w:tc>
        <w:tc>
          <w:tcPr>
            <w:tcW w:w="3034" w:type="dxa"/>
            <w:tcBorders>
              <w:top w:val="single" w:sz="4" w:space="0" w:color="auto"/>
              <w:left w:val="nil"/>
              <w:bottom w:val="single" w:sz="4" w:space="0" w:color="auto"/>
              <w:right w:val="single" w:sz="4" w:space="0" w:color="auto"/>
            </w:tcBorders>
            <w:shd w:val="clear" w:color="auto" w:fill="C6EFCE"/>
            <w:noWrap/>
          </w:tcPr>
          <w:p w14:paraId="53237B27" w14:textId="6061470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36 951 m</w:t>
            </w:r>
            <w:r>
              <w:rPr>
                <w:rFonts w:ascii="Times New Roman" w:hAnsi="Times New Roman"/>
                <w:noProof/>
                <w:sz w:val="24"/>
                <w:vertAlign w:val="superscript"/>
              </w:rPr>
              <w:t>2</w:t>
            </w:r>
            <w:r>
              <w:rPr>
                <w:rFonts w:ascii="Times New Roman" w:hAnsi="Times New Roman"/>
                <w:noProof/>
                <w:sz w:val="24"/>
              </w:rPr>
              <w:t xml:space="preserve"> de școli verzi vor fi construite de către firme de construcții specializate în zonele cu creștere demografică identificate. </w:t>
            </w:r>
          </w:p>
          <w:p w14:paraId="13386EB9"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Școlile verzi sunt școli cu înaltă performanță energetică, fiind construite pentru a avea mai multă lumină naturală, o mai bună ventilație și cu materiale de construcție verzi, cum ar fi covoarele și vopselele din materiale naturale reciclabile. Costurile de funcționare pentru energie și apă într-o școală verde pot fi reduse cu 20 % până la 40 %. Prin tipul de construcție și prin instalațiile existente, școlile verzi reduc semnificativ emisiile de dioxid de carbon și consumul de apă cu până la 32 %.</w:t>
            </w:r>
          </w:p>
          <w:p w14:paraId="76FC63BB" w14:textId="77777777"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tc>
      </w:tr>
      <w:tr w:rsidR="00D1375D" w:rsidRPr="000A27B3" w14:paraId="1F3E4A2D"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A4405B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489</w:t>
            </w:r>
          </w:p>
        </w:tc>
        <w:tc>
          <w:tcPr>
            <w:tcW w:w="1795" w:type="dxa"/>
            <w:tcBorders>
              <w:top w:val="single" w:sz="4" w:space="0" w:color="auto"/>
              <w:left w:val="nil"/>
              <w:bottom w:val="single" w:sz="4" w:space="0" w:color="auto"/>
              <w:right w:val="single" w:sz="4" w:space="0" w:color="auto"/>
            </w:tcBorders>
            <w:shd w:val="clear" w:color="auto" w:fill="C6EFCE"/>
            <w:noWrap/>
          </w:tcPr>
          <w:p w14:paraId="0E9D43DC" w14:textId="0EEED4AD"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11. Asigurarea dotărilor pentru sălile de clasă preuniversitare și laboratoarele de știință/cabinetele școlare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2410FB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55057DB5" w14:textId="7B61B15C"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financiare de echipare a sălilor de clasă cu mobilier</w:t>
            </w:r>
          </w:p>
        </w:tc>
        <w:tc>
          <w:tcPr>
            <w:tcW w:w="1843" w:type="dxa"/>
            <w:tcBorders>
              <w:top w:val="single" w:sz="4" w:space="0" w:color="auto"/>
              <w:left w:val="nil"/>
              <w:bottom w:val="single" w:sz="4" w:space="0" w:color="auto"/>
              <w:right w:val="single" w:sz="4" w:space="0" w:color="auto"/>
            </w:tcBorders>
            <w:shd w:val="clear" w:color="auto" w:fill="C6EFCE"/>
            <w:noWrap/>
          </w:tcPr>
          <w:p w14:paraId="4EB45D7F" w14:textId="1DBCF569"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financiare de echipare a sălilor de clasă cu mobilier</w:t>
            </w:r>
          </w:p>
        </w:tc>
        <w:tc>
          <w:tcPr>
            <w:tcW w:w="1072" w:type="dxa"/>
            <w:tcBorders>
              <w:top w:val="single" w:sz="4" w:space="0" w:color="auto"/>
              <w:left w:val="nil"/>
              <w:bottom w:val="single" w:sz="4" w:space="0" w:color="auto"/>
              <w:right w:val="single" w:sz="4" w:space="0" w:color="auto"/>
            </w:tcBorders>
            <w:shd w:val="clear" w:color="auto" w:fill="C6EFCE"/>
            <w:noWrap/>
          </w:tcPr>
          <w:p w14:paraId="7873BBAE"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0AF40DA8"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4FBC9ADB"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118D9F9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012F7FF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164D6ECB" w14:textId="24FCD50F"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financiare de echipare a sălilor de clasă ale unităților de învățământ preuniversitar, a centrelor județene de resurse și asistență educațională și a unităților de învățământ extracuriculare din rețeaua școlară, pe baza standardelor minime privind echiparea sălilor de clasă/a laboratoarelor/a atelierelor școlare. Pentru a asigura coerența acestora, Ministerul Educației va formula recomandări pentru beneficiari cu privire la specificațiile tehnice care trebuie incluse în caietul de sarcini.</w:t>
            </w:r>
          </w:p>
          <w:p w14:paraId="33A0147A" w14:textId="77FD662C"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 va acorda prioritate unităților de învățământ care nu au beneficiat de acest tip de investiții în ultimii 5 ani.</w:t>
            </w:r>
          </w:p>
        </w:tc>
      </w:tr>
      <w:tr w:rsidR="00D1375D" w:rsidRPr="000A27B3" w14:paraId="442EF4BE"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3B064D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490</w:t>
            </w:r>
          </w:p>
        </w:tc>
        <w:tc>
          <w:tcPr>
            <w:tcW w:w="1795" w:type="dxa"/>
            <w:tcBorders>
              <w:top w:val="single" w:sz="4" w:space="0" w:color="auto"/>
              <w:left w:val="nil"/>
              <w:bottom w:val="single" w:sz="4" w:space="0" w:color="auto"/>
              <w:right w:val="single" w:sz="4" w:space="0" w:color="auto"/>
            </w:tcBorders>
            <w:shd w:val="clear" w:color="auto" w:fill="C6EFCE"/>
            <w:noWrap/>
          </w:tcPr>
          <w:p w14:paraId="111A89E8" w14:textId="7BD7CA3F"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11. Asigurarea dotărilor pentru sălile de clasă preuniversitare și laboratoarele de știință/cabinetele școlare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42293EA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4355FCDA" w14:textId="02D6B871"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financiare de echipare a laboratoarelor de știință școlare/cabinetelor școlare</w:t>
            </w:r>
          </w:p>
        </w:tc>
        <w:tc>
          <w:tcPr>
            <w:tcW w:w="1843" w:type="dxa"/>
            <w:tcBorders>
              <w:top w:val="single" w:sz="4" w:space="0" w:color="auto"/>
              <w:left w:val="nil"/>
              <w:bottom w:val="single" w:sz="4" w:space="0" w:color="auto"/>
              <w:right w:val="single" w:sz="4" w:space="0" w:color="auto"/>
            </w:tcBorders>
            <w:shd w:val="clear" w:color="auto" w:fill="C6EFCE"/>
            <w:noWrap/>
          </w:tcPr>
          <w:p w14:paraId="54D2075E" w14:textId="25508528"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Semnarea contractelor financiare de echipare a laboratoarelor de știință din școli/cabinetelor școlare</w:t>
            </w:r>
          </w:p>
        </w:tc>
        <w:tc>
          <w:tcPr>
            <w:tcW w:w="1072" w:type="dxa"/>
            <w:tcBorders>
              <w:top w:val="single" w:sz="4" w:space="0" w:color="auto"/>
              <w:left w:val="nil"/>
              <w:bottom w:val="single" w:sz="4" w:space="0" w:color="auto"/>
              <w:right w:val="single" w:sz="4" w:space="0" w:color="auto"/>
            </w:tcBorders>
            <w:shd w:val="clear" w:color="auto" w:fill="C6EFCE"/>
            <w:noWrap/>
          </w:tcPr>
          <w:p w14:paraId="187188A1"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5693360B"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688D2E9E"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0B424F7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09EE9F6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22662E34" w14:textId="171FD33A"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financiare de echipare a laboratoarelor de știință/cabinetelor școlare ale unităților de învățământ preuniversitar, a centrelor județene de resurse și asistență educațională și a unităților de învățământ extracuriculare din rețeaua școlară, pe baza standardelor minime privind echiparea sălilor de clasă/a laboratoarelor/a cabinetelor școlare. Pentru a asigura coerența acestora, Ministerul Educației va formula recomandări pentru beneficiari cu privire la specificațiile tehnice care trebuie incluse în caietul de sarcini.</w:t>
            </w:r>
          </w:p>
          <w:p w14:paraId="4507371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Toate cabinetele și laboratoarele de știință școlare, altele decât laboratoarele ITC, vor fi echipate cu mobilier, materiale și echipamente didactice, pe baza standardelor de dotare aprobate în cadrul reformei 6.</w:t>
            </w:r>
          </w:p>
          <w:p w14:paraId="40D8472A" w14:textId="3586FD88"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 va acorda prioritate unităților de învățământ care nu au beneficiat de acest tip de investiții în ultimii 5 ani și care sunt situate în zonele rurale.</w:t>
            </w:r>
          </w:p>
        </w:tc>
      </w:tr>
      <w:tr w:rsidR="00D1375D" w:rsidRPr="000A27B3" w14:paraId="62A7E46A"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86FF8B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491</w:t>
            </w:r>
          </w:p>
        </w:tc>
        <w:tc>
          <w:tcPr>
            <w:tcW w:w="1795" w:type="dxa"/>
            <w:tcBorders>
              <w:top w:val="single" w:sz="4" w:space="0" w:color="auto"/>
              <w:left w:val="nil"/>
              <w:bottom w:val="single" w:sz="4" w:space="0" w:color="auto"/>
              <w:right w:val="single" w:sz="4" w:space="0" w:color="auto"/>
            </w:tcBorders>
            <w:shd w:val="clear" w:color="auto" w:fill="C6EFCE"/>
            <w:noWrap/>
          </w:tcPr>
          <w:p w14:paraId="5AA62AB9" w14:textId="0884828B"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11. Asigurarea dotărilor pentru sălile de clasă preuniversitare și laboratoarele de știință/cabinetele școlare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33C1E0A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2FD48AF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Numărul sălilor de clasă dotate cu mobilier</w:t>
            </w:r>
          </w:p>
        </w:tc>
        <w:tc>
          <w:tcPr>
            <w:tcW w:w="1843" w:type="dxa"/>
            <w:tcBorders>
              <w:top w:val="single" w:sz="4" w:space="0" w:color="auto"/>
              <w:left w:val="nil"/>
              <w:bottom w:val="single" w:sz="4" w:space="0" w:color="auto"/>
              <w:right w:val="single" w:sz="4" w:space="0" w:color="auto"/>
            </w:tcBorders>
            <w:shd w:val="clear" w:color="auto" w:fill="C6EFCE"/>
            <w:noWrap/>
          </w:tcPr>
          <w:p w14:paraId="07E4CC5A"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072" w:type="dxa"/>
            <w:tcBorders>
              <w:top w:val="single" w:sz="4" w:space="0" w:color="auto"/>
              <w:left w:val="nil"/>
              <w:bottom w:val="single" w:sz="4" w:space="0" w:color="auto"/>
              <w:right w:val="single" w:sz="4" w:space="0" w:color="auto"/>
            </w:tcBorders>
            <w:shd w:val="clear" w:color="auto" w:fill="C6EFCE"/>
            <w:noWrap/>
          </w:tcPr>
          <w:p w14:paraId="6F80544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292D77B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505583C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75 000</w:t>
            </w:r>
          </w:p>
        </w:tc>
        <w:tc>
          <w:tcPr>
            <w:tcW w:w="1200" w:type="dxa"/>
            <w:tcBorders>
              <w:top w:val="single" w:sz="4" w:space="0" w:color="auto"/>
              <w:left w:val="nil"/>
              <w:bottom w:val="single" w:sz="4" w:space="0" w:color="auto"/>
              <w:right w:val="single" w:sz="4" w:space="0" w:color="auto"/>
            </w:tcBorders>
            <w:shd w:val="clear" w:color="auto" w:fill="C6EFCE"/>
            <w:noWrap/>
          </w:tcPr>
          <w:p w14:paraId="7BACAE1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2A9FE24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52B7A41D" w14:textId="72939D72"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75 000 de săli de clasă ale unităților de învățământ preuniversitar, de centre județene de resurse și asistență educațională și unități de învățământ extracuriculare din rețeaua școlară vor fi echipate în conformitate cu specificațiile de la jalonul 489.</w:t>
            </w:r>
          </w:p>
          <w:p w14:paraId="6A1FD7D5" w14:textId="5549323C"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Dotarea sălilor de clasă, a laboratoarelor și a cabinetelor școlare se va face pe baza standardelor în materie de dotare aprobate în cadrul reformei R6. Se va acorda prioritate școlilor cu mobilier deteriorat și celor în care mobilierul nu a fost schimbat în ultimii 5 ani.</w:t>
            </w:r>
          </w:p>
        </w:tc>
      </w:tr>
      <w:tr w:rsidR="00D1375D" w:rsidRPr="000A27B3" w14:paraId="69561288"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DF28EC6"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492</w:t>
            </w:r>
          </w:p>
        </w:tc>
        <w:tc>
          <w:tcPr>
            <w:tcW w:w="1795" w:type="dxa"/>
            <w:tcBorders>
              <w:top w:val="single" w:sz="4" w:space="0" w:color="auto"/>
              <w:left w:val="nil"/>
              <w:bottom w:val="single" w:sz="4" w:space="0" w:color="auto"/>
              <w:right w:val="single" w:sz="4" w:space="0" w:color="auto"/>
            </w:tcBorders>
            <w:shd w:val="clear" w:color="auto" w:fill="C6EFCE"/>
            <w:noWrap/>
          </w:tcPr>
          <w:p w14:paraId="3D5C1AB8" w14:textId="7DA6A03F"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11. Asigurarea dotărilor pentru sălile de clasă preuniversitare și laboratoarele de știință/cabinetele școlare</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179E80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0CC80115" w14:textId="7E3E1D6F"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Laboratoarele de știință/cabinetele școlare sunt echipate</w:t>
            </w:r>
          </w:p>
        </w:tc>
        <w:tc>
          <w:tcPr>
            <w:tcW w:w="1843" w:type="dxa"/>
            <w:tcBorders>
              <w:top w:val="single" w:sz="4" w:space="0" w:color="auto"/>
              <w:left w:val="nil"/>
              <w:bottom w:val="single" w:sz="4" w:space="0" w:color="auto"/>
              <w:right w:val="single" w:sz="4" w:space="0" w:color="auto"/>
            </w:tcBorders>
            <w:shd w:val="clear" w:color="auto" w:fill="C6EFCE"/>
            <w:noWrap/>
          </w:tcPr>
          <w:p w14:paraId="6FDE4B9B"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72" w:type="dxa"/>
            <w:tcBorders>
              <w:top w:val="single" w:sz="4" w:space="0" w:color="auto"/>
              <w:left w:val="nil"/>
              <w:bottom w:val="single" w:sz="4" w:space="0" w:color="auto"/>
              <w:right w:val="single" w:sz="4" w:space="0" w:color="auto"/>
            </w:tcBorders>
            <w:shd w:val="clear" w:color="auto" w:fill="C6EFCE"/>
            <w:noWrap/>
          </w:tcPr>
          <w:p w14:paraId="3E07765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3F54ADC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2E9B2C3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10 000</w:t>
            </w:r>
          </w:p>
        </w:tc>
        <w:tc>
          <w:tcPr>
            <w:tcW w:w="1200" w:type="dxa"/>
            <w:tcBorders>
              <w:top w:val="single" w:sz="4" w:space="0" w:color="auto"/>
              <w:left w:val="nil"/>
              <w:bottom w:val="single" w:sz="4" w:space="0" w:color="auto"/>
              <w:right w:val="single" w:sz="4" w:space="0" w:color="auto"/>
            </w:tcBorders>
            <w:shd w:val="clear" w:color="auto" w:fill="C6EFCE"/>
            <w:noWrap/>
          </w:tcPr>
          <w:p w14:paraId="11FB348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6D1B325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47678495" w14:textId="77777777" w:rsidR="002B1133" w:rsidRPr="000A27B3" w:rsidRDefault="002B1133">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10 000 de laboratoare de știință și cabinete școlare vor fi echipate în conformitate cu specificațiile de la jalonul 490. </w:t>
            </w:r>
          </w:p>
        </w:tc>
      </w:tr>
      <w:tr w:rsidR="00D1375D" w:rsidRPr="000A27B3" w14:paraId="08919387"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611D369"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493</w:t>
            </w:r>
          </w:p>
        </w:tc>
        <w:tc>
          <w:tcPr>
            <w:tcW w:w="1795" w:type="dxa"/>
            <w:tcBorders>
              <w:top w:val="single" w:sz="4" w:space="0" w:color="auto"/>
              <w:left w:val="nil"/>
              <w:bottom w:val="single" w:sz="4" w:space="0" w:color="auto"/>
              <w:right w:val="single" w:sz="4" w:space="0" w:color="auto"/>
            </w:tcBorders>
            <w:shd w:val="clear" w:color="auto" w:fill="C6EFCE"/>
            <w:noWrap/>
          </w:tcPr>
          <w:p w14:paraId="14E81B1E" w14:textId="51CE9E3D"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12. Schema de grant pentru consorții școlare rurale </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27651BA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559" w:type="dxa"/>
            <w:tcBorders>
              <w:top w:val="single" w:sz="4" w:space="0" w:color="auto"/>
              <w:left w:val="nil"/>
              <w:bottom w:val="single" w:sz="4" w:space="0" w:color="auto"/>
              <w:right w:val="single" w:sz="4" w:space="0" w:color="auto"/>
            </w:tcBorders>
            <w:shd w:val="clear" w:color="auto" w:fill="C6EFCE"/>
            <w:noWrap/>
          </w:tcPr>
          <w:p w14:paraId="6CE3842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Finalizarea lucrărilor de construcție și dotare a consorțiilor școlare rurale</w:t>
            </w:r>
          </w:p>
        </w:tc>
        <w:tc>
          <w:tcPr>
            <w:tcW w:w="1843" w:type="dxa"/>
            <w:tcBorders>
              <w:top w:val="single" w:sz="4" w:space="0" w:color="auto"/>
              <w:left w:val="nil"/>
              <w:bottom w:val="single" w:sz="4" w:space="0" w:color="auto"/>
              <w:right w:val="single" w:sz="4" w:space="0" w:color="auto"/>
            </w:tcBorders>
            <w:shd w:val="clear" w:color="auto" w:fill="C6EFCE"/>
            <w:noWrap/>
          </w:tcPr>
          <w:p w14:paraId="6F51B0D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72" w:type="dxa"/>
            <w:tcBorders>
              <w:top w:val="single" w:sz="4" w:space="0" w:color="auto"/>
              <w:left w:val="nil"/>
              <w:bottom w:val="single" w:sz="4" w:space="0" w:color="auto"/>
              <w:right w:val="single" w:sz="4" w:space="0" w:color="auto"/>
            </w:tcBorders>
            <w:shd w:val="clear" w:color="auto" w:fill="C6EFCE"/>
            <w:noWrap/>
          </w:tcPr>
          <w:p w14:paraId="2BFB39A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Număr</w:t>
            </w:r>
          </w:p>
        </w:tc>
        <w:tc>
          <w:tcPr>
            <w:tcW w:w="1080" w:type="dxa"/>
            <w:tcBorders>
              <w:top w:val="single" w:sz="4" w:space="0" w:color="auto"/>
              <w:left w:val="nil"/>
              <w:bottom w:val="single" w:sz="4" w:space="0" w:color="auto"/>
              <w:right w:val="single" w:sz="4" w:space="0" w:color="auto"/>
            </w:tcBorders>
            <w:shd w:val="clear" w:color="auto" w:fill="C6EFCE"/>
            <w:noWrap/>
          </w:tcPr>
          <w:p w14:paraId="5FDF58A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0</w:t>
            </w:r>
          </w:p>
        </w:tc>
        <w:tc>
          <w:tcPr>
            <w:tcW w:w="1080" w:type="dxa"/>
            <w:tcBorders>
              <w:top w:val="single" w:sz="4" w:space="0" w:color="auto"/>
              <w:left w:val="nil"/>
              <w:bottom w:val="single" w:sz="4" w:space="0" w:color="auto"/>
              <w:right w:val="single" w:sz="4" w:space="0" w:color="auto"/>
            </w:tcBorders>
            <w:shd w:val="clear" w:color="auto" w:fill="C6EFCE"/>
            <w:noWrap/>
          </w:tcPr>
          <w:p w14:paraId="165956E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3</w:t>
            </w:r>
          </w:p>
        </w:tc>
        <w:tc>
          <w:tcPr>
            <w:tcW w:w="1200" w:type="dxa"/>
            <w:tcBorders>
              <w:top w:val="single" w:sz="4" w:space="0" w:color="auto"/>
              <w:left w:val="nil"/>
              <w:bottom w:val="single" w:sz="4" w:space="0" w:color="auto"/>
              <w:right w:val="single" w:sz="4" w:space="0" w:color="auto"/>
            </w:tcBorders>
            <w:shd w:val="clear" w:color="auto" w:fill="C6EFCE"/>
            <w:noWrap/>
          </w:tcPr>
          <w:p w14:paraId="7C680AB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T2</w:t>
            </w:r>
          </w:p>
        </w:tc>
        <w:tc>
          <w:tcPr>
            <w:tcW w:w="840" w:type="dxa"/>
            <w:tcBorders>
              <w:top w:val="single" w:sz="4" w:space="0" w:color="auto"/>
              <w:left w:val="nil"/>
              <w:bottom w:val="single" w:sz="4" w:space="0" w:color="auto"/>
              <w:right w:val="single" w:sz="4" w:space="0" w:color="auto"/>
            </w:tcBorders>
            <w:shd w:val="clear" w:color="auto" w:fill="C6EFCE"/>
            <w:noWrap/>
          </w:tcPr>
          <w:p w14:paraId="3E70527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2026</w:t>
            </w:r>
          </w:p>
        </w:tc>
        <w:tc>
          <w:tcPr>
            <w:tcW w:w="3034" w:type="dxa"/>
            <w:tcBorders>
              <w:top w:val="single" w:sz="4" w:space="0" w:color="auto"/>
              <w:left w:val="nil"/>
              <w:bottom w:val="single" w:sz="4" w:space="0" w:color="auto"/>
              <w:right w:val="single" w:sz="4" w:space="0" w:color="auto"/>
            </w:tcBorders>
            <w:shd w:val="clear" w:color="auto" w:fill="C6EFCE"/>
            <w:noWrap/>
          </w:tcPr>
          <w:p w14:paraId="76198C3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Vor fi create trei consorții școlare rurale pentru a consolida mediul educațional rural prin asigurarea unor condiții optime de predare, asigurând totodată respectarea principiului echității sociale. </w:t>
            </w:r>
          </w:p>
          <w:p w14:paraId="4D249E5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Consorțiile vor fi selectate pe baza a cel puțin două criterii: i) dacă demonstrează declinul demografic al microregiunii pe care o vizează în ultimii șapte ani și ii) dacă dovedesc un angajament scris al autorităților publice locale responsabile de zona vizată.</w:t>
            </w:r>
          </w:p>
          <w:p w14:paraId="10DAC4A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Fiecare consorțiu va construi infrastructura necesară pentru asigurarea calității procesului educațional, care include crearea unui campus modern cu o capacitate de 300-1 500 locuri, inclusiv spații pentru activități de tip after-school, săli și terenuri de sport, spații pentru ateliere de practică, laboratoare, spații pentru desfășurarea activităților nonformale, bucătărie și spații de cazare pentru elevi și cadrele didactice. </w:t>
            </w:r>
          </w:p>
          <w:p w14:paraId="33B7D14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w:t>
            </w:r>
          </w:p>
          <w:p w14:paraId="2DE36B21" w14:textId="5EC91838"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La selecția școlilor se va acorde prioritate școlilor situate în zone rurale, izolate și subdezvoltate. </w:t>
            </w:r>
          </w:p>
        </w:tc>
      </w:tr>
      <w:tr w:rsidR="00D1375D" w:rsidRPr="000A27B3" w14:paraId="37F20204"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3D560E8"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494</w:t>
            </w:r>
          </w:p>
        </w:tc>
        <w:tc>
          <w:tcPr>
            <w:tcW w:w="1795" w:type="dxa"/>
            <w:tcBorders>
              <w:top w:val="single" w:sz="4" w:space="0" w:color="auto"/>
              <w:left w:val="nil"/>
              <w:bottom w:val="single" w:sz="4" w:space="0" w:color="auto"/>
              <w:right w:val="single" w:sz="4" w:space="0" w:color="auto"/>
            </w:tcBorders>
            <w:shd w:val="clear" w:color="auto" w:fill="C6EFCE"/>
            <w:noWrap/>
          </w:tcPr>
          <w:p w14:paraId="3BF38D5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7. Reforma guvernanței sistemului de învățământ preuniversitar și profesionalizarea managementului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0981C2A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52166E0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contractului de asistență tehnică pentru elaborarea Planului de măsuri de reformare a guvernanței, inclusiv a programului de formare și îndrumare pentru manageri și inspectori</w:t>
            </w:r>
          </w:p>
          <w:p w14:paraId="4187835E"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843" w:type="dxa"/>
            <w:tcBorders>
              <w:top w:val="single" w:sz="4" w:space="0" w:color="auto"/>
              <w:left w:val="nil"/>
              <w:bottom w:val="single" w:sz="4" w:space="0" w:color="auto"/>
              <w:right w:val="single" w:sz="4" w:space="0" w:color="auto"/>
            </w:tcBorders>
            <w:shd w:val="clear" w:color="auto" w:fill="C6EFCE"/>
            <w:noWrap/>
          </w:tcPr>
          <w:p w14:paraId="06C786E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contractului</w:t>
            </w:r>
          </w:p>
        </w:tc>
        <w:tc>
          <w:tcPr>
            <w:tcW w:w="1072" w:type="dxa"/>
            <w:tcBorders>
              <w:top w:val="single" w:sz="4" w:space="0" w:color="auto"/>
              <w:left w:val="nil"/>
              <w:bottom w:val="single" w:sz="4" w:space="0" w:color="auto"/>
              <w:right w:val="single" w:sz="4" w:space="0" w:color="auto"/>
            </w:tcBorders>
            <w:shd w:val="clear" w:color="auto" w:fill="C6EFCE"/>
            <w:noWrap/>
          </w:tcPr>
          <w:p w14:paraId="2F8F89B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30A2E8A1"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080" w:type="dxa"/>
            <w:tcBorders>
              <w:top w:val="single" w:sz="4" w:space="0" w:color="auto"/>
              <w:left w:val="nil"/>
              <w:bottom w:val="single" w:sz="4" w:space="0" w:color="auto"/>
              <w:right w:val="single" w:sz="4" w:space="0" w:color="auto"/>
            </w:tcBorders>
            <w:shd w:val="clear" w:color="auto" w:fill="C6EFCE"/>
            <w:noWrap/>
          </w:tcPr>
          <w:p w14:paraId="74C33656"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200" w:type="dxa"/>
            <w:tcBorders>
              <w:top w:val="single" w:sz="4" w:space="0" w:color="auto"/>
              <w:left w:val="nil"/>
              <w:bottom w:val="single" w:sz="4" w:space="0" w:color="auto"/>
              <w:right w:val="single" w:sz="4" w:space="0" w:color="auto"/>
            </w:tcBorders>
            <w:shd w:val="clear" w:color="auto" w:fill="C6EFCE"/>
            <w:noWrap/>
          </w:tcPr>
          <w:p w14:paraId="000876E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T1</w:t>
            </w:r>
          </w:p>
        </w:tc>
        <w:tc>
          <w:tcPr>
            <w:tcW w:w="840" w:type="dxa"/>
            <w:tcBorders>
              <w:top w:val="single" w:sz="4" w:space="0" w:color="auto"/>
              <w:left w:val="nil"/>
              <w:bottom w:val="single" w:sz="4" w:space="0" w:color="auto"/>
              <w:right w:val="single" w:sz="4" w:space="0" w:color="auto"/>
            </w:tcBorders>
            <w:shd w:val="clear" w:color="auto" w:fill="C6EFCE"/>
            <w:noWrap/>
          </w:tcPr>
          <w:p w14:paraId="5FC5767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2022</w:t>
            </w:r>
          </w:p>
        </w:tc>
        <w:tc>
          <w:tcPr>
            <w:tcW w:w="3034" w:type="dxa"/>
            <w:tcBorders>
              <w:top w:val="single" w:sz="4" w:space="0" w:color="auto"/>
              <w:left w:val="nil"/>
              <w:bottom w:val="single" w:sz="4" w:space="0" w:color="auto"/>
              <w:right w:val="single" w:sz="4" w:space="0" w:color="auto"/>
            </w:tcBorders>
            <w:shd w:val="clear" w:color="auto" w:fill="C6EFCE"/>
            <w:noWrap/>
          </w:tcPr>
          <w:p w14:paraId="355EC68B"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Reforma guvernanței se va baza pe analiza funcțională a sistemului de educație și formare profesională și se va desfășura pe două niveluri: I. Reforma managementului și </w:t>
            </w:r>
          </w:p>
          <w:p w14:paraId="0FF387A8"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II. Descentralizarea</w:t>
            </w:r>
          </w:p>
          <w:p w14:paraId="0CA8049D"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Ministerul Educației va contracta asistență tehnică externă pentru: </w:t>
            </w:r>
          </w:p>
          <w:p w14:paraId="24C5A094" w14:textId="77777777" w:rsidR="002B1133" w:rsidRPr="000A27B3" w:rsidRDefault="002B1133" w:rsidP="002B1133">
            <w:pPr>
              <w:numPr>
                <w:ilvl w:val="0"/>
                <w:numId w:val="124"/>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analiza guvernanței actuale a sistemului de învățământ preuniversitar;</w:t>
            </w:r>
          </w:p>
          <w:p w14:paraId="4CAE0151" w14:textId="77777777" w:rsidR="002B1133" w:rsidRPr="000A27B3" w:rsidRDefault="002B1133" w:rsidP="002B1133">
            <w:pPr>
              <w:numPr>
                <w:ilvl w:val="0"/>
                <w:numId w:val="124"/>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formularea de recomandări și a unui plan de îmbunătățire a managementului unităților de învățământ prin intermediul unui program-pilot;</w:t>
            </w:r>
          </w:p>
          <w:p w14:paraId="4A755911" w14:textId="77777777" w:rsidR="002B1133" w:rsidRPr="000A27B3" w:rsidRDefault="002B1133" w:rsidP="002B1133">
            <w:pPr>
              <w:numPr>
                <w:ilvl w:val="0"/>
                <w:numId w:val="124"/>
              </w:numPr>
              <w:spacing w:before="120" w:after="0" w:line="240" w:lineRule="auto"/>
              <w:ind w:left="189" w:hanging="142"/>
              <w:contextualSpacing/>
              <w:jc w:val="both"/>
              <w:rPr>
                <w:rFonts w:ascii="Times New Roman" w:hAnsi="Times New Roman" w:cs="Times New Roman"/>
                <w:noProof/>
                <w:sz w:val="24"/>
                <w:szCs w:val="24"/>
              </w:rPr>
            </w:pPr>
            <w:r>
              <w:rPr>
                <w:rFonts w:ascii="Times New Roman" w:hAnsi="Times New Roman"/>
                <w:noProof/>
                <w:sz w:val="24"/>
              </w:rPr>
              <w:t>furnizarea de orientări pentru conceperea programului de formare și îndrumare.</w:t>
            </w:r>
          </w:p>
          <w:p w14:paraId="12E6B672" w14:textId="21C83BDC" w:rsidR="002B1133" w:rsidRPr="000A27B3" w:rsidRDefault="002B1133">
            <w:pPr>
              <w:spacing w:after="0" w:line="240" w:lineRule="auto"/>
              <w:jc w:val="both"/>
              <w:rPr>
                <w:rFonts w:ascii="Times New Roman" w:eastAsia="Times New Roman" w:hAnsi="Times New Roman" w:cs="Times New Roman"/>
                <w:noProof/>
                <w:sz w:val="24"/>
              </w:rPr>
            </w:pPr>
            <w:r>
              <w:rPr>
                <w:rFonts w:ascii="Times New Roman" w:hAnsi="Times New Roman"/>
                <w:noProof/>
                <w:sz w:val="24"/>
              </w:rPr>
              <w:t>În vederea creșterii capacității sistemului de management al învățământului preuniversitar și a creșterii autonomiei școlilor va fi elaborat un plan de măsuri.</w:t>
            </w:r>
            <w:r w:rsidR="004C4C72">
              <w:rPr>
                <w:rFonts w:ascii="Times New Roman" w:hAnsi="Times New Roman"/>
                <w:noProof/>
                <w:sz w:val="24"/>
              </w:rPr>
              <w:t xml:space="preserve"> </w:t>
            </w:r>
          </w:p>
        </w:tc>
      </w:tr>
      <w:tr w:rsidR="00D1375D" w:rsidRPr="000A27B3" w14:paraId="0A90179F" w14:textId="77777777" w:rsidTr="00B74F9A">
        <w:trPr>
          <w:trHeight w:val="309"/>
        </w:trPr>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A441BA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495</w:t>
            </w:r>
          </w:p>
        </w:tc>
        <w:tc>
          <w:tcPr>
            <w:tcW w:w="1795" w:type="dxa"/>
            <w:tcBorders>
              <w:top w:val="single" w:sz="4" w:space="0" w:color="auto"/>
              <w:left w:val="nil"/>
              <w:bottom w:val="single" w:sz="4" w:space="0" w:color="auto"/>
              <w:right w:val="single" w:sz="4" w:space="0" w:color="auto"/>
            </w:tcBorders>
            <w:shd w:val="clear" w:color="auto" w:fill="C6EFCE"/>
            <w:noWrap/>
          </w:tcPr>
          <w:p w14:paraId="01E6E65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Reforma 7. Reforma guvernanței sistemului de învățământ preuniversitar și profesionalizarea managementului</w:t>
            </w:r>
          </w:p>
        </w:tc>
        <w:tc>
          <w:tcPr>
            <w:tcW w:w="1182" w:type="dxa"/>
            <w:gridSpan w:val="2"/>
            <w:tcBorders>
              <w:top w:val="single" w:sz="4" w:space="0" w:color="auto"/>
              <w:left w:val="nil"/>
              <w:bottom w:val="single" w:sz="4" w:space="0" w:color="auto"/>
              <w:right w:val="single" w:sz="4" w:space="0" w:color="auto"/>
            </w:tcBorders>
            <w:shd w:val="clear" w:color="auto" w:fill="C6EFCE"/>
            <w:noWrap/>
          </w:tcPr>
          <w:p w14:paraId="121E477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559" w:type="dxa"/>
            <w:tcBorders>
              <w:top w:val="single" w:sz="4" w:space="0" w:color="auto"/>
              <w:left w:val="nil"/>
              <w:bottom w:val="single" w:sz="4" w:space="0" w:color="auto"/>
              <w:right w:val="single" w:sz="4" w:space="0" w:color="auto"/>
            </w:tcBorders>
            <w:shd w:val="clear" w:color="auto" w:fill="C6EFCE"/>
            <w:noWrap/>
          </w:tcPr>
          <w:p w14:paraId="2EA8166B" w14:textId="77777777" w:rsidR="002B1133" w:rsidRPr="000A27B3" w:rsidRDefault="002B1133">
            <w:pPr>
              <w:spacing w:after="120" w:line="240" w:lineRule="auto"/>
              <w:jc w:val="both"/>
              <w:rPr>
                <w:rFonts w:ascii="Times New Roman" w:hAnsi="Times New Roman" w:cs="Times New Roman"/>
                <w:noProof/>
                <w:sz w:val="24"/>
                <w:szCs w:val="24"/>
              </w:rPr>
            </w:pPr>
            <w:r>
              <w:rPr>
                <w:rFonts w:ascii="Times New Roman" w:hAnsi="Times New Roman"/>
                <w:noProof/>
                <w:sz w:val="24"/>
              </w:rPr>
              <w:t>Publicarea și implementarea unui plan de măsuri de reformare a guvernanței, inclusiv a programului de formare și îndrumare pentru manageri și inspectori</w:t>
            </w:r>
          </w:p>
          <w:p w14:paraId="0170D939" w14:textId="77777777" w:rsidR="002B1133" w:rsidRPr="009F1DC7" w:rsidRDefault="002B1133">
            <w:pPr>
              <w:spacing w:after="0" w:line="240" w:lineRule="auto"/>
              <w:jc w:val="both"/>
              <w:rPr>
                <w:rFonts w:ascii="Times New Roman" w:hAnsi="Times New Roman" w:cs="Times New Roman"/>
                <w:noProof/>
                <w:sz w:val="24"/>
                <w:szCs w:val="24"/>
                <w:lang w:val="fr-FR"/>
              </w:rPr>
            </w:pPr>
          </w:p>
        </w:tc>
        <w:tc>
          <w:tcPr>
            <w:tcW w:w="1843" w:type="dxa"/>
            <w:tcBorders>
              <w:top w:val="single" w:sz="4" w:space="0" w:color="auto"/>
              <w:left w:val="nil"/>
              <w:bottom w:val="single" w:sz="4" w:space="0" w:color="auto"/>
              <w:right w:val="single" w:sz="4" w:space="0" w:color="auto"/>
            </w:tcBorders>
            <w:shd w:val="clear" w:color="auto" w:fill="C6EFCE"/>
            <w:noWrap/>
          </w:tcPr>
          <w:p w14:paraId="614A04B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Adoptarea planului de măsuri de reformare a guvernanței </w:t>
            </w:r>
          </w:p>
        </w:tc>
        <w:tc>
          <w:tcPr>
            <w:tcW w:w="1072" w:type="dxa"/>
            <w:tcBorders>
              <w:top w:val="single" w:sz="4" w:space="0" w:color="auto"/>
              <w:left w:val="nil"/>
              <w:bottom w:val="single" w:sz="4" w:space="0" w:color="auto"/>
              <w:right w:val="single" w:sz="4" w:space="0" w:color="auto"/>
            </w:tcBorders>
            <w:shd w:val="clear" w:color="auto" w:fill="C6EFCE"/>
            <w:noWrap/>
          </w:tcPr>
          <w:p w14:paraId="6FA3FCB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0122865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080" w:type="dxa"/>
            <w:tcBorders>
              <w:top w:val="single" w:sz="4" w:space="0" w:color="auto"/>
              <w:left w:val="nil"/>
              <w:bottom w:val="single" w:sz="4" w:space="0" w:color="auto"/>
              <w:right w:val="single" w:sz="4" w:space="0" w:color="auto"/>
            </w:tcBorders>
            <w:shd w:val="clear" w:color="auto" w:fill="C6EFCE"/>
            <w:noWrap/>
          </w:tcPr>
          <w:p w14:paraId="2488A8A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w:t>
            </w:r>
          </w:p>
        </w:tc>
        <w:tc>
          <w:tcPr>
            <w:tcW w:w="1200" w:type="dxa"/>
            <w:tcBorders>
              <w:top w:val="single" w:sz="4" w:space="0" w:color="auto"/>
              <w:left w:val="nil"/>
              <w:bottom w:val="single" w:sz="4" w:space="0" w:color="auto"/>
              <w:right w:val="single" w:sz="4" w:space="0" w:color="auto"/>
            </w:tcBorders>
            <w:shd w:val="clear" w:color="auto" w:fill="C6EFCE"/>
            <w:noWrap/>
          </w:tcPr>
          <w:p w14:paraId="29BBABFF" w14:textId="2FFC3651"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T3</w:t>
            </w:r>
          </w:p>
        </w:tc>
        <w:tc>
          <w:tcPr>
            <w:tcW w:w="840" w:type="dxa"/>
            <w:tcBorders>
              <w:top w:val="single" w:sz="4" w:space="0" w:color="auto"/>
              <w:left w:val="nil"/>
              <w:bottom w:val="single" w:sz="4" w:space="0" w:color="auto"/>
              <w:right w:val="single" w:sz="4" w:space="0" w:color="auto"/>
            </w:tcBorders>
            <w:shd w:val="clear" w:color="auto" w:fill="C6EFCE"/>
            <w:noWrap/>
          </w:tcPr>
          <w:p w14:paraId="1FC22EFE" w14:textId="79BC992A"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2024</w:t>
            </w:r>
          </w:p>
        </w:tc>
        <w:tc>
          <w:tcPr>
            <w:tcW w:w="3034" w:type="dxa"/>
            <w:tcBorders>
              <w:top w:val="single" w:sz="4" w:space="0" w:color="auto"/>
              <w:left w:val="nil"/>
              <w:bottom w:val="single" w:sz="4" w:space="0" w:color="auto"/>
              <w:right w:val="single" w:sz="4" w:space="0" w:color="auto"/>
            </w:tcBorders>
            <w:shd w:val="clear" w:color="auto" w:fill="C6EFCE"/>
            <w:noWrap/>
          </w:tcPr>
          <w:p w14:paraId="77917DD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Planul de măsuri de reformare a guvernanței va reforma politicile de resurse umane/recrutare a managerilor educaționali și se va realiza etapizat prin: </w:t>
            </w:r>
          </w:p>
          <w:p w14:paraId="23953560" w14:textId="77777777" w:rsidR="002B1133" w:rsidRPr="000A27B3" w:rsidRDefault="002B1133" w:rsidP="002B1133">
            <w:pPr>
              <w:numPr>
                <w:ilvl w:val="0"/>
                <w:numId w:val="122"/>
              </w:numPr>
              <w:spacing w:before="120" w:after="0"/>
              <w:ind w:left="189" w:hanging="142"/>
              <w:contextualSpacing/>
              <w:jc w:val="both"/>
              <w:rPr>
                <w:rFonts w:ascii="Times New Roman" w:hAnsi="Times New Roman" w:cs="Times New Roman"/>
                <w:noProof/>
                <w:sz w:val="24"/>
                <w:szCs w:val="24"/>
              </w:rPr>
            </w:pPr>
            <w:r>
              <w:rPr>
                <w:rFonts w:ascii="Times New Roman" w:hAnsi="Times New Roman"/>
                <w:noProof/>
                <w:sz w:val="24"/>
              </w:rPr>
              <w:t xml:space="preserve">revizuirea metodologiei de concurs pentru directori astfel încât să se coreleze cu metodologia de evaluare a managerilor educaționali în sistemul preuniversitar și să contribuie la creșterea atractivității funcției de director în rândul profesioniștilor; </w:t>
            </w:r>
          </w:p>
          <w:p w14:paraId="2E2D6FC7" w14:textId="77777777" w:rsidR="002B1133" w:rsidRPr="000A27B3" w:rsidRDefault="002B1133" w:rsidP="002B1133">
            <w:pPr>
              <w:numPr>
                <w:ilvl w:val="0"/>
                <w:numId w:val="122"/>
              </w:numPr>
              <w:spacing w:before="120" w:after="0"/>
              <w:ind w:left="189" w:hanging="142"/>
              <w:contextualSpacing/>
              <w:jc w:val="both"/>
              <w:rPr>
                <w:rFonts w:ascii="Times New Roman" w:hAnsi="Times New Roman" w:cs="Times New Roman"/>
                <w:noProof/>
                <w:sz w:val="24"/>
                <w:szCs w:val="24"/>
              </w:rPr>
            </w:pPr>
            <w:r>
              <w:rPr>
                <w:rFonts w:ascii="Times New Roman" w:hAnsi="Times New Roman"/>
                <w:noProof/>
                <w:sz w:val="24"/>
              </w:rPr>
              <w:t>transferul de competențe de la inspectoratele școlare județene către Direcțiile Județene de Asigurare a Calității și Inspecția Subordonată a Școlilor din cadrul ARACIP.</w:t>
            </w:r>
          </w:p>
          <w:p w14:paraId="2025FF36" w14:textId="77777777" w:rsidR="002B1133" w:rsidRPr="000A27B3" w:rsidRDefault="002B1133" w:rsidP="002B1133">
            <w:pPr>
              <w:numPr>
                <w:ilvl w:val="0"/>
                <w:numId w:val="122"/>
              </w:numPr>
              <w:spacing w:before="120" w:after="0"/>
              <w:ind w:left="189" w:hanging="142"/>
              <w:contextualSpacing/>
              <w:jc w:val="both"/>
              <w:rPr>
                <w:rFonts w:ascii="Times New Roman" w:hAnsi="Times New Roman" w:cs="Times New Roman"/>
                <w:noProof/>
                <w:sz w:val="24"/>
                <w:szCs w:val="24"/>
              </w:rPr>
            </w:pPr>
            <w:r>
              <w:rPr>
                <w:rFonts w:ascii="Times New Roman" w:hAnsi="Times New Roman"/>
                <w:noProof/>
                <w:sz w:val="24"/>
              </w:rPr>
              <w:t>program de granturi pentru sprijinirea școlilor pentru testarea abordării, pe baza unei cereri care va fi evaluată de experți din cadrul Ministerului Educației.</w:t>
            </w:r>
          </w:p>
          <w:p w14:paraId="6CBC6CE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Școlile care participă la programul-pilot vor consulta mai întâi consiliul școlar al elevilor și consiliul reprezentativ al părinților.</w:t>
            </w:r>
          </w:p>
          <w:p w14:paraId="13AA627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Programul-pilot care va implica cele 60 de școli va lua în considerare curriculumul școlar, guvernanța și managementul școlii și va identifica domeniile în care managementul și calitatea predării/învățării pot fi îmbunătățite.</w:t>
            </w:r>
          </w:p>
        </w:tc>
      </w:tr>
    </w:tbl>
    <w:p w14:paraId="54E6DE91" w14:textId="77777777" w:rsidR="002B1133" w:rsidRPr="009F1DC7" w:rsidRDefault="002B1133">
      <w:pPr>
        <w:spacing w:before="120" w:after="120" w:line="240" w:lineRule="auto"/>
        <w:ind w:left="709"/>
        <w:jc w:val="both"/>
        <w:rPr>
          <w:rFonts w:ascii="Times New Roman" w:hAnsi="Times New Roman" w:cs="Times New Roman"/>
          <w:noProof/>
          <w:sz w:val="24"/>
          <w:szCs w:val="24"/>
        </w:rPr>
        <w:sectPr w:rsidR="002B1133" w:rsidRPr="009F1DC7">
          <w:headerReference w:type="even" r:id="rId307"/>
          <w:headerReference w:type="default" r:id="rId308"/>
          <w:footerReference w:type="even" r:id="rId309"/>
          <w:footerReference w:type="default" r:id="rId310"/>
          <w:headerReference w:type="first" r:id="rId311"/>
          <w:footerReference w:type="first" r:id="rId312"/>
          <w:pgSz w:w="16839" w:h="11907" w:orient="landscape"/>
          <w:pgMar w:top="720" w:right="720" w:bottom="720" w:left="720" w:header="709" w:footer="709" w:gutter="0"/>
          <w:cols w:space="720"/>
          <w:docGrid w:linePitch="360"/>
        </w:sectPr>
      </w:pPr>
    </w:p>
    <w:p w14:paraId="37F5362B" w14:textId="77777777" w:rsidR="002B1133" w:rsidRPr="000A27B3" w:rsidRDefault="002B1133">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O.3. </w:t>
      </w:r>
      <w:r>
        <w:rPr>
          <w:noProof/>
        </w:rPr>
        <w:tab/>
      </w:r>
      <w:r>
        <w:rPr>
          <w:rFonts w:ascii="Times New Roman" w:hAnsi="Times New Roman"/>
          <w:b/>
          <w:noProof/>
          <w:sz w:val="24"/>
        </w:rPr>
        <w:t xml:space="preserve">Descrierea reformelor și a investițiilor pentru care se prevede acordarea împrumutului </w:t>
      </w:r>
    </w:p>
    <w:p w14:paraId="552BF320" w14:textId="77777777" w:rsidR="002B1133" w:rsidRPr="000A27B3" w:rsidRDefault="002B1133" w:rsidP="002B1133">
      <w:pPr>
        <w:numPr>
          <w:ilvl w:val="0"/>
          <w:numId w:val="105"/>
        </w:numPr>
        <w:spacing w:before="120" w:after="120" w:line="240" w:lineRule="auto"/>
        <w:ind w:left="709"/>
        <w:jc w:val="both"/>
        <w:rPr>
          <w:rFonts w:ascii="Times New Roman" w:hAnsi="Times New Roman" w:cs="Times New Roman"/>
          <w:noProof/>
          <w:sz w:val="24"/>
        </w:rPr>
      </w:pPr>
      <w:r>
        <w:rPr>
          <w:rFonts w:ascii="Times New Roman" w:hAnsi="Times New Roman"/>
          <w:noProof/>
          <w:sz w:val="24"/>
        </w:rPr>
        <w:t xml:space="preserve">Educație și formare profesională (sistem dual): </w:t>
      </w:r>
    </w:p>
    <w:p w14:paraId="121AF4DC" w14:textId="77777777" w:rsidR="002B1133" w:rsidRPr="000A27B3" w:rsidRDefault="002B1133">
      <w:pPr>
        <w:pStyle w:val="Standard"/>
        <w:spacing w:before="240"/>
        <w:jc w:val="both"/>
        <w:rPr>
          <w:noProof/>
          <w:u w:val="single"/>
        </w:rPr>
      </w:pPr>
      <w:r>
        <w:rPr>
          <w:noProof/>
          <w:u w:val="single"/>
        </w:rPr>
        <w:t xml:space="preserve">Investiția 13. Echiparea laboratoarelor informatice din școlile de educație și formare profesională (EFP) </w:t>
      </w:r>
    </w:p>
    <w:p w14:paraId="2F30546B" w14:textId="77777777" w:rsidR="002B1133" w:rsidRPr="000A27B3" w:rsidRDefault="002B1133">
      <w:pPr>
        <w:pStyle w:val="Standard"/>
        <w:spacing w:before="240"/>
        <w:jc w:val="both"/>
        <w:rPr>
          <w:rFonts w:ascii="Times New Roman" w:hAnsi="Times New Roman" w:cs="Times New Roman"/>
          <w:noProof/>
        </w:rPr>
      </w:pPr>
      <w:r>
        <w:rPr>
          <w:rFonts w:ascii="Times New Roman" w:hAnsi="Times New Roman"/>
          <w:noProof/>
        </w:rPr>
        <w:t>Obiectivul investiției este de a sprijini transformarea digitală a școlilor care aparțin rețelei EFP și de a facilita învățarea online. Aceasta include investiții în infrastructuri digitale pentru predare și instrumente digitale de predare pentru 909 școli EFP.</w:t>
      </w:r>
    </w:p>
    <w:p w14:paraId="6C23650F"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Investiția include, de asemenea, achiziționarea de echipamente informatice pentru sălile de clasă și acoperă echipamentele de infrastructură subiacente necesare pentru utilizarea echipamentelor didactice digitale. Investițiile vor fi implementate prin intermediul Inspectoratului Școlar Județean, al autorităților locale sau al școlilor, care urmează să lanseze cereri de propuneri pentru furnizarea de echipamente și laboratoare informatice în cadrul unităților de învățământ EFP. </w:t>
      </w:r>
    </w:p>
    <w:p w14:paraId="24E8E8A3"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30 septembrie 2023.</w:t>
      </w:r>
    </w:p>
    <w:p w14:paraId="1631762E"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14. Echiparea atelierelor de practică din unitățile de învățământ profesional și tehnic</w:t>
      </w:r>
    </w:p>
    <w:p w14:paraId="028F88B3" w14:textId="77777777" w:rsidR="002B1133" w:rsidRPr="000A27B3" w:rsidRDefault="002B1133">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Obiectivul acestei investiții este de a echipa ateliere școlare din cadrul unităților de învățământ profesional și tehnic, inclusiv al unităților de formare duală (și cu excepția celor cu profil agricol, care fac obiectul investiției 7).</w:t>
      </w:r>
    </w:p>
    <w:p w14:paraId="577BE12A"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Prin intermediul schemei de finanțare, fiecare dintre cele 909 școli EFP vor beneficia de un grant în valoare de maximum 100 000 EUR pentru a echipa atelierele de practică în funcție de specializarea lor și de nevoile lor concrete. O treime din investiție este dedicată echipării atelierelor cu echipamente digitale. </w:t>
      </w:r>
    </w:p>
    <w:p w14:paraId="4679F38F"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Achiziția se va realiza prin intermediul inspectoratelor școlare județene sau prin intermediul unităților administrative teritoriale/al școlilor.</w:t>
      </w:r>
    </w:p>
    <w:p w14:paraId="4F8183A0"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Implementarea investiției va fi finalizată până la 30 septembrie 2023. </w:t>
      </w:r>
    </w:p>
    <w:p w14:paraId="36A36053" w14:textId="77777777" w:rsidR="002B1133" w:rsidRPr="000A27B3" w:rsidRDefault="002B1133" w:rsidP="002B1133">
      <w:pPr>
        <w:numPr>
          <w:ilvl w:val="0"/>
          <w:numId w:val="105"/>
        </w:numPr>
        <w:spacing w:before="120" w:after="120" w:line="240" w:lineRule="auto"/>
        <w:ind w:left="709" w:hanging="283"/>
        <w:jc w:val="both"/>
        <w:rPr>
          <w:rFonts w:ascii="Times New Roman" w:hAnsi="Times New Roman" w:cs="Times New Roman"/>
          <w:noProof/>
          <w:sz w:val="24"/>
        </w:rPr>
      </w:pPr>
      <w:r>
        <w:rPr>
          <w:rFonts w:ascii="Times New Roman" w:hAnsi="Times New Roman"/>
          <w:noProof/>
          <w:sz w:val="24"/>
        </w:rPr>
        <w:t xml:space="preserve">Digitalizarea educației </w:t>
      </w:r>
    </w:p>
    <w:p w14:paraId="34B329C5"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15. Școala online: Dezvoltarea platformei de evaluare și realizarea de conținut</w:t>
      </w:r>
      <w:r>
        <w:rPr>
          <w:rFonts w:ascii="Times New Roman" w:hAnsi="Times New Roman"/>
          <w:noProof/>
          <w:u w:val="single"/>
        </w:rPr>
        <w:t xml:space="preserve"> </w:t>
      </w:r>
    </w:p>
    <w:p w14:paraId="58562755" w14:textId="77777777" w:rsidR="002B1133" w:rsidRPr="000A27B3" w:rsidRDefault="002B1133">
      <w:pPr>
        <w:spacing w:before="120" w:after="120" w:line="240" w:lineRule="auto"/>
        <w:jc w:val="both"/>
        <w:rPr>
          <w:rFonts w:ascii="Times New Roman" w:hAnsi="Times New Roman" w:cs="Times New Roman"/>
          <w:bCs/>
          <w:noProof/>
          <w:sz w:val="24"/>
          <w:szCs w:val="24"/>
        </w:rPr>
      </w:pPr>
      <w:r>
        <w:rPr>
          <w:rFonts w:ascii="Times New Roman" w:hAnsi="Times New Roman"/>
          <w:noProof/>
          <w:sz w:val="24"/>
        </w:rPr>
        <w:t xml:space="preserve">Această investiție urmărește să ofere o abordare integrată a desfășurării activităților didactice în regim online sau în situații speciale prin asigurarea complementarității derulării orelor online cu platforme de învățare, manuale digitale și materiale auxiliare necesare unui proces complet și complex. Prin urmare, se va crea un ecosistem digital pentru dezvoltarea competențelor digitale la nivel de școală, precum și un cadru subiacent pentru evaluarea și testarea la distanță. </w:t>
      </w:r>
    </w:p>
    <w:p w14:paraId="7C2FCDA1" w14:textId="77777777" w:rsidR="002B1133" w:rsidRPr="000A27B3" w:rsidRDefault="002B1133">
      <w:pPr>
        <w:spacing w:before="120" w:after="120" w:line="240" w:lineRule="auto"/>
        <w:jc w:val="both"/>
        <w:rPr>
          <w:rFonts w:ascii="Times New Roman" w:hAnsi="Times New Roman" w:cs="Times New Roman"/>
          <w:bCs/>
          <w:noProof/>
          <w:sz w:val="24"/>
          <w:szCs w:val="24"/>
        </w:rPr>
      </w:pPr>
      <w:r>
        <w:rPr>
          <w:rFonts w:ascii="Times New Roman" w:hAnsi="Times New Roman"/>
          <w:noProof/>
          <w:sz w:val="24"/>
        </w:rPr>
        <w:t>Investiția va fi implementă prin intermediul unui apel de proiecte competitiv pentru dezvoltarea resurselor educaționale deschise. Investiția va finanța: i) extinderea actualei platforme a manualelor digitale prin adăugarea de auxiliare didactice pentru toate disciplinele și pentru toate clasele de gimnaziu, ii) crearea de conținut educațional digital pentru trei niveluri diferite de aprofundare diferențiată a cunoașterii (remedială, accesibilă, performanță), iii) dezvoltarea de resurse educaționale incluzive pentru elevii cu dizabilități, sportivi, elevii spitalizați și iv) dezvoltarea unei platforme de evaluare pe baza celor mai bune practici europene.</w:t>
      </w:r>
    </w:p>
    <w:p w14:paraId="50F08CF4" w14:textId="534CD4FF"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30 septembrie 2025.</w:t>
      </w:r>
    </w:p>
    <w:p w14:paraId="375C4309" w14:textId="77777777" w:rsidR="002B1133" w:rsidRPr="000A27B3" w:rsidRDefault="002B1133" w:rsidP="00B43268">
      <w:pPr>
        <w:pStyle w:val="Standard"/>
        <w:pageBreakBefore/>
        <w:spacing w:before="240"/>
        <w:jc w:val="both"/>
        <w:rPr>
          <w:rFonts w:ascii="Times New Roman" w:eastAsiaTheme="majorEastAsia" w:hAnsi="Times New Roman" w:cs="Times New Roman"/>
          <w:bCs/>
          <w:noProof/>
          <w:u w:val="single"/>
        </w:rPr>
      </w:pPr>
      <w:r>
        <w:rPr>
          <w:noProof/>
          <w:u w:val="single"/>
        </w:rPr>
        <w:t xml:space="preserve">Investiția 16. Digitalizarea universităților și pregătirea acestora pentru profesiile digitale ale viitorului </w:t>
      </w:r>
    </w:p>
    <w:p w14:paraId="6984744D" w14:textId="490D6BB6" w:rsidR="002B1133" w:rsidRPr="000A27B3" w:rsidRDefault="002B1133">
      <w:p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Obiectivul acestei investiții este de a îmbunătăți comunicarea dintre universități și studenți și de a crea condițiile pentru lucrul în echipă în spațiul virtual, de a automatiza procesele administrative interne din universități, de a îmbunătăți managementul sistemului de conținut educațional și de a crea o infrastructură CDI pentru abordarea tehnologiilor avansate.</w:t>
      </w:r>
    </w:p>
    <w:p w14:paraId="01C5832F" w14:textId="3C7D8CE9" w:rsidR="002B1133" w:rsidRPr="00BE361B" w:rsidRDefault="002B1133" w:rsidP="00ED6412">
      <w:pPr>
        <w:spacing w:before="120"/>
        <w:contextualSpacing/>
        <w:jc w:val="both"/>
        <w:rPr>
          <w:rFonts w:ascii="Times New Roman" w:hAnsi="Times New Roman" w:cs="Times New Roman"/>
          <w:noProof/>
          <w:sz w:val="24"/>
          <w:szCs w:val="24"/>
        </w:rPr>
      </w:pPr>
      <w:r>
        <w:rPr>
          <w:rFonts w:ascii="Times New Roman" w:hAnsi="Times New Roman"/>
          <w:noProof/>
          <w:sz w:val="24"/>
        </w:rPr>
        <w:t xml:space="preserve">Investiția este implementată prin acordarea de granturi unui număr de 60 de universități pentru mai multe tipuri de investiții: </w:t>
      </w:r>
    </w:p>
    <w:p w14:paraId="11465328"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operaționalizarea centrelor digitale universitare</w:t>
      </w:r>
    </w:p>
    <w:p w14:paraId="51F0D809"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programe de formare în domeniul competențelor digitale</w:t>
      </w:r>
    </w:p>
    <w:p w14:paraId="1F9CAC16"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dezvoltarea competențelor antreprenoriale ale studenților pentru sectorul digital</w:t>
      </w:r>
    </w:p>
    <w:p w14:paraId="58828129"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programe de orientare profesională pentru studenți în vederea alegerii ocupațiilor TIC emergente</w:t>
      </w:r>
    </w:p>
    <w:p w14:paraId="21A1F270"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programe de formare a noilor competențe de predare/evaluare în sistem hibrid</w:t>
      </w:r>
    </w:p>
    <w:p w14:paraId="5CDE85C8"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 xml:space="preserve">dezvoltarea competențelor digitale avansate pentru 1 000 de studenți la nivel universitar și de masterat </w:t>
      </w:r>
    </w:p>
    <w:p w14:paraId="5FBF345A" w14:textId="77777777" w:rsidR="002B1133" w:rsidRPr="00BE361B" w:rsidRDefault="002B1133" w:rsidP="00BE361B">
      <w:pPr>
        <w:pStyle w:val="ListParagraph"/>
        <w:numPr>
          <w:ilvl w:val="0"/>
          <w:numId w:val="242"/>
        </w:numPr>
        <w:spacing w:before="120"/>
        <w:jc w:val="both"/>
        <w:rPr>
          <w:rFonts w:ascii="Times New Roman" w:hAnsi="Times New Roman" w:cs="Times New Roman"/>
          <w:noProof/>
          <w:sz w:val="24"/>
          <w:szCs w:val="24"/>
        </w:rPr>
      </w:pPr>
      <w:r>
        <w:rPr>
          <w:rFonts w:ascii="Times New Roman" w:hAnsi="Times New Roman"/>
          <w:noProof/>
          <w:sz w:val="24"/>
        </w:rPr>
        <w:t>formare pentru dezvoltarea competențelor profesionale și digitale ale studenților la nivel de licență, masterat și doctorat prin participarea la programe de formare, legate de Cadrul european al competențelor digitale; dezvoltarea competențelor digitale ale personalului didactic și de cercetare prin participarea la proiecte de cercetare și practică, legate de Cadrul european pentru competențele digitale pentru personalul didactic; dezvoltarea competențelor digitale avansate ale specialiștilor din domeniul IT pentru tehnologiile emergente – informatica cuantică, inteligența artificială, tehnologia blockchain, internetul obiectelor; derularea de programe de formare pentru perfecționare prin intermediul hub-urilor de inovare digitală.</w:t>
      </w:r>
      <w:r>
        <w:rPr>
          <w:rFonts w:ascii="Times New Roman" w:hAnsi="Times New Roman"/>
          <w:noProof/>
          <w:sz w:val="24"/>
        </w:rPr>
        <w:cr/>
      </w:r>
      <w:r>
        <w:rPr>
          <w:rFonts w:ascii="Times New Roman" w:hAnsi="Times New Roman"/>
          <w:noProof/>
          <w:sz w:val="24"/>
        </w:rPr>
        <w:br/>
        <w:t xml:space="preserve"> </w:t>
      </w:r>
    </w:p>
    <w:p w14:paraId="454853B6"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02C03FFE" w14:textId="77777777" w:rsidR="002B1133" w:rsidRPr="000A27B3" w:rsidRDefault="002B1133" w:rsidP="002B1133">
      <w:pPr>
        <w:numPr>
          <w:ilvl w:val="0"/>
          <w:numId w:val="105"/>
        </w:numPr>
        <w:spacing w:before="120" w:after="120" w:line="240" w:lineRule="auto"/>
        <w:ind w:left="567"/>
        <w:jc w:val="both"/>
        <w:rPr>
          <w:rFonts w:ascii="Times New Roman" w:hAnsi="Times New Roman" w:cs="Times New Roman"/>
          <w:noProof/>
          <w:sz w:val="24"/>
        </w:rPr>
      </w:pPr>
      <w:r>
        <w:rPr>
          <w:rFonts w:ascii="Times New Roman" w:hAnsi="Times New Roman"/>
          <w:noProof/>
          <w:sz w:val="24"/>
        </w:rPr>
        <w:t xml:space="preserve">Infrastructură: </w:t>
      </w:r>
    </w:p>
    <w:p w14:paraId="2463A2B4"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17. Asigurarea infrastructurii universitare (cămine, cantine, spații de recreere)</w:t>
      </w:r>
    </w:p>
    <w:p w14:paraId="1D65AC69"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acestei investiții este construirea/modernizarea a 3 tipuri de infrastructuri în campusurile universitare, conform standardelor de siguranță și calitate, pentru asigurarea dimensiunii sociale/incluzive a învățământului superior. </w:t>
      </w:r>
    </w:p>
    <w:p w14:paraId="6093FA88"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Investiția va finanța:</w:t>
      </w:r>
    </w:p>
    <w:p w14:paraId="27FF0AB3" w14:textId="5903986C" w:rsidR="002B1133" w:rsidRPr="000D4EE2" w:rsidRDefault="002B1133" w:rsidP="000D4EE2">
      <w:pPr>
        <w:pStyle w:val="ListParagraph"/>
        <w:numPr>
          <w:ilvl w:val="0"/>
          <w:numId w:val="242"/>
        </w:numPr>
        <w:spacing w:before="120"/>
        <w:jc w:val="both"/>
        <w:rPr>
          <w:rFonts w:ascii="Times New Roman" w:hAnsi="Times New Roman"/>
          <w:noProof/>
          <w:sz w:val="24"/>
        </w:rPr>
      </w:pPr>
      <w:r>
        <w:rPr>
          <w:rFonts w:ascii="Times New Roman" w:hAnsi="Times New Roman"/>
          <w:noProof/>
          <w:sz w:val="24"/>
        </w:rPr>
        <w:t>construirea a 3 998 și extinderea/modernizarea a 11 547 de spații de recreere și lectură în campusurile universitare, care să fie finalizate până la 30 septembrie 2025;</w:t>
      </w:r>
    </w:p>
    <w:p w14:paraId="7E4A3FF4" w14:textId="3697AC1A" w:rsidR="002B1133" w:rsidRPr="000D4EE2" w:rsidRDefault="002B1133" w:rsidP="000D4EE2">
      <w:pPr>
        <w:pStyle w:val="ListParagraph"/>
        <w:numPr>
          <w:ilvl w:val="0"/>
          <w:numId w:val="242"/>
        </w:numPr>
        <w:spacing w:before="120"/>
        <w:jc w:val="both"/>
        <w:rPr>
          <w:rFonts w:ascii="Times New Roman" w:hAnsi="Times New Roman"/>
          <w:noProof/>
          <w:sz w:val="24"/>
        </w:rPr>
      </w:pPr>
      <w:r>
        <w:rPr>
          <w:rFonts w:ascii="Times New Roman" w:hAnsi="Times New Roman"/>
          <w:noProof/>
          <w:sz w:val="24"/>
        </w:rPr>
        <w:t>construirea a 2 787 și extinderea/modernizarea a 2 488 de cantine în campusurile universitare, care să fie finalizate până la 30 septembrie 2025;</w:t>
      </w:r>
    </w:p>
    <w:p w14:paraId="0184660F" w14:textId="1EF157AF" w:rsidR="002B1133" w:rsidRPr="000D4EE2" w:rsidRDefault="002B1133" w:rsidP="000D4EE2">
      <w:pPr>
        <w:pStyle w:val="ListParagraph"/>
        <w:numPr>
          <w:ilvl w:val="0"/>
          <w:numId w:val="242"/>
        </w:numPr>
        <w:spacing w:before="120"/>
        <w:jc w:val="both"/>
        <w:rPr>
          <w:rFonts w:ascii="Times New Roman" w:hAnsi="Times New Roman"/>
          <w:noProof/>
          <w:sz w:val="24"/>
        </w:rPr>
      </w:pPr>
      <w:r>
        <w:rPr>
          <w:rFonts w:ascii="Times New Roman" w:hAnsi="Times New Roman"/>
          <w:noProof/>
          <w:sz w:val="24"/>
        </w:rPr>
        <w:t>construirea a 3 749 și extinderea/modernizarea a 11 571 de locuri de cazare în campusuri universitare, dedicate studenților proveniți din medii socioeconomice defavorizate, cu dizabilități, unele minorități etnice sau din familii monoparentale etc., care vor avea prioritate în obținerea unui loc în campusurile universitare nou-construite. Lucrările vor fi finalizate până la 31 decembrie 2025.</w:t>
      </w:r>
    </w:p>
    <w:p w14:paraId="4F4C0F03" w14:textId="3D1D3EB0" w:rsidR="002B1133" w:rsidRPr="000A27B3" w:rsidRDefault="002B1133">
      <w:pPr>
        <w:spacing w:before="120" w:after="120" w:line="240" w:lineRule="auto"/>
        <w:ind w:left="22"/>
        <w:jc w:val="both"/>
        <w:rPr>
          <w:rFonts w:ascii="Times New Roman" w:hAnsi="Times New Roman" w:cs="Times New Roman"/>
          <w:noProof/>
          <w:sz w:val="24"/>
          <w:szCs w:val="24"/>
        </w:rPr>
      </w:pPr>
      <w:r>
        <w:rPr>
          <w:rFonts w:ascii="Times New Roman" w:hAnsi="Times New Roman"/>
          <w:noProof/>
          <w:sz w:val="24"/>
        </w:rPr>
        <w:t xml:space="preserve">O țintă finală arată că cel puțin 40 % din infrastructurile noi și modernizate vor fi destinate studenților proveniți din medii defavorizate, până la 31 martie 2026. </w:t>
      </w:r>
    </w:p>
    <w:p w14:paraId="33E8BD75" w14:textId="77777777" w:rsidR="002B1133" w:rsidRPr="000A27B3" w:rsidRDefault="002B1133">
      <w:pPr>
        <w:ind w:left="22"/>
        <w:contextualSpacing/>
        <w:jc w:val="both"/>
        <w:rPr>
          <w:rFonts w:ascii="Times New Roman" w:hAnsi="Times New Roman" w:cs="Times New Roman"/>
          <w:noProof/>
          <w:sz w:val="24"/>
          <w:szCs w:val="24"/>
        </w:rPr>
      </w:pPr>
      <w:r>
        <w:rPr>
          <w:rFonts w:ascii="Times New Roman" w:hAnsi="Times New Roman"/>
          <w:noProof/>
          <w:sz w:val="24"/>
        </w:rPr>
        <w:t xml:space="preserve">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p w14:paraId="02B90EDE" w14:textId="77777777" w:rsidR="002B1133" w:rsidRPr="000A27B3" w:rsidRDefault="002B1133">
      <w:pPr>
        <w:spacing w:before="120" w:after="120" w:line="240" w:lineRule="auto"/>
        <w:ind w:left="22"/>
        <w:jc w:val="both"/>
        <w:rPr>
          <w:rFonts w:ascii="Times New Roman" w:hAnsi="Times New Roman" w:cs="Times New Roman"/>
          <w:noProof/>
          <w:sz w:val="24"/>
          <w:szCs w:val="24"/>
        </w:rPr>
      </w:pPr>
      <w:r>
        <w:rPr>
          <w:rFonts w:ascii="Times New Roman" w:hAnsi="Times New Roman"/>
          <w:noProof/>
          <w:sz w:val="24"/>
        </w:rPr>
        <w:t>În ceea ce privește renovările, 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 În acest context, cel puțin 90 % din costuri se referă la îmbunătățirea eficienței energetice.</w:t>
      </w:r>
    </w:p>
    <w:p w14:paraId="107C1A91" w14:textId="25FAA853"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martie 2026.</w:t>
      </w:r>
    </w:p>
    <w:p w14:paraId="0413DDD6" w14:textId="77777777" w:rsidR="002B1133" w:rsidRPr="000A27B3" w:rsidRDefault="002B1133" w:rsidP="002B1133">
      <w:pPr>
        <w:numPr>
          <w:ilvl w:val="0"/>
          <w:numId w:val="105"/>
        </w:numPr>
        <w:spacing w:before="120" w:after="120" w:line="240" w:lineRule="auto"/>
        <w:ind w:left="567"/>
        <w:jc w:val="both"/>
        <w:rPr>
          <w:rFonts w:ascii="Times New Roman" w:hAnsi="Times New Roman" w:cs="Times New Roman"/>
          <w:noProof/>
          <w:sz w:val="24"/>
        </w:rPr>
      </w:pPr>
      <w:r>
        <w:rPr>
          <w:rFonts w:ascii="Times New Roman" w:hAnsi="Times New Roman"/>
          <w:noProof/>
          <w:sz w:val="24"/>
        </w:rPr>
        <w:t>Guvernanța sistemului de învățământ:</w:t>
      </w:r>
    </w:p>
    <w:p w14:paraId="093204DB" w14:textId="77777777" w:rsidR="002B1133" w:rsidRPr="000A27B3" w:rsidRDefault="002B1133">
      <w:pPr>
        <w:pStyle w:val="Standard"/>
        <w:spacing w:before="240"/>
        <w:jc w:val="both"/>
        <w:rPr>
          <w:rFonts w:ascii="Times New Roman" w:eastAsiaTheme="majorEastAsia" w:hAnsi="Times New Roman" w:cs="Times New Roman"/>
          <w:bCs/>
          <w:noProof/>
          <w:u w:val="single"/>
        </w:rPr>
      </w:pPr>
      <w:r>
        <w:rPr>
          <w:noProof/>
          <w:u w:val="single"/>
        </w:rPr>
        <w:t>Investiția 18. Programul de formare și îndrumare pentru managerii și inspectorii școlari</w:t>
      </w:r>
    </w:p>
    <w:p w14:paraId="5EF0FC2E" w14:textId="77777777"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Obiectivul acestei investiții este de a dezvolta un program actualizat de formare și îndrumare pentru manageri și inspectori, în vederea profesionalizării managementului educațional. Programul de formare va fi conceput pe baza recomandărilor formulate de experții care vor efectua analiza funcțională a guvernanței sistemului de educație, precum și a bunelor practici europene.</w:t>
      </w:r>
    </w:p>
    <w:p w14:paraId="5E075A82" w14:textId="7A0211CF" w:rsidR="002B1133" w:rsidRPr="000A27B3" w:rsidRDefault="002B1133">
      <w:pPr>
        <w:spacing w:before="120" w:after="120" w:line="240" w:lineRule="auto"/>
        <w:jc w:val="both"/>
        <w:rPr>
          <w:rFonts w:ascii="Times New Roman" w:hAnsi="Times New Roman" w:cs="Times New Roman"/>
          <w:noProof/>
          <w:sz w:val="24"/>
          <w:szCs w:val="24"/>
        </w:rPr>
      </w:pPr>
      <w:r>
        <w:rPr>
          <w:rFonts w:ascii="Times New Roman" w:hAnsi="Times New Roman"/>
          <w:noProof/>
          <w:sz w:val="24"/>
        </w:rPr>
        <w:t>Formare pentru 10 000 de manageri și inspectori școlari, pentru o perioadă de un an și jumătate, cu scopul de a promova leadershipul și managementul instituțional, financiar și de resurse umane și cunoașterea aspectelor legate de administrație și de legislație în aceste domenii, pentru a contribui la dezvoltarea capacității instituției de învățământ pe care o conduc de a îmbunătăți performanțelor elevilor. Programul de formare și îndrumare pentru manageri și inspectorii cu funcții de îndrumare și control va urmări în mod special crearea acelor competențe necesare administrării sistemului de educație într-un mediu descentralizat, prin intermediul furnizorilor acreditați de formare profesională și se va derula cu experți în resurse umane.</w:t>
      </w:r>
    </w:p>
    <w:p w14:paraId="5B281959" w14:textId="77777777" w:rsidR="002B1133" w:rsidRPr="000A27B3" w:rsidRDefault="002B1133">
      <w:pPr>
        <w:spacing w:before="120" w:after="120" w:line="240" w:lineRule="auto"/>
        <w:jc w:val="both"/>
        <w:rPr>
          <w:rFonts w:ascii="Times New Roman" w:hAnsi="Times New Roman" w:cs="Times New Roman"/>
          <w:noProof/>
          <w:sz w:val="24"/>
        </w:rPr>
      </w:pPr>
      <w:r>
        <w:rPr>
          <w:rFonts w:ascii="Times New Roman" w:hAnsi="Times New Roman"/>
          <w:noProof/>
          <w:sz w:val="24"/>
        </w:rPr>
        <w:t>Implementarea investiției va fi finalizată până la 31 martie 2026.</w:t>
      </w:r>
    </w:p>
    <w:p w14:paraId="2C61494B" w14:textId="77777777" w:rsidR="002B1133" w:rsidRPr="009F1DC7" w:rsidRDefault="002B1133">
      <w:pPr>
        <w:spacing w:before="120" w:after="120" w:line="240" w:lineRule="auto"/>
        <w:jc w:val="both"/>
        <w:rPr>
          <w:rFonts w:ascii="Times New Roman" w:hAnsi="Times New Roman" w:cs="Times New Roman"/>
          <w:noProof/>
          <w:sz w:val="24"/>
          <w:lang w:val="fr-FR"/>
        </w:rPr>
        <w:sectPr w:rsidR="002B1133" w:rsidRPr="009F1DC7">
          <w:headerReference w:type="even" r:id="rId313"/>
          <w:headerReference w:type="default" r:id="rId314"/>
          <w:footerReference w:type="even" r:id="rId315"/>
          <w:footerReference w:type="default" r:id="rId316"/>
          <w:headerReference w:type="first" r:id="rId317"/>
          <w:footerReference w:type="first" r:id="rId318"/>
          <w:pgSz w:w="11907" w:h="16839"/>
          <w:pgMar w:top="1134" w:right="1417" w:bottom="1134" w:left="1417" w:header="709" w:footer="709" w:gutter="0"/>
          <w:cols w:space="720"/>
          <w:docGrid w:linePitch="360"/>
        </w:sectPr>
      </w:pPr>
    </w:p>
    <w:p w14:paraId="2B45938B" w14:textId="77777777" w:rsidR="002B1133" w:rsidRPr="000A27B3" w:rsidRDefault="002B1133">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O.4. </w:t>
      </w:r>
      <w:r>
        <w:rPr>
          <w:noProof/>
        </w:rPr>
        <w:tab/>
      </w:r>
      <w:r>
        <w:rPr>
          <w:rFonts w:ascii="Times New Roman" w:hAnsi="Times New Roman"/>
          <w:b/>
          <w:noProof/>
          <w:sz w:val="24"/>
        </w:rPr>
        <w:t xml:space="preserve">Jaloane, ținte, indicatori și calendarul de monitorizare și implementare aplicabile împrumutului </w:t>
      </w:r>
    </w:p>
    <w:tbl>
      <w:tblPr>
        <w:tblW w:w="15972" w:type="dxa"/>
        <w:jc w:val="center"/>
        <w:tblLayout w:type="fixed"/>
        <w:tblCellMar>
          <w:left w:w="28" w:type="dxa"/>
          <w:right w:w="28" w:type="dxa"/>
        </w:tblCellMar>
        <w:tblLook w:val="04A0" w:firstRow="1" w:lastRow="0" w:firstColumn="1" w:lastColumn="0" w:noHBand="0" w:noVBand="1"/>
      </w:tblPr>
      <w:tblGrid>
        <w:gridCol w:w="1244"/>
        <w:gridCol w:w="1795"/>
        <w:gridCol w:w="796"/>
        <w:gridCol w:w="1968"/>
        <w:gridCol w:w="1383"/>
        <w:gridCol w:w="968"/>
        <w:gridCol w:w="1081"/>
        <w:gridCol w:w="1100"/>
        <w:gridCol w:w="1124"/>
        <w:gridCol w:w="896"/>
        <w:gridCol w:w="3617"/>
      </w:tblGrid>
      <w:tr w:rsidR="000A27B3" w:rsidRPr="000A27B3" w14:paraId="4EFAB796" w14:textId="77777777" w:rsidTr="00B479F4">
        <w:trPr>
          <w:trHeight w:val="309"/>
          <w:tblHeader/>
          <w:jc w:val="center"/>
        </w:trPr>
        <w:tc>
          <w:tcPr>
            <w:tcW w:w="124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273A1869"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Număr secvențial</w:t>
            </w:r>
          </w:p>
        </w:tc>
        <w:tc>
          <w:tcPr>
            <w:tcW w:w="1795"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AC7309C"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 conexă (reformă sau investiție)</w:t>
            </w:r>
          </w:p>
        </w:tc>
        <w:tc>
          <w:tcPr>
            <w:tcW w:w="796"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46A0C0EA" w14:textId="0F345D45"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Jalon/</w:t>
            </w:r>
            <w:r w:rsidR="00B479F4">
              <w:rPr>
                <w:rFonts w:ascii="Times New Roman" w:hAnsi="Times New Roman"/>
                <w:b/>
                <w:noProof/>
                <w:sz w:val="24"/>
              </w:rPr>
              <w:br/>
            </w:r>
            <w:r>
              <w:rPr>
                <w:rFonts w:ascii="Times New Roman" w:hAnsi="Times New Roman"/>
                <w:b/>
                <w:noProof/>
                <w:sz w:val="24"/>
              </w:rPr>
              <w:t>țintă</w:t>
            </w:r>
          </w:p>
        </w:tc>
        <w:tc>
          <w:tcPr>
            <w:tcW w:w="1968"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2015AEBF"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Denumire</w:t>
            </w:r>
          </w:p>
        </w:tc>
        <w:tc>
          <w:tcPr>
            <w:tcW w:w="1383"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7ADD91C7"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Indicatori </w:t>
            </w:r>
          </w:p>
          <w:p w14:paraId="212E6892"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calitativi</w:t>
            </w:r>
            <w:r>
              <w:rPr>
                <w:noProof/>
              </w:rPr>
              <w:t xml:space="preserve"> </w:t>
            </w:r>
            <w:r>
              <w:rPr>
                <w:noProof/>
              </w:rPr>
              <w:br/>
            </w:r>
            <w:r>
              <w:rPr>
                <w:rFonts w:ascii="Times New Roman" w:hAnsi="Times New Roman"/>
                <w:b/>
                <w:noProof/>
                <w:sz w:val="24"/>
              </w:rPr>
              <w:t>(pentru jaloane)</w:t>
            </w:r>
          </w:p>
        </w:tc>
        <w:tc>
          <w:tcPr>
            <w:tcW w:w="3149"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C6E6476"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Indicatori </w:t>
            </w:r>
          </w:p>
          <w:p w14:paraId="0210B7EC" w14:textId="23B4C2E2"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cantitativi</w:t>
            </w:r>
            <w:r w:rsidR="004C4C72">
              <w:rPr>
                <w:rFonts w:ascii="Times New Roman" w:hAnsi="Times New Roman"/>
                <w:b/>
                <w:noProof/>
                <w:sz w:val="24"/>
              </w:rPr>
              <w:t xml:space="preserve"> </w:t>
            </w:r>
            <w:r>
              <w:rPr>
                <w:noProof/>
              </w:rPr>
              <w:br/>
            </w:r>
            <w:r>
              <w:rPr>
                <w:rFonts w:ascii="Times New Roman" w:hAnsi="Times New Roman"/>
                <w:b/>
                <w:noProof/>
                <w:sz w:val="24"/>
              </w:rPr>
              <w:t>(pentru ținte)</w:t>
            </w:r>
          </w:p>
        </w:tc>
        <w:tc>
          <w:tcPr>
            <w:tcW w:w="2020" w:type="dxa"/>
            <w:gridSpan w:val="2"/>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66C7CEC"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Calendar orientativ </w:t>
            </w:r>
          </w:p>
          <w:p w14:paraId="1B015FAD"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pentru atingerea jaloanelor/țintelor </w:t>
            </w:r>
          </w:p>
        </w:tc>
        <w:tc>
          <w:tcPr>
            <w:tcW w:w="3617" w:type="dxa"/>
            <w:vMerge w:val="restart"/>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1EC03695"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Descrierea fiecărui jalon și a fiecărei ținte</w:t>
            </w:r>
          </w:p>
        </w:tc>
      </w:tr>
      <w:tr w:rsidR="000A27B3" w:rsidRPr="000A27B3" w14:paraId="7B1B5ECE" w14:textId="77777777" w:rsidTr="00B479F4">
        <w:trPr>
          <w:trHeight w:val="502"/>
          <w:tblHeader/>
          <w:jc w:val="center"/>
        </w:trPr>
        <w:tc>
          <w:tcPr>
            <w:tcW w:w="1244" w:type="dxa"/>
            <w:vMerge/>
            <w:tcBorders>
              <w:top w:val="single" w:sz="4" w:space="0" w:color="auto"/>
              <w:left w:val="single" w:sz="4" w:space="0" w:color="auto"/>
              <w:bottom w:val="single" w:sz="4" w:space="0" w:color="auto"/>
              <w:right w:val="single" w:sz="4" w:space="0" w:color="auto"/>
            </w:tcBorders>
            <w:noWrap/>
            <w:vAlign w:val="center"/>
          </w:tcPr>
          <w:p w14:paraId="0361DDF2"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1795" w:type="dxa"/>
            <w:vMerge/>
            <w:tcBorders>
              <w:top w:val="single" w:sz="4" w:space="0" w:color="auto"/>
              <w:left w:val="single" w:sz="4" w:space="0" w:color="auto"/>
              <w:bottom w:val="single" w:sz="4" w:space="0" w:color="auto"/>
              <w:right w:val="single" w:sz="4" w:space="0" w:color="auto"/>
            </w:tcBorders>
            <w:noWrap/>
            <w:vAlign w:val="center"/>
          </w:tcPr>
          <w:p w14:paraId="5C8C4855" w14:textId="77777777" w:rsidR="002B1133" w:rsidRPr="009F1DC7" w:rsidRDefault="002B1133">
            <w:pPr>
              <w:spacing w:after="0" w:line="240" w:lineRule="auto"/>
              <w:jc w:val="both"/>
              <w:rPr>
                <w:rFonts w:ascii="Times New Roman" w:eastAsia="Times New Roman" w:hAnsi="Times New Roman" w:cs="Times New Roman"/>
                <w:b/>
                <w:noProof/>
                <w:sz w:val="24"/>
                <w:lang w:eastAsia="en-GB"/>
              </w:rPr>
            </w:pPr>
          </w:p>
        </w:tc>
        <w:tc>
          <w:tcPr>
            <w:tcW w:w="796" w:type="dxa"/>
            <w:vMerge/>
            <w:tcBorders>
              <w:top w:val="single" w:sz="4" w:space="0" w:color="auto"/>
              <w:left w:val="single" w:sz="4" w:space="0" w:color="auto"/>
              <w:bottom w:val="single" w:sz="4" w:space="0" w:color="auto"/>
              <w:right w:val="single" w:sz="4" w:space="0" w:color="auto"/>
            </w:tcBorders>
            <w:noWrap/>
            <w:vAlign w:val="center"/>
          </w:tcPr>
          <w:p w14:paraId="0CBFC04B" w14:textId="77777777" w:rsidR="002B1133" w:rsidRPr="009F1DC7" w:rsidRDefault="002B1133">
            <w:pPr>
              <w:spacing w:after="0" w:line="240" w:lineRule="auto"/>
              <w:jc w:val="both"/>
              <w:rPr>
                <w:rFonts w:ascii="Times New Roman" w:eastAsia="Times New Roman" w:hAnsi="Times New Roman" w:cs="Times New Roman"/>
                <w:b/>
                <w:noProof/>
                <w:sz w:val="24"/>
                <w:lang w:eastAsia="en-GB"/>
              </w:rPr>
            </w:pPr>
          </w:p>
        </w:tc>
        <w:tc>
          <w:tcPr>
            <w:tcW w:w="1968" w:type="dxa"/>
            <w:vMerge/>
            <w:tcBorders>
              <w:top w:val="single" w:sz="4" w:space="0" w:color="auto"/>
              <w:left w:val="single" w:sz="4" w:space="0" w:color="auto"/>
              <w:bottom w:val="single" w:sz="4" w:space="0" w:color="auto"/>
              <w:right w:val="single" w:sz="4" w:space="0" w:color="auto"/>
            </w:tcBorders>
            <w:noWrap/>
            <w:vAlign w:val="center"/>
          </w:tcPr>
          <w:p w14:paraId="3340C7CD" w14:textId="77777777" w:rsidR="002B1133" w:rsidRPr="009F1DC7" w:rsidRDefault="002B1133">
            <w:pPr>
              <w:spacing w:after="0" w:line="240" w:lineRule="auto"/>
              <w:jc w:val="both"/>
              <w:rPr>
                <w:rFonts w:ascii="Times New Roman" w:eastAsia="Times New Roman" w:hAnsi="Times New Roman" w:cs="Times New Roman"/>
                <w:b/>
                <w:noProof/>
                <w:sz w:val="24"/>
                <w:lang w:eastAsia="en-GB"/>
              </w:rPr>
            </w:pPr>
          </w:p>
        </w:tc>
        <w:tc>
          <w:tcPr>
            <w:tcW w:w="1383" w:type="dxa"/>
            <w:vMerge/>
            <w:tcBorders>
              <w:top w:val="single" w:sz="4" w:space="0" w:color="auto"/>
              <w:left w:val="single" w:sz="4" w:space="0" w:color="auto"/>
              <w:bottom w:val="single" w:sz="4" w:space="0" w:color="auto"/>
              <w:right w:val="single" w:sz="4" w:space="0" w:color="auto"/>
            </w:tcBorders>
            <w:noWrap/>
            <w:vAlign w:val="center"/>
          </w:tcPr>
          <w:p w14:paraId="573DD30C" w14:textId="77777777" w:rsidR="002B1133" w:rsidRPr="009F1DC7" w:rsidRDefault="002B1133">
            <w:pPr>
              <w:spacing w:after="0" w:line="240" w:lineRule="auto"/>
              <w:jc w:val="center"/>
              <w:rPr>
                <w:rFonts w:ascii="Times New Roman" w:eastAsia="Times New Roman" w:hAnsi="Times New Roman" w:cs="Times New Roman"/>
                <w:b/>
                <w:noProof/>
                <w:sz w:val="24"/>
                <w:lang w:eastAsia="en-GB"/>
              </w:rPr>
            </w:pPr>
          </w:p>
        </w:tc>
        <w:tc>
          <w:tcPr>
            <w:tcW w:w="96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79D64973"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Unitate </w:t>
            </w:r>
          </w:p>
          <w:p w14:paraId="2CCCB5AB"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de </w:t>
            </w:r>
          </w:p>
          <w:p w14:paraId="44622262"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măsură</w:t>
            </w:r>
          </w:p>
        </w:tc>
        <w:tc>
          <w:tcPr>
            <w:tcW w:w="1081"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0DCEC9E3" w14:textId="23C8C3C8" w:rsidR="002B1133" w:rsidRPr="000A27B3" w:rsidRDefault="002B1133" w:rsidP="007541DA">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Valoare de referință </w:t>
            </w:r>
          </w:p>
        </w:tc>
        <w:tc>
          <w:tcPr>
            <w:tcW w:w="1100"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5123CFE6"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 xml:space="preserve">Obiectiv </w:t>
            </w:r>
          </w:p>
        </w:tc>
        <w:tc>
          <w:tcPr>
            <w:tcW w:w="1124"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65EB7A80"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Trimestru</w:t>
            </w:r>
          </w:p>
        </w:tc>
        <w:tc>
          <w:tcPr>
            <w:tcW w:w="896" w:type="dxa"/>
            <w:tcBorders>
              <w:top w:val="single" w:sz="4" w:space="0" w:color="auto"/>
              <w:left w:val="nil"/>
              <w:bottom w:val="single" w:sz="4" w:space="0" w:color="auto"/>
              <w:right w:val="single" w:sz="4" w:space="0" w:color="auto"/>
            </w:tcBorders>
            <w:shd w:val="clear" w:color="auto" w:fill="B4C6E7" w:themeFill="accent1" w:themeFillTint="66"/>
            <w:noWrap/>
            <w:vAlign w:val="center"/>
          </w:tcPr>
          <w:p w14:paraId="15C77970"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b/>
                <w:noProof/>
                <w:sz w:val="24"/>
              </w:rPr>
              <w:t>An</w:t>
            </w:r>
          </w:p>
        </w:tc>
        <w:tc>
          <w:tcPr>
            <w:tcW w:w="3617" w:type="dxa"/>
            <w:vMerge/>
            <w:tcBorders>
              <w:top w:val="single" w:sz="4" w:space="0" w:color="auto"/>
              <w:bottom w:val="single" w:sz="4" w:space="0" w:color="auto"/>
              <w:right w:val="single" w:sz="4" w:space="0" w:color="auto"/>
            </w:tcBorders>
            <w:noWrap/>
            <w:vAlign w:val="center"/>
          </w:tcPr>
          <w:p w14:paraId="208A779C" w14:textId="77777777" w:rsidR="002B1133" w:rsidRPr="000A27B3" w:rsidRDefault="002B1133">
            <w:pPr>
              <w:spacing w:after="0" w:line="240" w:lineRule="auto"/>
              <w:jc w:val="both"/>
              <w:rPr>
                <w:rFonts w:ascii="Times New Roman" w:eastAsia="Times New Roman" w:hAnsi="Times New Roman" w:cs="Times New Roman"/>
                <w:b/>
                <w:noProof/>
                <w:sz w:val="24"/>
                <w:lang w:val="en-GB" w:eastAsia="en-GB"/>
              </w:rPr>
            </w:pPr>
          </w:p>
        </w:tc>
      </w:tr>
      <w:tr w:rsidR="000A27B3" w:rsidRPr="000A27B3" w14:paraId="3DEF546A"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6410FB72"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496</w:t>
            </w:r>
          </w:p>
        </w:tc>
        <w:tc>
          <w:tcPr>
            <w:tcW w:w="1795" w:type="dxa"/>
            <w:tcBorders>
              <w:top w:val="single" w:sz="4" w:space="0" w:color="auto"/>
              <w:left w:val="nil"/>
              <w:bottom w:val="single" w:sz="4" w:space="0" w:color="auto"/>
              <w:right w:val="single" w:sz="4" w:space="0" w:color="auto"/>
            </w:tcBorders>
            <w:shd w:val="clear" w:color="auto" w:fill="C6EFCE"/>
            <w:noWrap/>
          </w:tcPr>
          <w:p w14:paraId="7A8B32E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13. Echiparea laboratoarelor informatice din școlile de educație și formare profesională (EFP)</w:t>
            </w:r>
          </w:p>
        </w:tc>
        <w:tc>
          <w:tcPr>
            <w:tcW w:w="796" w:type="dxa"/>
            <w:tcBorders>
              <w:top w:val="single" w:sz="4" w:space="0" w:color="auto"/>
              <w:left w:val="nil"/>
              <w:bottom w:val="single" w:sz="4" w:space="0" w:color="auto"/>
              <w:right w:val="single" w:sz="4" w:space="0" w:color="auto"/>
            </w:tcBorders>
            <w:shd w:val="clear" w:color="auto" w:fill="C6EFCE"/>
            <w:noWrap/>
          </w:tcPr>
          <w:p w14:paraId="492DD19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7DCE74E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Unități de învățământ profesional și tehnic dotate cu laboratoare de informatică</w:t>
            </w:r>
          </w:p>
        </w:tc>
        <w:tc>
          <w:tcPr>
            <w:tcW w:w="1383" w:type="dxa"/>
            <w:tcBorders>
              <w:top w:val="single" w:sz="4" w:space="0" w:color="auto"/>
              <w:left w:val="nil"/>
              <w:bottom w:val="single" w:sz="4" w:space="0" w:color="auto"/>
              <w:right w:val="single" w:sz="4" w:space="0" w:color="auto"/>
            </w:tcBorders>
            <w:shd w:val="clear" w:color="auto" w:fill="C6EFCE"/>
            <w:noWrap/>
          </w:tcPr>
          <w:p w14:paraId="7466D292"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 xml:space="preserve"> </w:t>
            </w:r>
          </w:p>
        </w:tc>
        <w:tc>
          <w:tcPr>
            <w:tcW w:w="968" w:type="dxa"/>
            <w:tcBorders>
              <w:top w:val="single" w:sz="4" w:space="0" w:color="auto"/>
              <w:left w:val="nil"/>
              <w:bottom w:val="single" w:sz="4" w:space="0" w:color="auto"/>
              <w:right w:val="single" w:sz="4" w:space="0" w:color="auto"/>
            </w:tcBorders>
            <w:shd w:val="clear" w:color="auto" w:fill="C6EFCE"/>
            <w:noWrap/>
          </w:tcPr>
          <w:p w14:paraId="27A92E8A"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206B359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4BF3599D"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909</w:t>
            </w:r>
          </w:p>
        </w:tc>
        <w:tc>
          <w:tcPr>
            <w:tcW w:w="1124" w:type="dxa"/>
            <w:tcBorders>
              <w:top w:val="single" w:sz="4" w:space="0" w:color="auto"/>
              <w:left w:val="nil"/>
              <w:bottom w:val="single" w:sz="4" w:space="0" w:color="auto"/>
              <w:right w:val="single" w:sz="4" w:space="0" w:color="auto"/>
            </w:tcBorders>
            <w:shd w:val="clear" w:color="auto" w:fill="C6EFCE"/>
            <w:noWrap/>
          </w:tcPr>
          <w:p w14:paraId="51C1B69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896" w:type="dxa"/>
            <w:tcBorders>
              <w:top w:val="single" w:sz="4" w:space="0" w:color="auto"/>
              <w:left w:val="nil"/>
              <w:bottom w:val="single" w:sz="4" w:space="0" w:color="auto"/>
              <w:right w:val="single" w:sz="4" w:space="0" w:color="auto"/>
            </w:tcBorders>
            <w:shd w:val="clear" w:color="auto" w:fill="C6EFCE"/>
            <w:noWrap/>
          </w:tcPr>
          <w:p w14:paraId="0F87E2C2"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2023</w:t>
            </w:r>
          </w:p>
        </w:tc>
        <w:tc>
          <w:tcPr>
            <w:tcW w:w="3617" w:type="dxa"/>
            <w:tcBorders>
              <w:top w:val="single" w:sz="4" w:space="0" w:color="auto"/>
              <w:left w:val="nil"/>
              <w:bottom w:val="single" w:sz="4" w:space="0" w:color="auto"/>
              <w:right w:val="single" w:sz="4" w:space="0" w:color="auto"/>
            </w:tcBorders>
            <w:shd w:val="clear" w:color="auto" w:fill="C6EFCE"/>
            <w:noWrap/>
          </w:tcPr>
          <w:p w14:paraId="6B12DCA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909 unități de învățământ profesional și tehnic vor fi dotate cu infrastructuri și instrumente digitale pentru predare.</w:t>
            </w:r>
          </w:p>
          <w:p w14:paraId="4DA7EB0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include achiziționarea de echipamente pentru clase (cum ar fi proiectoare, sisteme de înregistrare video, sisteme de sunet, camere video și echipamente audio pentru înregistrarea lecțiilor, echipamente cu softuri pentru arhivarea resurselor digitale de predare) și acoperă echipamentele de infrastructură subiacente (cum ar fi electroinstalațiile, rețelele LAN și Wi-fi) necesare pentru utilizarea echipamentelor didactice digitale. </w:t>
            </w:r>
          </w:p>
        </w:tc>
      </w:tr>
      <w:tr w:rsidR="000A27B3" w:rsidRPr="000A27B3" w14:paraId="1EBC0CB6"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21863230"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497</w:t>
            </w:r>
          </w:p>
        </w:tc>
        <w:tc>
          <w:tcPr>
            <w:tcW w:w="1795" w:type="dxa"/>
            <w:tcBorders>
              <w:top w:val="single" w:sz="4" w:space="0" w:color="auto"/>
              <w:left w:val="nil"/>
              <w:bottom w:val="single" w:sz="4" w:space="0" w:color="auto"/>
              <w:right w:val="single" w:sz="4" w:space="0" w:color="auto"/>
            </w:tcBorders>
            <w:shd w:val="clear" w:color="auto" w:fill="C6EFCE"/>
            <w:noWrap/>
          </w:tcPr>
          <w:p w14:paraId="34402073" w14:textId="77777777" w:rsidR="002B1133" w:rsidRPr="000A27B3" w:rsidRDefault="002B1133">
            <w:pPr>
              <w:spacing w:after="0" w:line="240" w:lineRule="auto"/>
              <w:jc w:val="both"/>
              <w:rPr>
                <w:rFonts w:ascii="Times New Roman" w:eastAsia="Times New Roman" w:hAnsi="Times New Roman" w:cs="Times New Roman"/>
                <w:b/>
                <w:noProof/>
                <w:sz w:val="24"/>
              </w:rPr>
            </w:pPr>
            <w:r>
              <w:rPr>
                <w:rFonts w:ascii="Times New Roman" w:hAnsi="Times New Roman"/>
                <w:noProof/>
                <w:sz w:val="24"/>
              </w:rPr>
              <w:t>Investiția 14. Echiparea atelierelor de practică din unitățile de învățământ profesional și tehnic</w:t>
            </w:r>
          </w:p>
        </w:tc>
        <w:tc>
          <w:tcPr>
            <w:tcW w:w="796" w:type="dxa"/>
            <w:tcBorders>
              <w:top w:val="single" w:sz="4" w:space="0" w:color="auto"/>
              <w:left w:val="nil"/>
              <w:bottom w:val="single" w:sz="4" w:space="0" w:color="auto"/>
              <w:right w:val="single" w:sz="4" w:space="0" w:color="auto"/>
            </w:tcBorders>
            <w:shd w:val="clear" w:color="auto" w:fill="C6EFCE"/>
            <w:noWrap/>
          </w:tcPr>
          <w:p w14:paraId="1B299A6C" w14:textId="77777777" w:rsidR="002B1133" w:rsidRPr="000A27B3" w:rsidRDefault="002B1133">
            <w:pPr>
              <w:spacing w:after="0" w:line="240" w:lineRule="auto"/>
              <w:jc w:val="both"/>
              <w:rPr>
                <w:rFonts w:ascii="Times New Roman" w:eastAsia="Times New Roman" w:hAnsi="Times New Roman" w:cs="Times New Roman"/>
                <w:b/>
                <w:noProof/>
                <w:sz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2615CF04" w14:textId="77777777" w:rsidR="002B1133" w:rsidRPr="000A27B3" w:rsidRDefault="002B1133">
            <w:pPr>
              <w:spacing w:after="0" w:line="240" w:lineRule="auto"/>
              <w:jc w:val="both"/>
              <w:rPr>
                <w:rFonts w:ascii="Times New Roman" w:eastAsia="Times New Roman" w:hAnsi="Times New Roman" w:cs="Times New Roman"/>
                <w:b/>
                <w:noProof/>
                <w:sz w:val="24"/>
              </w:rPr>
            </w:pPr>
            <w:r>
              <w:rPr>
                <w:rFonts w:ascii="Times New Roman" w:hAnsi="Times New Roman"/>
                <w:noProof/>
                <w:sz w:val="24"/>
              </w:rPr>
              <w:t>Unități de învățământ profesional și tehnic dotate cu laboratoare de practică funcționale</w:t>
            </w:r>
          </w:p>
        </w:tc>
        <w:tc>
          <w:tcPr>
            <w:tcW w:w="1383" w:type="dxa"/>
            <w:tcBorders>
              <w:top w:val="single" w:sz="4" w:space="0" w:color="auto"/>
              <w:left w:val="nil"/>
              <w:bottom w:val="single" w:sz="4" w:space="0" w:color="auto"/>
              <w:right w:val="single" w:sz="4" w:space="0" w:color="auto"/>
            </w:tcBorders>
            <w:shd w:val="clear" w:color="auto" w:fill="C6EFCE"/>
            <w:noWrap/>
          </w:tcPr>
          <w:p w14:paraId="2DB3A59F"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 xml:space="preserve"> </w:t>
            </w:r>
          </w:p>
        </w:tc>
        <w:tc>
          <w:tcPr>
            <w:tcW w:w="968" w:type="dxa"/>
            <w:tcBorders>
              <w:top w:val="single" w:sz="4" w:space="0" w:color="auto"/>
              <w:left w:val="nil"/>
              <w:bottom w:val="single" w:sz="4" w:space="0" w:color="auto"/>
              <w:right w:val="single" w:sz="4" w:space="0" w:color="auto"/>
            </w:tcBorders>
            <w:shd w:val="clear" w:color="auto" w:fill="C6EFCE"/>
            <w:noWrap/>
          </w:tcPr>
          <w:p w14:paraId="5FE57E15"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0222C3C0"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 0</w:t>
            </w:r>
          </w:p>
        </w:tc>
        <w:tc>
          <w:tcPr>
            <w:tcW w:w="1100" w:type="dxa"/>
            <w:tcBorders>
              <w:top w:val="single" w:sz="4" w:space="0" w:color="auto"/>
              <w:left w:val="nil"/>
              <w:bottom w:val="single" w:sz="4" w:space="0" w:color="auto"/>
              <w:right w:val="single" w:sz="4" w:space="0" w:color="auto"/>
            </w:tcBorders>
            <w:shd w:val="clear" w:color="auto" w:fill="C6EFCE"/>
            <w:noWrap/>
          </w:tcPr>
          <w:p w14:paraId="0ABC413E"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909</w:t>
            </w:r>
          </w:p>
        </w:tc>
        <w:tc>
          <w:tcPr>
            <w:tcW w:w="1124" w:type="dxa"/>
            <w:tcBorders>
              <w:top w:val="single" w:sz="4" w:space="0" w:color="auto"/>
              <w:left w:val="nil"/>
              <w:bottom w:val="single" w:sz="4" w:space="0" w:color="auto"/>
              <w:right w:val="single" w:sz="4" w:space="0" w:color="auto"/>
            </w:tcBorders>
            <w:shd w:val="clear" w:color="auto" w:fill="C6EFCE"/>
            <w:noWrap/>
          </w:tcPr>
          <w:p w14:paraId="731FAC9B"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T3</w:t>
            </w:r>
          </w:p>
        </w:tc>
        <w:tc>
          <w:tcPr>
            <w:tcW w:w="896" w:type="dxa"/>
            <w:tcBorders>
              <w:top w:val="single" w:sz="4" w:space="0" w:color="auto"/>
              <w:left w:val="nil"/>
              <w:bottom w:val="single" w:sz="4" w:space="0" w:color="auto"/>
              <w:right w:val="single" w:sz="4" w:space="0" w:color="auto"/>
            </w:tcBorders>
            <w:shd w:val="clear" w:color="auto" w:fill="C6EFCE"/>
            <w:noWrap/>
          </w:tcPr>
          <w:p w14:paraId="212DB947" w14:textId="77777777" w:rsidR="002B1133" w:rsidRPr="000A27B3" w:rsidRDefault="002B1133">
            <w:pPr>
              <w:spacing w:after="0" w:line="240" w:lineRule="auto"/>
              <w:jc w:val="center"/>
              <w:rPr>
                <w:rFonts w:ascii="Times New Roman" w:eastAsia="Times New Roman" w:hAnsi="Times New Roman" w:cs="Times New Roman"/>
                <w:b/>
                <w:noProof/>
                <w:sz w:val="24"/>
              </w:rPr>
            </w:pPr>
            <w:r>
              <w:rPr>
                <w:rFonts w:ascii="Times New Roman" w:hAnsi="Times New Roman"/>
                <w:noProof/>
                <w:sz w:val="24"/>
              </w:rPr>
              <w:t>2023</w:t>
            </w:r>
          </w:p>
        </w:tc>
        <w:tc>
          <w:tcPr>
            <w:tcW w:w="3617" w:type="dxa"/>
            <w:tcBorders>
              <w:top w:val="single" w:sz="4" w:space="0" w:color="auto"/>
              <w:left w:val="nil"/>
              <w:bottom w:val="single" w:sz="4" w:space="0" w:color="auto"/>
              <w:right w:val="single" w:sz="4" w:space="0" w:color="auto"/>
            </w:tcBorders>
            <w:shd w:val="clear" w:color="auto" w:fill="C6EFCE"/>
            <w:noWrap/>
          </w:tcPr>
          <w:p w14:paraId="7229909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909 unități de învățământ profesional și tehnic dotate cu laboratoare de practică funcționale.</w:t>
            </w:r>
          </w:p>
          <w:p w14:paraId="3F9DBD3D" w14:textId="456BEC60"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 Autoritățile locale vor lansa, prin consiliile județene și primării, scheme de sprijin cu scopul de a echipa atelierele școlare din cadrul unităților de învățământ profesional și tehnic, inclusiv al unităților de formare duală, cu excepția celor cu profil agricol. Prin intermediul schemei de finanțare, fiecare unitate de învățământ profesional și tehnic vor beneficia de un grant în valoare de maximum 100 000 EUR pentru a echipa atelierele de practică în funcție de specializarea lor și de nevoile lor concrete.</w:t>
            </w:r>
          </w:p>
          <w:p w14:paraId="21719DB6" w14:textId="77777777" w:rsidR="002B1133" w:rsidRPr="000A27B3" w:rsidRDefault="002B1133">
            <w:pPr>
              <w:spacing w:after="0" w:line="240" w:lineRule="auto"/>
              <w:jc w:val="both"/>
              <w:rPr>
                <w:rFonts w:ascii="Times New Roman" w:eastAsia="Times New Roman" w:hAnsi="Times New Roman" w:cs="Times New Roman"/>
                <w:b/>
                <w:noProof/>
                <w:sz w:val="24"/>
              </w:rPr>
            </w:pPr>
            <w:r>
              <w:rPr>
                <w:rFonts w:ascii="Times New Roman" w:hAnsi="Times New Roman"/>
                <w:noProof/>
                <w:sz w:val="24"/>
              </w:rPr>
              <w:t xml:space="preserve">O sumă de 30 de milioane EUR din investiție este dedicată echipării atelierelor cu echipamente digitale (simulatoare). </w:t>
            </w:r>
          </w:p>
        </w:tc>
      </w:tr>
      <w:tr w:rsidR="000A27B3" w:rsidRPr="000A27B3" w14:paraId="7937AA72"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2F40616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498</w:t>
            </w:r>
          </w:p>
        </w:tc>
        <w:tc>
          <w:tcPr>
            <w:tcW w:w="1795" w:type="dxa"/>
            <w:tcBorders>
              <w:top w:val="single" w:sz="4" w:space="0" w:color="auto"/>
              <w:left w:val="nil"/>
              <w:bottom w:val="single" w:sz="4" w:space="0" w:color="auto"/>
              <w:right w:val="single" w:sz="4" w:space="0" w:color="auto"/>
            </w:tcBorders>
            <w:shd w:val="clear" w:color="auto" w:fill="C6EFCE"/>
            <w:noWrap/>
          </w:tcPr>
          <w:p w14:paraId="53E6A575" w14:textId="05CE93F8"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15. Școala online: Dezvoltarea platformei de evaluare și realizarea de conținut</w:t>
            </w:r>
          </w:p>
        </w:tc>
        <w:tc>
          <w:tcPr>
            <w:tcW w:w="796" w:type="dxa"/>
            <w:tcBorders>
              <w:top w:val="single" w:sz="4" w:space="0" w:color="auto"/>
              <w:left w:val="nil"/>
              <w:bottom w:val="single" w:sz="4" w:space="0" w:color="auto"/>
              <w:right w:val="single" w:sz="4" w:space="0" w:color="auto"/>
            </w:tcBorders>
            <w:shd w:val="clear" w:color="auto" w:fill="C6EFCE"/>
            <w:noWrap/>
          </w:tcPr>
          <w:p w14:paraId="526653F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68" w:type="dxa"/>
            <w:tcBorders>
              <w:top w:val="single" w:sz="4" w:space="0" w:color="auto"/>
              <w:left w:val="nil"/>
              <w:bottom w:val="single" w:sz="4" w:space="0" w:color="auto"/>
              <w:right w:val="single" w:sz="4" w:space="0" w:color="auto"/>
            </w:tcBorders>
            <w:shd w:val="clear" w:color="auto" w:fill="C6EFCE"/>
            <w:noWrap/>
          </w:tcPr>
          <w:p w14:paraId="3AAF279B"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Platforma electronică de evaluare online a elevilor este operațională</w:t>
            </w:r>
          </w:p>
        </w:tc>
        <w:tc>
          <w:tcPr>
            <w:tcW w:w="1383" w:type="dxa"/>
            <w:tcBorders>
              <w:top w:val="single" w:sz="4" w:space="0" w:color="auto"/>
              <w:left w:val="nil"/>
              <w:bottom w:val="single" w:sz="4" w:space="0" w:color="auto"/>
              <w:right w:val="single" w:sz="4" w:space="0" w:color="auto"/>
            </w:tcBorders>
            <w:shd w:val="clear" w:color="auto" w:fill="C6EFCE"/>
            <w:noWrap/>
          </w:tcPr>
          <w:p w14:paraId="6C8F441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Platforma electronică pentru evaluarea în condiții de siguranță a competențelor elevilor este operațională și utilizată pentru evaluarea tuturor elevilor (cu excepția elevilor EFP)</w:t>
            </w:r>
          </w:p>
        </w:tc>
        <w:tc>
          <w:tcPr>
            <w:tcW w:w="968" w:type="dxa"/>
            <w:tcBorders>
              <w:top w:val="single" w:sz="4" w:space="0" w:color="auto"/>
              <w:left w:val="nil"/>
              <w:bottom w:val="single" w:sz="4" w:space="0" w:color="auto"/>
              <w:right w:val="single" w:sz="4" w:space="0" w:color="auto"/>
            </w:tcBorders>
            <w:shd w:val="clear" w:color="auto" w:fill="C6EFCE"/>
            <w:noWrap/>
          </w:tcPr>
          <w:p w14:paraId="4F341DF1" w14:textId="77777777" w:rsidR="002B1133" w:rsidRPr="009F1DC7" w:rsidRDefault="002B1133">
            <w:pPr>
              <w:spacing w:after="0" w:line="240" w:lineRule="auto"/>
              <w:jc w:val="center"/>
              <w:rPr>
                <w:rFonts w:ascii="Times New Roman" w:hAnsi="Times New Roman" w:cs="Times New Roman"/>
                <w:noProof/>
                <w:sz w:val="24"/>
                <w:szCs w:val="24"/>
              </w:rPr>
            </w:pPr>
          </w:p>
        </w:tc>
        <w:tc>
          <w:tcPr>
            <w:tcW w:w="1081" w:type="dxa"/>
            <w:tcBorders>
              <w:top w:val="single" w:sz="4" w:space="0" w:color="auto"/>
              <w:left w:val="nil"/>
              <w:bottom w:val="single" w:sz="4" w:space="0" w:color="auto"/>
              <w:right w:val="single" w:sz="4" w:space="0" w:color="auto"/>
            </w:tcBorders>
            <w:shd w:val="clear" w:color="auto" w:fill="C6EFCE"/>
            <w:noWrap/>
          </w:tcPr>
          <w:p w14:paraId="1D6D7C7F" w14:textId="77777777" w:rsidR="002B1133" w:rsidRPr="009F1DC7" w:rsidRDefault="002B1133">
            <w:pPr>
              <w:spacing w:after="0" w:line="240" w:lineRule="auto"/>
              <w:jc w:val="center"/>
              <w:rPr>
                <w:rFonts w:ascii="Times New Roman" w:hAnsi="Times New Roman" w:cs="Times New Roman"/>
                <w:noProof/>
                <w:sz w:val="24"/>
                <w:szCs w:val="24"/>
              </w:rPr>
            </w:pPr>
          </w:p>
        </w:tc>
        <w:tc>
          <w:tcPr>
            <w:tcW w:w="1100" w:type="dxa"/>
            <w:tcBorders>
              <w:top w:val="single" w:sz="4" w:space="0" w:color="auto"/>
              <w:left w:val="nil"/>
              <w:bottom w:val="single" w:sz="4" w:space="0" w:color="auto"/>
              <w:right w:val="single" w:sz="4" w:space="0" w:color="auto"/>
            </w:tcBorders>
            <w:shd w:val="clear" w:color="auto" w:fill="C6EFCE"/>
            <w:noWrap/>
          </w:tcPr>
          <w:p w14:paraId="0C4DD4BA" w14:textId="77777777" w:rsidR="002B1133" w:rsidRPr="009F1DC7" w:rsidRDefault="002B1133">
            <w:pPr>
              <w:spacing w:after="0" w:line="240" w:lineRule="auto"/>
              <w:jc w:val="center"/>
              <w:rPr>
                <w:rFonts w:ascii="Times New Roman" w:hAnsi="Times New Roman" w:cs="Times New Roman"/>
                <w:noProof/>
                <w:sz w:val="24"/>
                <w:szCs w:val="24"/>
              </w:rPr>
            </w:pPr>
          </w:p>
        </w:tc>
        <w:tc>
          <w:tcPr>
            <w:tcW w:w="1124" w:type="dxa"/>
            <w:tcBorders>
              <w:top w:val="single" w:sz="4" w:space="0" w:color="auto"/>
              <w:left w:val="nil"/>
              <w:bottom w:val="single" w:sz="4" w:space="0" w:color="auto"/>
              <w:right w:val="single" w:sz="4" w:space="0" w:color="auto"/>
            </w:tcBorders>
            <w:shd w:val="clear" w:color="auto" w:fill="C6EFCE"/>
            <w:noWrap/>
          </w:tcPr>
          <w:p w14:paraId="20E6AD14" w14:textId="5857F4BE" w:rsidR="002B1133" w:rsidRPr="00F639F3" w:rsidRDefault="002B1133">
            <w:pPr>
              <w:spacing w:after="0" w:line="240" w:lineRule="auto"/>
              <w:jc w:val="center"/>
              <w:rPr>
                <w:rFonts w:ascii="Times New Roman" w:hAnsi="Times New Roman"/>
                <w:noProof/>
                <w:sz w:val="24"/>
              </w:rPr>
            </w:pPr>
            <w:r>
              <w:rPr>
                <w:rFonts w:ascii="Times New Roman" w:hAnsi="Times New Roman"/>
                <w:noProof/>
                <w:sz w:val="24"/>
              </w:rPr>
              <w:t>T3</w:t>
            </w:r>
          </w:p>
        </w:tc>
        <w:tc>
          <w:tcPr>
            <w:tcW w:w="896" w:type="dxa"/>
            <w:tcBorders>
              <w:top w:val="single" w:sz="4" w:space="0" w:color="auto"/>
              <w:left w:val="nil"/>
              <w:bottom w:val="single" w:sz="4" w:space="0" w:color="auto"/>
              <w:right w:val="single" w:sz="4" w:space="0" w:color="auto"/>
            </w:tcBorders>
            <w:shd w:val="clear" w:color="auto" w:fill="C6EFCE"/>
            <w:noWrap/>
          </w:tcPr>
          <w:p w14:paraId="4C8A9302" w14:textId="4154FD02"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617" w:type="dxa"/>
            <w:tcBorders>
              <w:top w:val="single" w:sz="4" w:space="0" w:color="auto"/>
              <w:left w:val="nil"/>
              <w:bottom w:val="single" w:sz="4" w:space="0" w:color="auto"/>
              <w:right w:val="single" w:sz="4" w:space="0" w:color="auto"/>
            </w:tcBorders>
            <w:shd w:val="clear" w:color="auto" w:fill="C6EFCE"/>
            <w:noWrap/>
          </w:tcPr>
          <w:p w14:paraId="7B369D2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Platforma electronică de evaluare online a elevilor va fi operațională. La dezvoltarea platformei se va lua în considerare numărul mediu de articole din orice clasă de materii, produse științifice (în cazul în care sunt necesare competențe psihometrice) și softuri (elaborate în conformitate cu analiza nevoilor științifice și cu programul științific elaborat de experți în acest domeniu - testarea curriculumului, competențe). Softurile vor include, de asemenea, o aplicație client mobilă (pentru studenți și cadrele didactice), precum și funcții de supraveghere online.</w:t>
            </w:r>
          </w:p>
        </w:tc>
      </w:tr>
      <w:tr w:rsidR="000A27B3" w:rsidRPr="000A27B3" w14:paraId="248DA61E"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6792CA21"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499</w:t>
            </w:r>
          </w:p>
        </w:tc>
        <w:tc>
          <w:tcPr>
            <w:tcW w:w="1795" w:type="dxa"/>
            <w:tcBorders>
              <w:top w:val="single" w:sz="4" w:space="0" w:color="auto"/>
              <w:left w:val="nil"/>
              <w:bottom w:val="single" w:sz="4" w:space="0" w:color="auto"/>
              <w:right w:val="single" w:sz="4" w:space="0" w:color="auto"/>
            </w:tcBorders>
            <w:shd w:val="clear" w:color="auto" w:fill="C6EFCE"/>
            <w:noWrap/>
          </w:tcPr>
          <w:p w14:paraId="0561316E"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15. Școala online: Dezvoltarea platformei de evaluare și realizarea de conținut</w:t>
            </w:r>
          </w:p>
        </w:tc>
        <w:tc>
          <w:tcPr>
            <w:tcW w:w="796" w:type="dxa"/>
            <w:tcBorders>
              <w:top w:val="single" w:sz="4" w:space="0" w:color="auto"/>
              <w:left w:val="nil"/>
              <w:bottom w:val="single" w:sz="4" w:space="0" w:color="auto"/>
              <w:right w:val="single" w:sz="4" w:space="0" w:color="auto"/>
            </w:tcBorders>
            <w:shd w:val="clear" w:color="auto" w:fill="C6EFCE"/>
            <w:noWrap/>
          </w:tcPr>
          <w:p w14:paraId="7CB1E97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5056E71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Dezvoltarea resurselor educaționale deschise (materiale didactice)</w:t>
            </w:r>
          </w:p>
        </w:tc>
        <w:tc>
          <w:tcPr>
            <w:tcW w:w="1383" w:type="dxa"/>
            <w:tcBorders>
              <w:top w:val="single" w:sz="4" w:space="0" w:color="auto"/>
              <w:left w:val="nil"/>
              <w:bottom w:val="single" w:sz="4" w:space="0" w:color="auto"/>
              <w:right w:val="single" w:sz="4" w:space="0" w:color="auto"/>
            </w:tcBorders>
            <w:shd w:val="clear" w:color="auto" w:fill="C6EFCE"/>
            <w:noWrap/>
          </w:tcPr>
          <w:p w14:paraId="30EBCA8D" w14:textId="77777777" w:rsidR="002B1133" w:rsidRPr="000A27B3" w:rsidRDefault="002B1133">
            <w:pPr>
              <w:spacing w:after="0" w:line="240" w:lineRule="auto"/>
              <w:jc w:val="center"/>
              <w:rPr>
                <w:rFonts w:ascii="Times New Roman" w:hAnsi="Times New Roman" w:cs="Times New Roman"/>
                <w:noProof/>
                <w:sz w:val="24"/>
                <w:szCs w:val="24"/>
                <w:lang w:val="en-GB"/>
              </w:rPr>
            </w:pPr>
          </w:p>
        </w:tc>
        <w:tc>
          <w:tcPr>
            <w:tcW w:w="968" w:type="dxa"/>
            <w:tcBorders>
              <w:top w:val="single" w:sz="4" w:space="0" w:color="auto"/>
              <w:left w:val="nil"/>
              <w:bottom w:val="single" w:sz="4" w:space="0" w:color="auto"/>
              <w:right w:val="single" w:sz="4" w:space="0" w:color="auto"/>
            </w:tcBorders>
            <w:shd w:val="clear" w:color="auto" w:fill="C6EFCE"/>
            <w:noWrap/>
          </w:tcPr>
          <w:p w14:paraId="60C6465B"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318607A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7DE11990"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67 000</w:t>
            </w:r>
          </w:p>
        </w:tc>
        <w:tc>
          <w:tcPr>
            <w:tcW w:w="1124" w:type="dxa"/>
            <w:tcBorders>
              <w:top w:val="single" w:sz="4" w:space="0" w:color="auto"/>
              <w:left w:val="nil"/>
              <w:bottom w:val="single" w:sz="4" w:space="0" w:color="auto"/>
              <w:right w:val="single" w:sz="4" w:space="0" w:color="auto"/>
            </w:tcBorders>
            <w:shd w:val="clear" w:color="auto" w:fill="C6EFCE"/>
            <w:noWrap/>
          </w:tcPr>
          <w:p w14:paraId="3F9E9F7A"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896" w:type="dxa"/>
            <w:tcBorders>
              <w:top w:val="single" w:sz="4" w:space="0" w:color="auto"/>
              <w:left w:val="nil"/>
              <w:bottom w:val="single" w:sz="4" w:space="0" w:color="auto"/>
              <w:right w:val="single" w:sz="4" w:space="0" w:color="auto"/>
            </w:tcBorders>
            <w:shd w:val="clear" w:color="auto" w:fill="C6EFCE"/>
            <w:noWrap/>
          </w:tcPr>
          <w:p w14:paraId="4358D008"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617" w:type="dxa"/>
            <w:tcBorders>
              <w:top w:val="single" w:sz="4" w:space="0" w:color="auto"/>
              <w:left w:val="nil"/>
              <w:bottom w:val="single" w:sz="4" w:space="0" w:color="auto"/>
              <w:right w:val="single" w:sz="4" w:space="0" w:color="auto"/>
            </w:tcBorders>
            <w:shd w:val="clear" w:color="auto" w:fill="C6EFCE"/>
            <w:noWrap/>
          </w:tcPr>
          <w:p w14:paraId="41318C0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Un număr de 67 000 de resurse educaționale deschise (materiale didactice) dezvoltate. </w:t>
            </w:r>
          </w:p>
          <w:p w14:paraId="24D619E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Dezvoltarea resurselor educaționale deschise se va axa pe: i) extinderea actualei platforme a manualelor digitale prin adăugarea de auxiliare didactice pentru toate disciplinele și pentru toate clasele de gimnaziu, ii) crearea de conținut educațional digital pentru trei niveluri diferite de aprofundare diferențiată a cunoașterii (remedială, accesibilă, performanță), iii) dezvoltarea de resurse educaționale incluzive pentru elevii cu dizabilități, sportivi, elevii spitalizați.</w:t>
            </w:r>
          </w:p>
          <w:p w14:paraId="44AC643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Resursele educaționale deschise legate de această investiție vor fi dezvoltate de profesioniști cu experiență, iar cele din cadrul investiției I8 sunt experimentale, făcând parte din evaluarea finală a cadrelor didactice care participă la program. </w:t>
            </w:r>
          </w:p>
        </w:tc>
      </w:tr>
      <w:tr w:rsidR="000A27B3" w:rsidRPr="000A27B3" w14:paraId="1342617B"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692A8458"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500</w:t>
            </w:r>
          </w:p>
        </w:tc>
        <w:tc>
          <w:tcPr>
            <w:tcW w:w="1795" w:type="dxa"/>
            <w:tcBorders>
              <w:top w:val="single" w:sz="4" w:space="0" w:color="auto"/>
              <w:left w:val="nil"/>
              <w:bottom w:val="single" w:sz="4" w:space="0" w:color="auto"/>
              <w:right w:val="single" w:sz="4" w:space="0" w:color="auto"/>
            </w:tcBorders>
            <w:shd w:val="clear" w:color="auto" w:fill="C6EFCE"/>
            <w:noWrap/>
          </w:tcPr>
          <w:p w14:paraId="1F240DB2"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16. Digitalizarea universităților și pregătirea acestora pentru profesiile digitale ale viitorului</w:t>
            </w:r>
          </w:p>
        </w:tc>
        <w:tc>
          <w:tcPr>
            <w:tcW w:w="796" w:type="dxa"/>
            <w:tcBorders>
              <w:top w:val="single" w:sz="4" w:space="0" w:color="auto"/>
              <w:left w:val="nil"/>
              <w:bottom w:val="single" w:sz="4" w:space="0" w:color="auto"/>
              <w:right w:val="single" w:sz="4" w:space="0" w:color="auto"/>
            </w:tcBorders>
            <w:shd w:val="clear" w:color="auto" w:fill="C6EFCE"/>
            <w:noWrap/>
          </w:tcPr>
          <w:p w14:paraId="452E247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Jalon</w:t>
            </w:r>
          </w:p>
        </w:tc>
        <w:tc>
          <w:tcPr>
            <w:tcW w:w="1968" w:type="dxa"/>
            <w:tcBorders>
              <w:top w:val="single" w:sz="4" w:space="0" w:color="auto"/>
              <w:left w:val="nil"/>
              <w:bottom w:val="single" w:sz="4" w:space="0" w:color="auto"/>
              <w:right w:val="single" w:sz="4" w:space="0" w:color="auto"/>
            </w:tcBorders>
            <w:shd w:val="clear" w:color="auto" w:fill="C6EFCE"/>
            <w:noWrap/>
          </w:tcPr>
          <w:p w14:paraId="1639583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de granturi destinate centrelor tehnologice inovatoare din universități</w:t>
            </w:r>
          </w:p>
        </w:tc>
        <w:tc>
          <w:tcPr>
            <w:tcW w:w="1383" w:type="dxa"/>
            <w:tcBorders>
              <w:top w:val="single" w:sz="4" w:space="0" w:color="auto"/>
              <w:left w:val="nil"/>
              <w:bottom w:val="single" w:sz="4" w:space="0" w:color="auto"/>
              <w:right w:val="single" w:sz="4" w:space="0" w:color="auto"/>
            </w:tcBorders>
            <w:shd w:val="clear" w:color="auto" w:fill="C6EFCE"/>
            <w:noWrap/>
          </w:tcPr>
          <w:p w14:paraId="30FA53A1"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Semnarea contractelor</w:t>
            </w:r>
          </w:p>
        </w:tc>
        <w:tc>
          <w:tcPr>
            <w:tcW w:w="968" w:type="dxa"/>
            <w:tcBorders>
              <w:top w:val="single" w:sz="4" w:space="0" w:color="auto"/>
              <w:left w:val="nil"/>
              <w:bottom w:val="single" w:sz="4" w:space="0" w:color="auto"/>
              <w:right w:val="single" w:sz="4" w:space="0" w:color="auto"/>
            </w:tcBorders>
            <w:shd w:val="clear" w:color="auto" w:fill="C6EFCE"/>
            <w:noWrap/>
          </w:tcPr>
          <w:p w14:paraId="0E6727ED" w14:textId="77777777" w:rsidR="002B1133" w:rsidRPr="000A27B3" w:rsidRDefault="002B1133">
            <w:pPr>
              <w:spacing w:after="0" w:line="240" w:lineRule="auto"/>
              <w:jc w:val="center"/>
              <w:rPr>
                <w:rFonts w:ascii="Times New Roman" w:hAnsi="Times New Roman" w:cs="Times New Roman"/>
                <w:noProof/>
                <w:sz w:val="24"/>
                <w:szCs w:val="24"/>
                <w:lang w:val="en-GB"/>
              </w:rPr>
            </w:pPr>
          </w:p>
        </w:tc>
        <w:tc>
          <w:tcPr>
            <w:tcW w:w="1081" w:type="dxa"/>
            <w:tcBorders>
              <w:top w:val="single" w:sz="4" w:space="0" w:color="auto"/>
              <w:left w:val="nil"/>
              <w:bottom w:val="single" w:sz="4" w:space="0" w:color="auto"/>
              <w:right w:val="single" w:sz="4" w:space="0" w:color="auto"/>
            </w:tcBorders>
            <w:shd w:val="clear" w:color="auto" w:fill="C6EFCE"/>
            <w:noWrap/>
          </w:tcPr>
          <w:p w14:paraId="267359CF" w14:textId="77777777" w:rsidR="002B1133" w:rsidRPr="000A27B3" w:rsidRDefault="002B1133">
            <w:pPr>
              <w:spacing w:after="0" w:line="240" w:lineRule="auto"/>
              <w:jc w:val="center"/>
              <w:rPr>
                <w:rFonts w:ascii="Times New Roman" w:hAnsi="Times New Roman" w:cs="Times New Roman"/>
                <w:noProof/>
                <w:sz w:val="24"/>
                <w:szCs w:val="24"/>
                <w:lang w:val="en-GB"/>
              </w:rPr>
            </w:pPr>
          </w:p>
        </w:tc>
        <w:tc>
          <w:tcPr>
            <w:tcW w:w="1100" w:type="dxa"/>
            <w:tcBorders>
              <w:top w:val="single" w:sz="4" w:space="0" w:color="auto"/>
              <w:left w:val="nil"/>
              <w:bottom w:val="single" w:sz="4" w:space="0" w:color="auto"/>
              <w:right w:val="single" w:sz="4" w:space="0" w:color="auto"/>
            </w:tcBorders>
            <w:shd w:val="clear" w:color="auto" w:fill="C6EFCE"/>
            <w:noWrap/>
          </w:tcPr>
          <w:p w14:paraId="32492235" w14:textId="77777777" w:rsidR="002B1133" w:rsidRPr="000A27B3" w:rsidRDefault="002B1133">
            <w:pPr>
              <w:spacing w:after="0" w:line="240" w:lineRule="auto"/>
              <w:jc w:val="center"/>
              <w:rPr>
                <w:rFonts w:ascii="Times New Roman" w:hAnsi="Times New Roman" w:cs="Times New Roman"/>
                <w:noProof/>
                <w:sz w:val="24"/>
                <w:szCs w:val="24"/>
                <w:lang w:val="en-GB"/>
              </w:rPr>
            </w:pPr>
          </w:p>
        </w:tc>
        <w:tc>
          <w:tcPr>
            <w:tcW w:w="1124" w:type="dxa"/>
            <w:tcBorders>
              <w:top w:val="single" w:sz="4" w:space="0" w:color="auto"/>
              <w:left w:val="nil"/>
              <w:bottom w:val="single" w:sz="4" w:space="0" w:color="auto"/>
              <w:right w:val="single" w:sz="4" w:space="0" w:color="auto"/>
            </w:tcBorders>
            <w:shd w:val="clear" w:color="auto" w:fill="C6EFCE"/>
            <w:noWrap/>
          </w:tcPr>
          <w:p w14:paraId="3AB21416"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T2</w:t>
            </w:r>
          </w:p>
        </w:tc>
        <w:tc>
          <w:tcPr>
            <w:tcW w:w="896" w:type="dxa"/>
            <w:tcBorders>
              <w:top w:val="single" w:sz="4" w:space="0" w:color="auto"/>
              <w:left w:val="nil"/>
              <w:bottom w:val="single" w:sz="4" w:space="0" w:color="auto"/>
              <w:right w:val="single" w:sz="4" w:space="0" w:color="auto"/>
            </w:tcBorders>
            <w:shd w:val="clear" w:color="auto" w:fill="C6EFCE"/>
            <w:noWrap/>
          </w:tcPr>
          <w:p w14:paraId="5CB958B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2022</w:t>
            </w:r>
          </w:p>
        </w:tc>
        <w:tc>
          <w:tcPr>
            <w:tcW w:w="3617" w:type="dxa"/>
            <w:tcBorders>
              <w:top w:val="single" w:sz="4" w:space="0" w:color="auto"/>
              <w:left w:val="nil"/>
              <w:bottom w:val="single" w:sz="4" w:space="0" w:color="auto"/>
              <w:right w:val="single" w:sz="4" w:space="0" w:color="auto"/>
            </w:tcBorders>
            <w:shd w:val="clear" w:color="auto" w:fill="C6EFCE"/>
            <w:noWrap/>
          </w:tcPr>
          <w:p w14:paraId="4D8E7F89" w14:textId="5C4A4B2B"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Semnarea contractelor pentru granturi destinate unui număr de 60</w:t>
            </w:r>
            <w:r w:rsidR="00B479F4">
              <w:rPr>
                <w:rFonts w:ascii="Times New Roman" w:hAnsi="Times New Roman"/>
                <w:noProof/>
                <w:sz w:val="24"/>
              </w:rPr>
              <w:t> </w:t>
            </w:r>
            <w:r>
              <w:rPr>
                <w:rFonts w:ascii="Times New Roman" w:hAnsi="Times New Roman"/>
                <w:noProof/>
                <w:sz w:val="24"/>
              </w:rPr>
              <w:t>universități pentru finanțarea unor măsuri integrate menite să îmbunătățească infrastructura digitală și să dezvolte competențele studenților și ale cadrelor didactice universitare:</w:t>
            </w:r>
          </w:p>
          <w:p w14:paraId="6EBF970A" w14:textId="77777777" w:rsidR="002B1133" w:rsidRPr="000A27B3" w:rsidRDefault="002B1133" w:rsidP="002B1133">
            <w:pPr>
              <w:numPr>
                <w:ilvl w:val="0"/>
                <w:numId w:val="120"/>
              </w:numPr>
              <w:spacing w:before="120" w:after="0" w:line="240" w:lineRule="auto"/>
              <w:ind w:left="262" w:hanging="218"/>
              <w:contextualSpacing/>
              <w:jc w:val="both"/>
              <w:rPr>
                <w:rFonts w:ascii="Times New Roman" w:hAnsi="Times New Roman" w:cs="Times New Roman"/>
                <w:noProof/>
                <w:sz w:val="24"/>
                <w:szCs w:val="24"/>
              </w:rPr>
            </w:pPr>
            <w:r>
              <w:rPr>
                <w:rFonts w:ascii="Times New Roman" w:hAnsi="Times New Roman"/>
                <w:noProof/>
                <w:sz w:val="24"/>
              </w:rPr>
              <w:t xml:space="preserve">operaționalizarea centrelor digitale universitare; </w:t>
            </w:r>
          </w:p>
          <w:p w14:paraId="47124688" w14:textId="77777777" w:rsidR="002B1133" w:rsidRPr="000A27B3" w:rsidRDefault="002B1133" w:rsidP="002B1133">
            <w:pPr>
              <w:numPr>
                <w:ilvl w:val="0"/>
                <w:numId w:val="120"/>
              </w:numPr>
              <w:spacing w:before="120" w:after="0" w:line="240" w:lineRule="auto"/>
              <w:ind w:left="262" w:hanging="218"/>
              <w:contextualSpacing/>
              <w:jc w:val="both"/>
              <w:rPr>
                <w:rFonts w:ascii="Times New Roman" w:hAnsi="Times New Roman" w:cs="Times New Roman"/>
                <w:noProof/>
                <w:sz w:val="24"/>
                <w:szCs w:val="24"/>
              </w:rPr>
            </w:pPr>
            <w:r>
              <w:rPr>
                <w:rFonts w:ascii="Times New Roman" w:hAnsi="Times New Roman"/>
                <w:noProof/>
                <w:sz w:val="24"/>
              </w:rPr>
              <w:t xml:space="preserve">programe de formare în domeniul competențelor digitale; </w:t>
            </w:r>
          </w:p>
          <w:p w14:paraId="23289877" w14:textId="77777777" w:rsidR="002B1133" w:rsidRPr="000A27B3" w:rsidRDefault="002B1133" w:rsidP="002B1133">
            <w:pPr>
              <w:numPr>
                <w:ilvl w:val="0"/>
                <w:numId w:val="120"/>
              </w:numPr>
              <w:spacing w:before="120" w:after="0" w:line="240" w:lineRule="auto"/>
              <w:ind w:left="262" w:hanging="218"/>
              <w:contextualSpacing/>
              <w:jc w:val="both"/>
              <w:rPr>
                <w:rFonts w:ascii="Times New Roman" w:hAnsi="Times New Roman" w:cs="Times New Roman"/>
                <w:noProof/>
                <w:sz w:val="24"/>
                <w:szCs w:val="24"/>
              </w:rPr>
            </w:pPr>
            <w:r>
              <w:rPr>
                <w:rFonts w:ascii="Times New Roman" w:hAnsi="Times New Roman"/>
                <w:noProof/>
                <w:sz w:val="24"/>
              </w:rPr>
              <w:t xml:space="preserve">dezvoltarea competențelor antreprenoriale ale studenților pentru sectorul digital; </w:t>
            </w:r>
          </w:p>
          <w:p w14:paraId="676DC487" w14:textId="77777777" w:rsidR="002B1133" w:rsidRPr="000A27B3" w:rsidRDefault="002B1133" w:rsidP="002B1133">
            <w:pPr>
              <w:numPr>
                <w:ilvl w:val="0"/>
                <w:numId w:val="120"/>
              </w:numPr>
              <w:spacing w:before="120" w:after="0" w:line="240" w:lineRule="auto"/>
              <w:ind w:left="262" w:hanging="218"/>
              <w:contextualSpacing/>
              <w:jc w:val="both"/>
              <w:rPr>
                <w:rFonts w:ascii="Times New Roman" w:hAnsi="Times New Roman" w:cs="Times New Roman"/>
                <w:noProof/>
                <w:sz w:val="24"/>
                <w:szCs w:val="24"/>
              </w:rPr>
            </w:pPr>
            <w:r>
              <w:rPr>
                <w:rFonts w:ascii="Times New Roman" w:hAnsi="Times New Roman"/>
                <w:noProof/>
                <w:sz w:val="24"/>
              </w:rPr>
              <w:t xml:space="preserve">programe de orientare profesională pentru studenți în vederea alegerii ocupațiilor TIC emergente; </w:t>
            </w:r>
          </w:p>
          <w:p w14:paraId="79194AD4" w14:textId="77777777" w:rsidR="002B1133" w:rsidRPr="000A27B3" w:rsidRDefault="002B1133" w:rsidP="002B1133">
            <w:pPr>
              <w:numPr>
                <w:ilvl w:val="0"/>
                <w:numId w:val="120"/>
              </w:numPr>
              <w:spacing w:before="120" w:after="0" w:line="240" w:lineRule="auto"/>
              <w:ind w:left="262" w:hanging="218"/>
              <w:contextualSpacing/>
              <w:jc w:val="both"/>
              <w:rPr>
                <w:rFonts w:ascii="Times New Roman" w:hAnsi="Times New Roman" w:cs="Times New Roman"/>
                <w:noProof/>
                <w:sz w:val="24"/>
                <w:szCs w:val="24"/>
              </w:rPr>
            </w:pPr>
            <w:r>
              <w:rPr>
                <w:rFonts w:ascii="Times New Roman" w:hAnsi="Times New Roman"/>
                <w:noProof/>
                <w:sz w:val="24"/>
              </w:rPr>
              <w:t>programe de formare a noilor competențe de predare/evaluare în sistem hibrid;</w:t>
            </w:r>
          </w:p>
          <w:p w14:paraId="5A589469"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dezvoltarea competențelor digitale avansate pentru 1 000 de studenți la nivel universitar și de masterat. </w:t>
            </w:r>
          </w:p>
        </w:tc>
      </w:tr>
      <w:tr w:rsidR="000A27B3" w:rsidRPr="000A27B3" w14:paraId="0573B0D1"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54DB5336"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502</w:t>
            </w:r>
          </w:p>
        </w:tc>
        <w:tc>
          <w:tcPr>
            <w:tcW w:w="1795" w:type="dxa"/>
            <w:tcBorders>
              <w:top w:val="single" w:sz="4" w:space="0" w:color="auto"/>
              <w:left w:val="nil"/>
              <w:bottom w:val="single" w:sz="4" w:space="0" w:color="auto"/>
              <w:right w:val="single" w:sz="4" w:space="0" w:color="auto"/>
            </w:tcBorders>
            <w:shd w:val="clear" w:color="auto" w:fill="C6EFCE"/>
            <w:noWrap/>
          </w:tcPr>
          <w:p w14:paraId="7D140EC9"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Investiția 16. Digitalizarea universităților și pregătirea acestora pentru profesiile digitale ale viitorului</w:t>
            </w:r>
          </w:p>
        </w:tc>
        <w:tc>
          <w:tcPr>
            <w:tcW w:w="796" w:type="dxa"/>
            <w:tcBorders>
              <w:top w:val="single" w:sz="4" w:space="0" w:color="auto"/>
              <w:left w:val="nil"/>
              <w:bottom w:val="single" w:sz="4" w:space="0" w:color="auto"/>
              <w:right w:val="single" w:sz="4" w:space="0" w:color="auto"/>
            </w:tcBorders>
            <w:shd w:val="clear" w:color="auto" w:fill="C6EFCE"/>
            <w:noWrap/>
          </w:tcPr>
          <w:p w14:paraId="058842DD"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5779C5EA"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 xml:space="preserve">Numărul de universități sprijinite cu noi centre tehnologice inovatoare pentru crearea noilor abilități ale viitorului </w:t>
            </w:r>
          </w:p>
        </w:tc>
        <w:tc>
          <w:tcPr>
            <w:tcW w:w="1383" w:type="dxa"/>
            <w:tcBorders>
              <w:top w:val="single" w:sz="4" w:space="0" w:color="auto"/>
              <w:left w:val="nil"/>
              <w:bottom w:val="single" w:sz="4" w:space="0" w:color="auto"/>
              <w:right w:val="single" w:sz="4" w:space="0" w:color="auto"/>
            </w:tcBorders>
            <w:shd w:val="clear" w:color="auto" w:fill="C6EFCE"/>
            <w:noWrap/>
          </w:tcPr>
          <w:p w14:paraId="75AA9399" w14:textId="77777777" w:rsidR="002B1133" w:rsidRPr="009F1DC7" w:rsidRDefault="002B1133">
            <w:pPr>
              <w:spacing w:after="0" w:line="240" w:lineRule="auto"/>
              <w:jc w:val="center"/>
              <w:rPr>
                <w:rFonts w:ascii="Times New Roman" w:hAnsi="Times New Roman" w:cs="Times New Roman"/>
                <w:noProof/>
                <w:sz w:val="24"/>
                <w:szCs w:val="24"/>
                <w:lang w:val="fr-FR"/>
              </w:rPr>
            </w:pPr>
          </w:p>
        </w:tc>
        <w:tc>
          <w:tcPr>
            <w:tcW w:w="968" w:type="dxa"/>
            <w:tcBorders>
              <w:top w:val="single" w:sz="4" w:space="0" w:color="auto"/>
              <w:left w:val="nil"/>
              <w:bottom w:val="single" w:sz="4" w:space="0" w:color="auto"/>
              <w:right w:val="single" w:sz="4" w:space="0" w:color="auto"/>
            </w:tcBorders>
            <w:shd w:val="clear" w:color="auto" w:fill="C6EFCE"/>
            <w:noWrap/>
          </w:tcPr>
          <w:p w14:paraId="2BED3C82"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47371EAB"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28A05EFD"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60</w:t>
            </w:r>
          </w:p>
        </w:tc>
        <w:tc>
          <w:tcPr>
            <w:tcW w:w="1124" w:type="dxa"/>
            <w:tcBorders>
              <w:top w:val="single" w:sz="4" w:space="0" w:color="auto"/>
              <w:left w:val="nil"/>
              <w:bottom w:val="single" w:sz="4" w:space="0" w:color="auto"/>
              <w:right w:val="single" w:sz="4" w:space="0" w:color="auto"/>
            </w:tcBorders>
            <w:shd w:val="clear" w:color="auto" w:fill="C6EFCE"/>
            <w:noWrap/>
          </w:tcPr>
          <w:p w14:paraId="2B68D3B9"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T4</w:t>
            </w:r>
          </w:p>
        </w:tc>
        <w:tc>
          <w:tcPr>
            <w:tcW w:w="896" w:type="dxa"/>
            <w:tcBorders>
              <w:top w:val="single" w:sz="4" w:space="0" w:color="auto"/>
              <w:left w:val="nil"/>
              <w:bottom w:val="single" w:sz="4" w:space="0" w:color="auto"/>
              <w:right w:val="single" w:sz="4" w:space="0" w:color="auto"/>
            </w:tcBorders>
            <w:shd w:val="clear" w:color="auto" w:fill="C6EFCE"/>
            <w:noWrap/>
          </w:tcPr>
          <w:p w14:paraId="6F8F2271" w14:textId="77777777" w:rsidR="002B1133" w:rsidRPr="000A27B3" w:rsidRDefault="002B1133">
            <w:pPr>
              <w:spacing w:after="0" w:line="240" w:lineRule="auto"/>
              <w:jc w:val="center"/>
              <w:rPr>
                <w:rFonts w:ascii="Times New Roman" w:hAnsi="Times New Roman" w:cs="Times New Roman"/>
                <w:noProof/>
                <w:sz w:val="24"/>
              </w:rPr>
            </w:pPr>
            <w:r>
              <w:rPr>
                <w:rFonts w:ascii="Times New Roman" w:hAnsi="Times New Roman"/>
                <w:noProof/>
                <w:sz w:val="24"/>
              </w:rPr>
              <w:t>2025</w:t>
            </w:r>
          </w:p>
        </w:tc>
        <w:tc>
          <w:tcPr>
            <w:tcW w:w="3617" w:type="dxa"/>
            <w:tcBorders>
              <w:top w:val="single" w:sz="4" w:space="0" w:color="auto"/>
              <w:left w:val="nil"/>
              <w:bottom w:val="single" w:sz="4" w:space="0" w:color="auto"/>
              <w:right w:val="single" w:sz="4" w:space="0" w:color="auto"/>
            </w:tcBorders>
            <w:shd w:val="clear" w:color="auto" w:fill="C6EFCE"/>
            <w:noWrap/>
          </w:tcPr>
          <w:p w14:paraId="612938C4" w14:textId="77777777" w:rsidR="002B1133" w:rsidRPr="000A27B3" w:rsidRDefault="002B1133">
            <w:pPr>
              <w:spacing w:after="0" w:line="240" w:lineRule="auto"/>
              <w:jc w:val="both"/>
              <w:rPr>
                <w:rFonts w:ascii="Times New Roman" w:hAnsi="Times New Roman" w:cs="Times New Roman"/>
                <w:noProof/>
                <w:sz w:val="24"/>
              </w:rPr>
            </w:pPr>
            <w:r>
              <w:rPr>
                <w:rFonts w:ascii="Times New Roman" w:hAnsi="Times New Roman"/>
                <w:noProof/>
                <w:sz w:val="24"/>
              </w:rPr>
              <w:t>Numărul universităților sprijinite cu noi centre tehnologice inovatoare pentru crearea noilor abilități ale viitorului prin inovarea continuă a programelor de studiu, în conformitate cu cerințele de la jalonul 500.</w:t>
            </w:r>
          </w:p>
        </w:tc>
      </w:tr>
      <w:tr w:rsidR="000A27B3" w:rsidRPr="000A27B3" w14:paraId="089EF47B"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4252EDD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503</w:t>
            </w:r>
          </w:p>
        </w:tc>
        <w:tc>
          <w:tcPr>
            <w:tcW w:w="1795" w:type="dxa"/>
            <w:tcBorders>
              <w:top w:val="single" w:sz="4" w:space="0" w:color="auto"/>
              <w:left w:val="nil"/>
              <w:bottom w:val="single" w:sz="4" w:space="0" w:color="auto"/>
              <w:right w:val="single" w:sz="4" w:space="0" w:color="auto"/>
            </w:tcBorders>
            <w:shd w:val="clear" w:color="auto" w:fill="C6EFCE"/>
            <w:noWrap/>
          </w:tcPr>
          <w:p w14:paraId="027AEF28" w14:textId="218CE94D"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17. Asigurarea infrastructurii universitare (cămine, cantine, spații de recreere)</w:t>
            </w:r>
          </w:p>
        </w:tc>
        <w:tc>
          <w:tcPr>
            <w:tcW w:w="796" w:type="dxa"/>
            <w:tcBorders>
              <w:top w:val="single" w:sz="4" w:space="0" w:color="auto"/>
              <w:left w:val="nil"/>
              <w:bottom w:val="single" w:sz="4" w:space="0" w:color="auto"/>
              <w:right w:val="single" w:sz="4" w:space="0" w:color="auto"/>
            </w:tcBorders>
            <w:shd w:val="clear" w:color="auto" w:fill="C6EFCE"/>
            <w:noWrap/>
          </w:tcPr>
          <w:p w14:paraId="41357EC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3C4DDA2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Spații de recreere și lectură construite sau modernizate și date în folosință</w:t>
            </w:r>
          </w:p>
        </w:tc>
        <w:tc>
          <w:tcPr>
            <w:tcW w:w="1383" w:type="dxa"/>
            <w:tcBorders>
              <w:top w:val="single" w:sz="4" w:space="0" w:color="auto"/>
              <w:left w:val="nil"/>
              <w:bottom w:val="single" w:sz="4" w:space="0" w:color="auto"/>
              <w:right w:val="single" w:sz="4" w:space="0" w:color="auto"/>
            </w:tcBorders>
            <w:shd w:val="clear" w:color="auto" w:fill="C6EFCE"/>
            <w:noWrap/>
          </w:tcPr>
          <w:p w14:paraId="11B63786" w14:textId="77777777" w:rsidR="002B1133" w:rsidRPr="009F1DC7" w:rsidRDefault="002B1133">
            <w:pPr>
              <w:spacing w:after="0" w:line="240" w:lineRule="auto"/>
              <w:jc w:val="center"/>
              <w:rPr>
                <w:rFonts w:ascii="Times New Roman" w:hAnsi="Times New Roman" w:cs="Times New Roman"/>
                <w:noProof/>
                <w:sz w:val="24"/>
                <w:szCs w:val="24"/>
                <w:lang w:val="fr-FR"/>
              </w:rPr>
            </w:pPr>
          </w:p>
        </w:tc>
        <w:tc>
          <w:tcPr>
            <w:tcW w:w="968" w:type="dxa"/>
            <w:tcBorders>
              <w:top w:val="single" w:sz="4" w:space="0" w:color="auto"/>
              <w:left w:val="nil"/>
              <w:bottom w:val="single" w:sz="4" w:space="0" w:color="auto"/>
              <w:right w:val="single" w:sz="4" w:space="0" w:color="auto"/>
            </w:tcBorders>
            <w:shd w:val="clear" w:color="auto" w:fill="C6EFCE"/>
            <w:noWrap/>
          </w:tcPr>
          <w:p w14:paraId="167CDC1C"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4F14DC23"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6E4E0CDE" w14:textId="78D5F133"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15 545</w:t>
            </w:r>
          </w:p>
        </w:tc>
        <w:tc>
          <w:tcPr>
            <w:tcW w:w="1124" w:type="dxa"/>
            <w:tcBorders>
              <w:top w:val="single" w:sz="4" w:space="0" w:color="auto"/>
              <w:left w:val="nil"/>
              <w:bottom w:val="single" w:sz="4" w:space="0" w:color="auto"/>
              <w:right w:val="single" w:sz="4" w:space="0" w:color="auto"/>
            </w:tcBorders>
            <w:shd w:val="clear" w:color="auto" w:fill="C6EFCE"/>
            <w:noWrap/>
          </w:tcPr>
          <w:p w14:paraId="43509EE7" w14:textId="42933D1E"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896" w:type="dxa"/>
            <w:tcBorders>
              <w:top w:val="single" w:sz="4" w:space="0" w:color="auto"/>
              <w:left w:val="nil"/>
              <w:bottom w:val="single" w:sz="4" w:space="0" w:color="auto"/>
              <w:right w:val="single" w:sz="4" w:space="0" w:color="auto"/>
            </w:tcBorders>
            <w:shd w:val="clear" w:color="auto" w:fill="C6EFCE"/>
            <w:noWrap/>
          </w:tcPr>
          <w:p w14:paraId="06ECE04F" w14:textId="027466F4"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617" w:type="dxa"/>
            <w:tcBorders>
              <w:top w:val="single" w:sz="4" w:space="0" w:color="auto"/>
              <w:left w:val="nil"/>
              <w:bottom w:val="single" w:sz="4" w:space="0" w:color="auto"/>
              <w:right w:val="single" w:sz="4" w:space="0" w:color="auto"/>
            </w:tcBorders>
            <w:shd w:val="clear" w:color="auto" w:fill="C6EFCE"/>
            <w:noWrap/>
          </w:tcPr>
          <w:p w14:paraId="4865E8C0" w14:textId="7A8D265A"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construirea a 3 998 și extinderea/modernizarea a 11 547 de spații de recreere și lectură în campusurile universitare, în special pentru studenții defavorizați; În acest context, cel puțin 90 % din costurile legate de renovare se referă la îmbunătățirea eficienței energetice. </w:t>
            </w:r>
          </w:p>
        </w:tc>
      </w:tr>
      <w:tr w:rsidR="000A27B3" w:rsidRPr="000A27B3" w14:paraId="2878DC7F"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5515C748"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504</w:t>
            </w:r>
          </w:p>
        </w:tc>
        <w:tc>
          <w:tcPr>
            <w:tcW w:w="1795" w:type="dxa"/>
            <w:tcBorders>
              <w:top w:val="single" w:sz="4" w:space="0" w:color="auto"/>
              <w:left w:val="nil"/>
              <w:bottom w:val="single" w:sz="4" w:space="0" w:color="auto"/>
              <w:right w:val="single" w:sz="4" w:space="0" w:color="auto"/>
            </w:tcBorders>
            <w:shd w:val="clear" w:color="auto" w:fill="C6EFCE"/>
            <w:noWrap/>
          </w:tcPr>
          <w:p w14:paraId="3F8B02A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17. Asigurarea infrastructurii universitare (cămine, cantine și spații de recreere)</w:t>
            </w:r>
          </w:p>
        </w:tc>
        <w:tc>
          <w:tcPr>
            <w:tcW w:w="796" w:type="dxa"/>
            <w:tcBorders>
              <w:top w:val="single" w:sz="4" w:space="0" w:color="auto"/>
              <w:left w:val="nil"/>
              <w:bottom w:val="single" w:sz="4" w:space="0" w:color="auto"/>
              <w:right w:val="single" w:sz="4" w:space="0" w:color="auto"/>
            </w:tcBorders>
            <w:shd w:val="clear" w:color="auto" w:fill="C6EFCE"/>
            <w:noWrap/>
          </w:tcPr>
          <w:p w14:paraId="52F09C6D"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73ADD571"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Cantine construite sau modernizate și date în folosință</w:t>
            </w:r>
          </w:p>
        </w:tc>
        <w:tc>
          <w:tcPr>
            <w:tcW w:w="1383" w:type="dxa"/>
            <w:tcBorders>
              <w:top w:val="single" w:sz="4" w:space="0" w:color="auto"/>
              <w:left w:val="nil"/>
              <w:bottom w:val="single" w:sz="4" w:space="0" w:color="auto"/>
              <w:right w:val="single" w:sz="4" w:space="0" w:color="auto"/>
            </w:tcBorders>
            <w:shd w:val="clear" w:color="auto" w:fill="C6EFCE"/>
            <w:noWrap/>
          </w:tcPr>
          <w:p w14:paraId="6EE233B4" w14:textId="77777777" w:rsidR="002B1133" w:rsidRPr="009F1DC7" w:rsidRDefault="002B1133">
            <w:pPr>
              <w:spacing w:after="0" w:line="240" w:lineRule="auto"/>
              <w:jc w:val="center"/>
              <w:rPr>
                <w:rFonts w:ascii="Times New Roman" w:hAnsi="Times New Roman" w:cs="Times New Roman"/>
                <w:noProof/>
                <w:sz w:val="24"/>
                <w:szCs w:val="24"/>
                <w:lang w:val="fr-FR"/>
              </w:rPr>
            </w:pPr>
          </w:p>
        </w:tc>
        <w:tc>
          <w:tcPr>
            <w:tcW w:w="968" w:type="dxa"/>
            <w:tcBorders>
              <w:top w:val="single" w:sz="4" w:space="0" w:color="auto"/>
              <w:left w:val="nil"/>
              <w:bottom w:val="single" w:sz="4" w:space="0" w:color="auto"/>
              <w:right w:val="single" w:sz="4" w:space="0" w:color="auto"/>
            </w:tcBorders>
            <w:shd w:val="clear" w:color="auto" w:fill="C6EFCE"/>
            <w:noWrap/>
          </w:tcPr>
          <w:p w14:paraId="76E670B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017EB463"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0D835D59"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5 275</w:t>
            </w:r>
          </w:p>
        </w:tc>
        <w:tc>
          <w:tcPr>
            <w:tcW w:w="1124" w:type="dxa"/>
            <w:tcBorders>
              <w:top w:val="single" w:sz="4" w:space="0" w:color="auto"/>
              <w:left w:val="nil"/>
              <w:bottom w:val="single" w:sz="4" w:space="0" w:color="auto"/>
              <w:right w:val="single" w:sz="4" w:space="0" w:color="auto"/>
            </w:tcBorders>
            <w:shd w:val="clear" w:color="auto" w:fill="C6EFCE"/>
            <w:noWrap/>
          </w:tcPr>
          <w:p w14:paraId="03A0DE33" w14:textId="543A1339"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T3</w:t>
            </w:r>
          </w:p>
        </w:tc>
        <w:tc>
          <w:tcPr>
            <w:tcW w:w="896" w:type="dxa"/>
            <w:tcBorders>
              <w:top w:val="single" w:sz="4" w:space="0" w:color="auto"/>
              <w:left w:val="nil"/>
              <w:bottom w:val="single" w:sz="4" w:space="0" w:color="auto"/>
              <w:right w:val="single" w:sz="4" w:space="0" w:color="auto"/>
            </w:tcBorders>
            <w:shd w:val="clear" w:color="auto" w:fill="C6EFCE"/>
            <w:noWrap/>
          </w:tcPr>
          <w:p w14:paraId="4D790D37" w14:textId="5300451A"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2025</w:t>
            </w:r>
          </w:p>
        </w:tc>
        <w:tc>
          <w:tcPr>
            <w:tcW w:w="3617" w:type="dxa"/>
            <w:tcBorders>
              <w:top w:val="single" w:sz="4" w:space="0" w:color="auto"/>
              <w:left w:val="nil"/>
              <w:bottom w:val="single" w:sz="4" w:space="0" w:color="auto"/>
              <w:right w:val="single" w:sz="4" w:space="0" w:color="auto"/>
            </w:tcBorders>
            <w:shd w:val="clear" w:color="auto" w:fill="C6EFCE"/>
            <w:noWrap/>
          </w:tcPr>
          <w:p w14:paraId="37FCC3C8" w14:textId="5894F0E9"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Construirea a 2 787 și extinderea/modernizarea a 2 488 de cantine în campusurile universitare. </w:t>
            </w:r>
          </w:p>
          <w:p w14:paraId="76EFB07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 În acest context, cel puțin 90 % din costurile legate de renovare se referă la îmbunătățirea eficienței energetice. </w:t>
            </w:r>
          </w:p>
          <w:p w14:paraId="645192C8"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Clădirile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tc>
      </w:tr>
      <w:tr w:rsidR="000A27B3" w:rsidRPr="000A27B3" w14:paraId="026CA5FC"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3FAFC5C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505</w:t>
            </w:r>
          </w:p>
        </w:tc>
        <w:tc>
          <w:tcPr>
            <w:tcW w:w="1795" w:type="dxa"/>
            <w:tcBorders>
              <w:top w:val="single" w:sz="4" w:space="0" w:color="auto"/>
              <w:left w:val="nil"/>
              <w:bottom w:val="single" w:sz="4" w:space="0" w:color="auto"/>
              <w:right w:val="single" w:sz="4" w:space="0" w:color="auto"/>
            </w:tcBorders>
            <w:shd w:val="clear" w:color="auto" w:fill="C6EFCE"/>
            <w:noWrap/>
          </w:tcPr>
          <w:p w14:paraId="55446F9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17. Asigurarea infrastructurii universitare (cămine, cantine și spații de recreere)</w:t>
            </w:r>
          </w:p>
        </w:tc>
        <w:tc>
          <w:tcPr>
            <w:tcW w:w="796" w:type="dxa"/>
            <w:tcBorders>
              <w:top w:val="single" w:sz="4" w:space="0" w:color="auto"/>
              <w:left w:val="nil"/>
              <w:bottom w:val="single" w:sz="4" w:space="0" w:color="auto"/>
              <w:right w:val="single" w:sz="4" w:space="0" w:color="auto"/>
            </w:tcBorders>
            <w:shd w:val="clear" w:color="auto" w:fill="C6EFCE"/>
            <w:noWrap/>
          </w:tcPr>
          <w:p w14:paraId="3D79C21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03176B63"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Locuri de cazare nou-create sau modernizate</w:t>
            </w:r>
          </w:p>
        </w:tc>
        <w:tc>
          <w:tcPr>
            <w:tcW w:w="1383" w:type="dxa"/>
            <w:tcBorders>
              <w:top w:val="single" w:sz="4" w:space="0" w:color="auto"/>
              <w:left w:val="nil"/>
              <w:bottom w:val="single" w:sz="4" w:space="0" w:color="auto"/>
              <w:right w:val="single" w:sz="4" w:space="0" w:color="auto"/>
            </w:tcBorders>
            <w:shd w:val="clear" w:color="auto" w:fill="C6EFCE"/>
            <w:noWrap/>
          </w:tcPr>
          <w:p w14:paraId="347F5A94"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 xml:space="preserve"> </w:t>
            </w:r>
          </w:p>
        </w:tc>
        <w:tc>
          <w:tcPr>
            <w:tcW w:w="968" w:type="dxa"/>
            <w:tcBorders>
              <w:top w:val="single" w:sz="4" w:space="0" w:color="auto"/>
              <w:left w:val="nil"/>
              <w:bottom w:val="single" w:sz="4" w:space="0" w:color="auto"/>
              <w:right w:val="single" w:sz="4" w:space="0" w:color="auto"/>
            </w:tcBorders>
            <w:shd w:val="clear" w:color="auto" w:fill="C6EFCE"/>
            <w:noWrap/>
          </w:tcPr>
          <w:p w14:paraId="14C2C0A7"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0E658BD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12336320" w14:textId="77777777" w:rsidR="002B1133" w:rsidRPr="000A27B3" w:rsidRDefault="002B1133" w:rsidP="00CA23DD">
            <w:pPr>
              <w:spacing w:after="0" w:line="240" w:lineRule="auto"/>
              <w:rPr>
                <w:rFonts w:ascii="Times New Roman" w:hAnsi="Times New Roman" w:cs="Times New Roman"/>
                <w:noProof/>
                <w:sz w:val="24"/>
                <w:szCs w:val="24"/>
              </w:rPr>
            </w:pPr>
            <w:r>
              <w:rPr>
                <w:rFonts w:ascii="Times New Roman" w:hAnsi="Times New Roman"/>
                <w:noProof/>
                <w:sz w:val="24"/>
              </w:rPr>
              <w:t>15 320</w:t>
            </w:r>
          </w:p>
        </w:tc>
        <w:tc>
          <w:tcPr>
            <w:tcW w:w="1124" w:type="dxa"/>
            <w:tcBorders>
              <w:top w:val="single" w:sz="4" w:space="0" w:color="auto"/>
              <w:left w:val="nil"/>
              <w:bottom w:val="single" w:sz="4" w:space="0" w:color="auto"/>
              <w:right w:val="single" w:sz="4" w:space="0" w:color="auto"/>
            </w:tcBorders>
            <w:shd w:val="clear" w:color="auto" w:fill="C6EFCE"/>
            <w:noWrap/>
          </w:tcPr>
          <w:p w14:paraId="586E762D" w14:textId="4F472325"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T4</w:t>
            </w:r>
          </w:p>
        </w:tc>
        <w:tc>
          <w:tcPr>
            <w:tcW w:w="896" w:type="dxa"/>
            <w:tcBorders>
              <w:top w:val="single" w:sz="4" w:space="0" w:color="auto"/>
              <w:left w:val="nil"/>
              <w:bottom w:val="single" w:sz="4" w:space="0" w:color="auto"/>
              <w:right w:val="single" w:sz="4" w:space="0" w:color="auto"/>
            </w:tcBorders>
            <w:shd w:val="clear" w:color="auto" w:fill="C6EFCE"/>
            <w:noWrap/>
          </w:tcPr>
          <w:p w14:paraId="20B874FD" w14:textId="771C1E00" w:rsidR="002B1133" w:rsidRPr="000A27B3" w:rsidRDefault="002B1133">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t>2025</w:t>
            </w:r>
          </w:p>
        </w:tc>
        <w:tc>
          <w:tcPr>
            <w:tcW w:w="3617" w:type="dxa"/>
            <w:tcBorders>
              <w:top w:val="single" w:sz="4" w:space="0" w:color="auto"/>
              <w:left w:val="nil"/>
              <w:bottom w:val="single" w:sz="4" w:space="0" w:color="auto"/>
              <w:right w:val="single" w:sz="4" w:space="0" w:color="auto"/>
            </w:tcBorders>
            <w:shd w:val="clear" w:color="auto" w:fill="C6EFCE"/>
            <w:noWrap/>
          </w:tcPr>
          <w:p w14:paraId="5F6CE32D" w14:textId="2B3F15AE"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Construirea a 3 749 și extinderea/modernizarea a 11 571 de locuri de cazare în campusuri universitare, dedicate studenților proveniți din medii socioeconomice defavorizate, cu dizabilități, unele minorități etnice sau din familii monoparentale etc., care vor avea prioritate în obținerea unui loc în campusurile universitare nou- construite. </w:t>
            </w:r>
          </w:p>
          <w:p w14:paraId="6F542A4F"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Contractele vor include o cerință minimă de reducere a consumului de energie pentru încălzire cu cel puțin 50 % în comparație cu consumul anual de energie pentru încălzire înainte de renovarea clădirii, ceea ce va conduce la o creștere cu 30 % a economiilor de energie primară în comparație cu starea anterioară renovării. În acest context, cel puțin 90 % din costurile legate de renovare se referă la îmbunătățirea eficienței energetice. </w:t>
            </w:r>
          </w:p>
          <w:p w14:paraId="0AE8074C"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Locurile nou-construite vor respecta obiectivul privind necesarul de energie primară cu cel puțin 20 % mai mic decât cerința pentru clădirile al căror consum de energie este aproape egal cu zero conform orientărilor naționale, ceea ce se va asigura prin certificate de performanță energetică. </w:t>
            </w:r>
          </w:p>
        </w:tc>
      </w:tr>
      <w:tr w:rsidR="000A27B3" w:rsidRPr="000A27B3" w14:paraId="51373685"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1D2870F1"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506</w:t>
            </w:r>
          </w:p>
        </w:tc>
        <w:tc>
          <w:tcPr>
            <w:tcW w:w="1795" w:type="dxa"/>
            <w:tcBorders>
              <w:top w:val="single" w:sz="4" w:space="0" w:color="auto"/>
              <w:left w:val="nil"/>
              <w:bottom w:val="single" w:sz="4" w:space="0" w:color="auto"/>
              <w:right w:val="single" w:sz="4" w:space="0" w:color="auto"/>
            </w:tcBorders>
            <w:shd w:val="clear" w:color="auto" w:fill="C6EFCE"/>
            <w:noWrap/>
          </w:tcPr>
          <w:p w14:paraId="33819077"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Investiția 17. Asigurarea infrastructurii universitare (cămine, cantine și spații de recreere)</w:t>
            </w:r>
          </w:p>
        </w:tc>
        <w:tc>
          <w:tcPr>
            <w:tcW w:w="796" w:type="dxa"/>
            <w:tcBorders>
              <w:top w:val="single" w:sz="4" w:space="0" w:color="auto"/>
              <w:left w:val="nil"/>
              <w:bottom w:val="single" w:sz="4" w:space="0" w:color="auto"/>
              <w:right w:val="single" w:sz="4" w:space="0" w:color="auto"/>
            </w:tcBorders>
            <w:shd w:val="clear" w:color="auto" w:fill="C6EFCE"/>
            <w:noWrap/>
          </w:tcPr>
          <w:p w14:paraId="0C8FF79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0A19B426"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Cel puțin 40 % din infrastructurile noi și modernizate sunt destinate studenților proveniți din medii defavorizate</w:t>
            </w:r>
          </w:p>
          <w:p w14:paraId="1720BEF1" w14:textId="77777777" w:rsidR="002B1133" w:rsidRPr="000A27B3" w:rsidRDefault="002B1133">
            <w:pPr>
              <w:spacing w:after="0" w:line="240" w:lineRule="auto"/>
              <w:jc w:val="both"/>
              <w:rPr>
                <w:rFonts w:ascii="Times New Roman" w:hAnsi="Times New Roman" w:cs="Times New Roman"/>
                <w:noProof/>
                <w:sz w:val="24"/>
                <w:szCs w:val="24"/>
                <w:lang w:val="en-GB"/>
              </w:rPr>
            </w:pPr>
          </w:p>
        </w:tc>
        <w:tc>
          <w:tcPr>
            <w:tcW w:w="1383" w:type="dxa"/>
            <w:tcBorders>
              <w:top w:val="single" w:sz="4" w:space="0" w:color="auto"/>
              <w:left w:val="nil"/>
              <w:bottom w:val="single" w:sz="4" w:space="0" w:color="auto"/>
              <w:right w:val="single" w:sz="4" w:space="0" w:color="auto"/>
            </w:tcBorders>
            <w:shd w:val="clear" w:color="auto" w:fill="C6EFCE"/>
            <w:noWrap/>
          </w:tcPr>
          <w:p w14:paraId="5E49F2AC" w14:textId="77777777" w:rsidR="002B1133" w:rsidRPr="000A27B3" w:rsidRDefault="002B1133">
            <w:pPr>
              <w:spacing w:after="0" w:line="240" w:lineRule="auto"/>
              <w:jc w:val="center"/>
              <w:rPr>
                <w:rFonts w:ascii="Times New Roman" w:hAnsi="Times New Roman" w:cs="Times New Roman"/>
                <w:noProof/>
                <w:sz w:val="24"/>
                <w:szCs w:val="24"/>
                <w:lang w:val="en-GB"/>
              </w:rPr>
            </w:pPr>
          </w:p>
        </w:tc>
        <w:tc>
          <w:tcPr>
            <w:tcW w:w="968" w:type="dxa"/>
            <w:tcBorders>
              <w:top w:val="single" w:sz="4" w:space="0" w:color="auto"/>
              <w:left w:val="nil"/>
              <w:bottom w:val="single" w:sz="4" w:space="0" w:color="auto"/>
              <w:right w:val="single" w:sz="4" w:space="0" w:color="auto"/>
            </w:tcBorders>
            <w:shd w:val="clear" w:color="auto" w:fill="C6EFCE"/>
            <w:noWrap/>
          </w:tcPr>
          <w:p w14:paraId="55EFA97E" w14:textId="77777777" w:rsidR="002B1133" w:rsidRPr="000A27B3" w:rsidRDefault="002B1133">
            <w:pPr>
              <w:spacing w:after="0" w:line="240" w:lineRule="auto"/>
              <w:rPr>
                <w:rFonts w:ascii="Times New Roman" w:eastAsia="Times New Roman" w:hAnsi="Times New Roman" w:cs="Times New Roman"/>
                <w:noProof/>
                <w:sz w:val="24"/>
              </w:rPr>
            </w:pPr>
            <w:r>
              <w:rPr>
                <w:rFonts w:ascii="Times New Roman" w:hAnsi="Times New Roman"/>
                <w:noProof/>
                <w:sz w:val="24"/>
              </w:rPr>
              <w:t>Procent (%)</w:t>
            </w:r>
          </w:p>
          <w:p w14:paraId="66462E06" w14:textId="77777777" w:rsidR="002B1133" w:rsidRPr="000A27B3" w:rsidRDefault="002B1133">
            <w:pPr>
              <w:spacing w:after="0" w:line="240" w:lineRule="auto"/>
              <w:jc w:val="center"/>
              <w:rPr>
                <w:rFonts w:ascii="Times New Roman" w:hAnsi="Times New Roman" w:cs="Times New Roman"/>
                <w:noProof/>
                <w:sz w:val="24"/>
                <w:szCs w:val="24"/>
                <w:lang w:val="en-GB"/>
              </w:rPr>
            </w:pPr>
          </w:p>
        </w:tc>
        <w:tc>
          <w:tcPr>
            <w:tcW w:w="1081" w:type="dxa"/>
            <w:tcBorders>
              <w:top w:val="single" w:sz="4" w:space="0" w:color="auto"/>
              <w:left w:val="nil"/>
              <w:bottom w:val="single" w:sz="4" w:space="0" w:color="auto"/>
              <w:right w:val="single" w:sz="4" w:space="0" w:color="auto"/>
            </w:tcBorders>
            <w:shd w:val="clear" w:color="auto" w:fill="C6EFCE"/>
            <w:noWrap/>
          </w:tcPr>
          <w:p w14:paraId="2D60818F"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6A571B92"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40 %</w:t>
            </w:r>
          </w:p>
        </w:tc>
        <w:tc>
          <w:tcPr>
            <w:tcW w:w="1124" w:type="dxa"/>
            <w:tcBorders>
              <w:top w:val="single" w:sz="4" w:space="0" w:color="auto"/>
              <w:left w:val="nil"/>
              <w:bottom w:val="single" w:sz="4" w:space="0" w:color="auto"/>
              <w:right w:val="single" w:sz="4" w:space="0" w:color="auto"/>
            </w:tcBorders>
            <w:shd w:val="clear" w:color="auto" w:fill="C6EFCE"/>
            <w:noWrap/>
          </w:tcPr>
          <w:p w14:paraId="2AC99AF7" w14:textId="46C0012D"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896" w:type="dxa"/>
            <w:tcBorders>
              <w:top w:val="single" w:sz="4" w:space="0" w:color="auto"/>
              <w:left w:val="nil"/>
              <w:bottom w:val="single" w:sz="4" w:space="0" w:color="auto"/>
              <w:right w:val="single" w:sz="4" w:space="0" w:color="auto"/>
            </w:tcBorders>
            <w:shd w:val="clear" w:color="auto" w:fill="C6EFCE"/>
            <w:noWrap/>
          </w:tcPr>
          <w:p w14:paraId="134AB0ED" w14:textId="4EFA066C"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617" w:type="dxa"/>
            <w:tcBorders>
              <w:top w:val="single" w:sz="4" w:space="0" w:color="auto"/>
              <w:left w:val="nil"/>
              <w:bottom w:val="single" w:sz="4" w:space="0" w:color="auto"/>
              <w:right w:val="single" w:sz="4" w:space="0" w:color="auto"/>
            </w:tcBorders>
            <w:shd w:val="clear" w:color="auto" w:fill="C6EFCE"/>
            <w:noWrap/>
          </w:tcPr>
          <w:p w14:paraId="33723A9B" w14:textId="18700C4B"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Cel puțin 40 % din cele 15 545 de spații de recreere, 5 276 de locuri de cantină și 15 320 de locuri de cazare vor fi rezervate pentru studenții din medii defavorizate.</w:t>
            </w:r>
          </w:p>
          <w:p w14:paraId="403F233A"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Studenții care primesc bursă socială vor avea prioritate pentru a obține locuri în infrastructura universitară modernizată. Această condiție va fi prevăzută ca fiind obligatorie pentru universitățile publice în ghidul financiar aferent apelurilor de proiecte pentru modernizarea infrastructurii universitare. Universitățile vor transmite rapoarte anuale Ministerului Educației privind utilizarea infrastructurii modernizate.</w:t>
            </w:r>
          </w:p>
        </w:tc>
      </w:tr>
      <w:tr w:rsidR="000A27B3" w:rsidRPr="000A27B3" w14:paraId="61B096DF" w14:textId="77777777" w:rsidTr="00B479F4">
        <w:trPr>
          <w:trHeight w:val="309"/>
          <w:jc w:val="center"/>
        </w:trPr>
        <w:tc>
          <w:tcPr>
            <w:tcW w:w="1244" w:type="dxa"/>
            <w:tcBorders>
              <w:top w:val="single" w:sz="4" w:space="0" w:color="auto"/>
              <w:left w:val="single" w:sz="4" w:space="0" w:color="auto"/>
              <w:bottom w:val="single" w:sz="4" w:space="0" w:color="auto"/>
              <w:right w:val="single" w:sz="4" w:space="0" w:color="auto"/>
            </w:tcBorders>
            <w:shd w:val="clear" w:color="auto" w:fill="C6EFCE"/>
            <w:noWrap/>
          </w:tcPr>
          <w:p w14:paraId="4E336CF9"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507</w:t>
            </w:r>
          </w:p>
        </w:tc>
        <w:tc>
          <w:tcPr>
            <w:tcW w:w="1795" w:type="dxa"/>
            <w:tcBorders>
              <w:top w:val="single" w:sz="4" w:space="0" w:color="auto"/>
              <w:left w:val="nil"/>
              <w:bottom w:val="single" w:sz="4" w:space="0" w:color="auto"/>
              <w:right w:val="single" w:sz="4" w:space="0" w:color="auto"/>
            </w:tcBorders>
            <w:shd w:val="clear" w:color="auto" w:fill="C6EFCE"/>
            <w:noWrap/>
          </w:tcPr>
          <w:p w14:paraId="25E87270"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Investiția 18. Programul de formare și îndrumare pentru managerii și inspectorii școlari </w:t>
            </w:r>
          </w:p>
        </w:tc>
        <w:tc>
          <w:tcPr>
            <w:tcW w:w="796" w:type="dxa"/>
            <w:tcBorders>
              <w:top w:val="single" w:sz="4" w:space="0" w:color="auto"/>
              <w:left w:val="nil"/>
              <w:bottom w:val="single" w:sz="4" w:space="0" w:color="auto"/>
              <w:right w:val="single" w:sz="4" w:space="0" w:color="auto"/>
            </w:tcBorders>
            <w:shd w:val="clear" w:color="auto" w:fill="C6EFCE"/>
            <w:noWrap/>
          </w:tcPr>
          <w:p w14:paraId="617AEE54"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Țintă</w:t>
            </w:r>
          </w:p>
        </w:tc>
        <w:tc>
          <w:tcPr>
            <w:tcW w:w="1968" w:type="dxa"/>
            <w:tcBorders>
              <w:top w:val="single" w:sz="4" w:space="0" w:color="auto"/>
              <w:left w:val="nil"/>
              <w:bottom w:val="single" w:sz="4" w:space="0" w:color="auto"/>
              <w:right w:val="single" w:sz="4" w:space="0" w:color="auto"/>
            </w:tcBorders>
            <w:shd w:val="clear" w:color="auto" w:fill="C6EFCE"/>
            <w:noWrap/>
          </w:tcPr>
          <w:p w14:paraId="4415FCD5" w14:textId="77777777"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Directori, directori adjuncți și inspectori care au urmat un program complet de formare și îndrumare</w:t>
            </w:r>
          </w:p>
        </w:tc>
        <w:tc>
          <w:tcPr>
            <w:tcW w:w="1383" w:type="dxa"/>
            <w:tcBorders>
              <w:top w:val="single" w:sz="4" w:space="0" w:color="auto"/>
              <w:left w:val="nil"/>
              <w:bottom w:val="single" w:sz="4" w:space="0" w:color="auto"/>
              <w:right w:val="single" w:sz="4" w:space="0" w:color="auto"/>
            </w:tcBorders>
            <w:shd w:val="clear" w:color="auto" w:fill="C6EFCE"/>
            <w:noWrap/>
          </w:tcPr>
          <w:p w14:paraId="1A915BEF" w14:textId="77777777" w:rsidR="002B1133" w:rsidRPr="009F1DC7" w:rsidRDefault="002B1133">
            <w:pPr>
              <w:spacing w:after="0" w:line="240" w:lineRule="auto"/>
              <w:jc w:val="center"/>
              <w:rPr>
                <w:rFonts w:ascii="Times New Roman" w:hAnsi="Times New Roman" w:cs="Times New Roman"/>
                <w:noProof/>
                <w:sz w:val="24"/>
                <w:szCs w:val="24"/>
                <w:lang w:val="fr-FR"/>
              </w:rPr>
            </w:pPr>
          </w:p>
        </w:tc>
        <w:tc>
          <w:tcPr>
            <w:tcW w:w="968" w:type="dxa"/>
            <w:tcBorders>
              <w:top w:val="single" w:sz="4" w:space="0" w:color="auto"/>
              <w:left w:val="nil"/>
              <w:bottom w:val="single" w:sz="4" w:space="0" w:color="auto"/>
              <w:right w:val="single" w:sz="4" w:space="0" w:color="auto"/>
            </w:tcBorders>
            <w:shd w:val="clear" w:color="auto" w:fill="C6EFCE"/>
            <w:noWrap/>
          </w:tcPr>
          <w:p w14:paraId="5580B08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Număr</w:t>
            </w:r>
          </w:p>
        </w:tc>
        <w:tc>
          <w:tcPr>
            <w:tcW w:w="1081" w:type="dxa"/>
            <w:tcBorders>
              <w:top w:val="single" w:sz="4" w:space="0" w:color="auto"/>
              <w:left w:val="nil"/>
              <w:bottom w:val="single" w:sz="4" w:space="0" w:color="auto"/>
              <w:right w:val="single" w:sz="4" w:space="0" w:color="auto"/>
            </w:tcBorders>
            <w:shd w:val="clear" w:color="auto" w:fill="C6EFCE"/>
            <w:noWrap/>
          </w:tcPr>
          <w:p w14:paraId="4500D035"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0</w:t>
            </w:r>
          </w:p>
        </w:tc>
        <w:tc>
          <w:tcPr>
            <w:tcW w:w="1100" w:type="dxa"/>
            <w:tcBorders>
              <w:top w:val="single" w:sz="4" w:space="0" w:color="auto"/>
              <w:left w:val="nil"/>
              <w:bottom w:val="single" w:sz="4" w:space="0" w:color="auto"/>
              <w:right w:val="single" w:sz="4" w:space="0" w:color="auto"/>
            </w:tcBorders>
            <w:shd w:val="clear" w:color="auto" w:fill="C6EFCE"/>
            <w:noWrap/>
          </w:tcPr>
          <w:p w14:paraId="4B405EB0"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10 000</w:t>
            </w:r>
          </w:p>
        </w:tc>
        <w:tc>
          <w:tcPr>
            <w:tcW w:w="1124" w:type="dxa"/>
            <w:tcBorders>
              <w:top w:val="single" w:sz="4" w:space="0" w:color="auto"/>
              <w:left w:val="nil"/>
              <w:bottom w:val="single" w:sz="4" w:space="0" w:color="auto"/>
              <w:right w:val="single" w:sz="4" w:space="0" w:color="auto"/>
            </w:tcBorders>
            <w:shd w:val="clear" w:color="auto" w:fill="C6EFCE"/>
            <w:noWrap/>
          </w:tcPr>
          <w:p w14:paraId="7F7D732E"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T1</w:t>
            </w:r>
          </w:p>
        </w:tc>
        <w:tc>
          <w:tcPr>
            <w:tcW w:w="896" w:type="dxa"/>
            <w:tcBorders>
              <w:top w:val="single" w:sz="4" w:space="0" w:color="auto"/>
              <w:left w:val="nil"/>
              <w:bottom w:val="single" w:sz="4" w:space="0" w:color="auto"/>
              <w:right w:val="single" w:sz="4" w:space="0" w:color="auto"/>
            </w:tcBorders>
            <w:shd w:val="clear" w:color="auto" w:fill="C6EFCE"/>
            <w:noWrap/>
          </w:tcPr>
          <w:p w14:paraId="0AB8A579" w14:textId="77777777" w:rsidR="002B1133" w:rsidRPr="000A27B3" w:rsidRDefault="002B1133">
            <w:pPr>
              <w:spacing w:after="0" w:line="240" w:lineRule="auto"/>
              <w:jc w:val="center"/>
              <w:rPr>
                <w:rFonts w:ascii="Times New Roman" w:hAnsi="Times New Roman" w:cs="Times New Roman"/>
                <w:noProof/>
                <w:sz w:val="24"/>
                <w:szCs w:val="24"/>
              </w:rPr>
            </w:pPr>
            <w:r>
              <w:rPr>
                <w:rFonts w:ascii="Times New Roman" w:hAnsi="Times New Roman"/>
                <w:noProof/>
                <w:sz w:val="24"/>
              </w:rPr>
              <w:t>2026</w:t>
            </w:r>
          </w:p>
        </w:tc>
        <w:tc>
          <w:tcPr>
            <w:tcW w:w="3617" w:type="dxa"/>
            <w:tcBorders>
              <w:top w:val="single" w:sz="4" w:space="0" w:color="auto"/>
              <w:left w:val="nil"/>
              <w:bottom w:val="single" w:sz="4" w:space="0" w:color="auto"/>
              <w:right w:val="single" w:sz="4" w:space="0" w:color="auto"/>
            </w:tcBorders>
            <w:shd w:val="clear" w:color="auto" w:fill="C6EFCE"/>
            <w:noWrap/>
          </w:tcPr>
          <w:p w14:paraId="68B0CCE0" w14:textId="6CABAE9D" w:rsidR="002B1133" w:rsidRPr="000A27B3" w:rsidRDefault="002B1133">
            <w:pPr>
              <w:spacing w:after="0" w:line="240" w:lineRule="auto"/>
              <w:jc w:val="both"/>
              <w:rPr>
                <w:rFonts w:ascii="Times New Roman" w:hAnsi="Times New Roman" w:cs="Times New Roman"/>
                <w:noProof/>
                <w:sz w:val="24"/>
                <w:szCs w:val="24"/>
              </w:rPr>
            </w:pPr>
            <w:r>
              <w:rPr>
                <w:rFonts w:ascii="Times New Roman" w:hAnsi="Times New Roman"/>
                <w:noProof/>
                <w:sz w:val="24"/>
              </w:rPr>
              <w:t>Un număr estimat de 10 000 de directori, directori adjuncți și inspectori cu funcții de conducere vor participa la programul de formare. Programul de formare va include elemente de leadership și management instituțional, financiar și de resurse umane și de cunoaștere a aspectelor legate de administrație și de legislație în aceste domenii și va contribui la dezvoltarea capacității instituției de învățământ pe care o conduc de a îmbunătăți performanțelor elevilor. Programul de formare va fi conceput pe baza recomandărilor formulate de experții care vor efectua analiza funcțională a guvernanței sistemului de educație, precum și a bunelor practici europene.</w:t>
            </w:r>
          </w:p>
        </w:tc>
      </w:tr>
    </w:tbl>
    <w:p w14:paraId="4E98DF9F" w14:textId="77777777" w:rsidR="002B1133" w:rsidRPr="009F1DC7" w:rsidRDefault="002B1133">
      <w:pPr>
        <w:spacing w:before="120" w:after="120" w:line="240" w:lineRule="auto"/>
        <w:ind w:left="850"/>
        <w:jc w:val="both"/>
        <w:rPr>
          <w:rFonts w:ascii="Times New Roman" w:hAnsi="Times New Roman" w:cs="Times New Roman"/>
          <w:noProof/>
          <w:sz w:val="24"/>
          <w:szCs w:val="24"/>
        </w:rPr>
      </w:pPr>
    </w:p>
    <w:p w14:paraId="59C7C534" w14:textId="77777777" w:rsidR="002B1133" w:rsidRPr="009F1DC7" w:rsidRDefault="002B1133">
      <w:pPr>
        <w:spacing w:before="120" w:after="120" w:line="240" w:lineRule="auto"/>
        <w:ind w:left="850"/>
        <w:jc w:val="both"/>
        <w:rPr>
          <w:rFonts w:ascii="Times New Roman" w:hAnsi="Times New Roman" w:cs="Times New Roman"/>
          <w:noProof/>
          <w:sz w:val="24"/>
          <w:szCs w:val="24"/>
        </w:rPr>
        <w:sectPr w:rsidR="002B1133" w:rsidRPr="009F1DC7">
          <w:headerReference w:type="even" r:id="rId319"/>
          <w:headerReference w:type="default" r:id="rId320"/>
          <w:footerReference w:type="even" r:id="rId321"/>
          <w:footerReference w:type="default" r:id="rId322"/>
          <w:headerReference w:type="first" r:id="rId323"/>
          <w:footerReference w:type="first" r:id="rId324"/>
          <w:pgSz w:w="16839" w:h="11907" w:orient="landscape"/>
          <w:pgMar w:top="720" w:right="720" w:bottom="720" w:left="720" w:header="709" w:footer="709" w:gutter="0"/>
          <w:cols w:space="720"/>
          <w:docGrid w:linePitch="360"/>
        </w:sectPr>
      </w:pPr>
    </w:p>
    <w:p w14:paraId="23A7B6C0" w14:textId="5C5714E7" w:rsidR="00A72AC9" w:rsidRPr="000A27B3" w:rsidRDefault="00A72AC9" w:rsidP="00242777">
      <w:pPr>
        <w:keepNext/>
        <w:numPr>
          <w:ilvl w:val="0"/>
          <w:numId w:val="130"/>
        </w:numPr>
        <w:tabs>
          <w:tab w:val="left" w:pos="850"/>
        </w:tabs>
        <w:spacing w:before="360" w:after="120" w:line="240" w:lineRule="auto"/>
        <w:jc w:val="both"/>
        <w:outlineLvl w:val="0"/>
        <w:rPr>
          <w:rFonts w:ascii="Times New Roman" w:hAnsi="Times New Roman" w:cs="Times New Roman"/>
          <w:b/>
          <w:bCs/>
          <w:smallCaps/>
          <w:noProof/>
          <w:sz w:val="24"/>
          <w:szCs w:val="24"/>
        </w:rPr>
      </w:pPr>
      <w:r>
        <w:rPr>
          <w:rFonts w:ascii="Times New Roman" w:hAnsi="Times New Roman"/>
          <w:b/>
          <w:smallCaps/>
          <w:noProof/>
          <w:sz w:val="24"/>
        </w:rPr>
        <w:t>COMPONENTA 16: REPowerEU</w:t>
      </w:r>
    </w:p>
    <w:p w14:paraId="51241326" w14:textId="6A1A4C26" w:rsidR="009F596F" w:rsidRPr="000A27B3" w:rsidRDefault="009F596F">
      <w:pPr>
        <w:tabs>
          <w:tab w:val="left" w:pos="312"/>
        </w:tabs>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Scopul capitolului privind REPowerEU este de a contribui la reducerea dependenței de combustibilii fosili în România, prin sprijinirea implementării surselor regenerabile de energie și a renovărilor în materie de eficiență energetică care îi vizează în special pe consumatorii cei mai vulnerabili și prin creșterea capacității rețelei de transport al energiei electrice de a integra sursele regenerabile de energie. </w:t>
      </w:r>
    </w:p>
    <w:p w14:paraId="6FFF8453" w14:textId="13C2B95C"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Componenta abordează recomandările specifice de a reduce dependența globală de combustibilii fosili adresate României în 2022 și 2023. În special, contribuie la accelerarea tranziției către o energie curată, mai ales prin implementarea mai rapidă a energiei din surse regenerabile și prin îmbunătățirea capacității rețelei, astfel încât să permită capacității nou-create să funcționeze pe piață. Aceasta contribuie, de asemenea, la creșterea ritmului și a nivelului de ambiție al renovărilor energetice ce vizează îmbunătățirea eficienței energetice a parcului imobiliar, inclusiv prin îmbunătățirea accesului la informații și prin furnizarea unor opțiuni de finanțare durabile. În fine, contribuie la furnizarea și dobândirea aptitudinilor și competențelor necesare pentru tranziția verde (recomandările specifice 3 din 2022 și 3</w:t>
      </w:r>
      <w:r w:rsidR="00B479F4">
        <w:rPr>
          <w:rFonts w:ascii="Times New Roman" w:hAnsi="Times New Roman"/>
          <w:noProof/>
          <w:sz w:val="24"/>
        </w:rPr>
        <w:t> </w:t>
      </w:r>
      <w:r>
        <w:rPr>
          <w:rFonts w:ascii="Times New Roman" w:hAnsi="Times New Roman"/>
          <w:noProof/>
          <w:sz w:val="24"/>
        </w:rPr>
        <w:t>din 2023).</w:t>
      </w:r>
    </w:p>
    <w:p w14:paraId="38845718"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Se preconizează că nicio măsură din cadrul acestei componente nu va aduce prejudicii semnificative obiectivelor de mediu, în sensul articolului 17 din Regulamentul (UE) 2020/852, ținând seama de descrierea măsurilor și a măsurilor de atenuare stabilite în planul de redresare și reziliență în conformitate cu Orientările tehnice DNSH [C(2023) 6454 final].</w:t>
      </w:r>
    </w:p>
    <w:p w14:paraId="480DFFC5" w14:textId="01060115" w:rsidR="009F596F" w:rsidRPr="000A27B3" w:rsidRDefault="00DF561E" w:rsidP="00DF561E">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P.1.</w:t>
      </w:r>
      <w:r>
        <w:rPr>
          <w:rFonts w:ascii="Times New Roman" w:hAnsi="Times New Roman"/>
          <w:noProof/>
          <w:sz w:val="24"/>
        </w:rPr>
        <w:tab/>
      </w:r>
      <w:r>
        <w:rPr>
          <w:rFonts w:ascii="Times New Roman" w:hAnsi="Times New Roman"/>
          <w:b/>
          <w:noProof/>
          <w:sz w:val="24"/>
        </w:rPr>
        <w:t>Descrierea reformelor și a investițiilor pentru care se prevede acordarea sprijinului financiar nerambursabil</w:t>
      </w:r>
    </w:p>
    <w:p w14:paraId="5C1A106A" w14:textId="2168FF88"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Reforma 1: Crearea unui cadru juridic pentru utilizarea terenurilor aflate în proprietatea statului ca zone de accelerare pentru investițiile în sursele regenerabile de energie</w:t>
      </w:r>
      <w:r w:rsidR="004C4C72">
        <w:rPr>
          <w:rFonts w:ascii="Times New Roman" w:hAnsi="Times New Roman"/>
          <w:noProof/>
          <w:sz w:val="24"/>
          <w:u w:val="single"/>
        </w:rPr>
        <w:t xml:space="preserve"> </w:t>
      </w:r>
    </w:p>
    <w:p w14:paraId="6EF4A944" w14:textId="5DFB0665"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Această reformă vizează crearea unor zone specifice de accelerare pentru energia din surse regenerabile, care să implice procese de autorizare deosebit de scurte și simple, care, pentru noile capacități, nu vor dura mai mult de șase luni, cu excepția proiectelor care necesită proceduri complete de evaluare a impactului asupra mediului. Reforma va stabili instrumentele și seturile de date adecvate pentru identificarea zonelor în care se pot instala rapid noi unități de producere a energiei eoliene și solare, asigurând în același timp respectarea principiului de „a nu prejudicia în mod semnificativ”. Condițiile de concurență echitabile între investitorii publici și cei privați vor fi asigurate prin cereri de ofertă competitive pentru concesiuni.</w:t>
      </w:r>
    </w:p>
    <w:p w14:paraId="3B0E9216"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reformei se va finaliza până la 31 decembrie 2025.</w:t>
      </w:r>
    </w:p>
    <w:p w14:paraId="39071D8D" w14:textId="77777777" w:rsidR="009F596F" w:rsidRPr="000A27B3" w:rsidRDefault="009F596F">
      <w:pPr>
        <w:keepNext/>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 xml:space="preserve">Investiția 1: Formare pentru dobândirea de competențe în domeniul energiei verzi </w:t>
      </w:r>
    </w:p>
    <w:p w14:paraId="61056F9B"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Obiectivul acestei măsuri este de a completa investițiile în producția de energie din surse regenerabile prin consolidarea competențelor și a capacității necesare a forței de muncă din sectorul energiei, măsură de care este nevoie pentru a efectua trecerea necesară la implementarea surselor regenerabile de energie. </w:t>
      </w:r>
    </w:p>
    <w:p w14:paraId="28976ECB" w14:textId="2D19D9E9"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Programele de formare vor consta în cursuri de îmbunătățire a competențelor forței de muncă în domeniul producției de energie din surse regenerabile. Această investiție va oferi cursuri de formare pentru cel puțin 4 000 de specialiști în tehnologiile curate care utilizează energie din surse regenerabile sau durabile. În plus, nouă standarde profesionale din domeniul producției de energie din surse regenerabile pentru specialiști și pentru calificările lucrătorilor din construcții din cadrul Clasificării Ocupațiilor din România vor fi definite sau actualizate, pe baza unei cartografieri a nevoilor de formare. </w:t>
      </w:r>
    </w:p>
    <w:p w14:paraId="54822149"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30 iunie 2026.</w:t>
      </w:r>
    </w:p>
    <w:p w14:paraId="1F43C88F" w14:textId="77777777" w:rsidR="009F596F" w:rsidRPr="000A27B3" w:rsidRDefault="009F596F">
      <w:pPr>
        <w:spacing w:before="120" w:after="120" w:line="240" w:lineRule="auto"/>
        <w:rPr>
          <w:rFonts w:ascii="Times New Roman" w:eastAsia="Times New Roman" w:hAnsi="Times New Roman" w:cs="Times New Roman"/>
          <w:noProof/>
          <w:sz w:val="24"/>
          <w:szCs w:val="24"/>
          <w:u w:val="single"/>
        </w:rPr>
      </w:pPr>
      <w:r>
        <w:rPr>
          <w:rFonts w:ascii="Times New Roman" w:hAnsi="Times New Roman"/>
          <w:noProof/>
          <w:sz w:val="24"/>
          <w:u w:val="single"/>
        </w:rPr>
        <w:t xml:space="preserve">Investiția 2: Noi capacități de producție de energie electrică din surse regenerabile </w:t>
      </w:r>
    </w:p>
    <w:p w14:paraId="0671E407" w14:textId="6DEAFEF4"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Obiectivul investiției este instalarea de noi capacități de producție de energie din surse regenerabile prin intermediul unei cereri publice de oferte competitive. Investiția va duce la instalarea unei noi capacități de producție de energie din surse regenerabile de 950 MW prin intermediul unei licitații publice competitive neutre din punct de vedere tehnologic între diferitele tehnologii (eoliană și solară), astfel cum a fost inclusă anterior în investiția 1 a componentei C6 – Energie. </w:t>
      </w:r>
      <w:bookmarkStart w:id="18" w:name="_Hlk147481190"/>
    </w:p>
    <w:p w14:paraId="5A459E5C" w14:textId="09208E02"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va respecta anexele relevante la Regulamentul delegat (UE) al Comisiei [C(2021) 2800/3], în temeiul Regulamentului privind taxonomia (UE) (2020/852).</w:t>
      </w:r>
      <w:bookmarkEnd w:id="18"/>
      <w:r>
        <w:rPr>
          <w:rFonts w:ascii="Times New Roman" w:hAnsi="Times New Roman"/>
          <w:noProof/>
          <w:sz w:val="24"/>
        </w:rPr>
        <w:t xml:space="preserve"> </w:t>
      </w:r>
    </w:p>
    <w:p w14:paraId="3BD903A4" w14:textId="7EDAA401" w:rsidR="009F596F" w:rsidRPr="000A27B3" w:rsidRDefault="009F596F">
      <w:pPr>
        <w:spacing w:before="120" w:after="120" w:line="240" w:lineRule="auto"/>
        <w:jc w:val="both"/>
        <w:rPr>
          <w:rFonts w:ascii="Times New Roman" w:hAnsi="Times New Roman" w:cs="Times New Roman"/>
          <w:noProof/>
          <w:sz w:val="24"/>
          <w:szCs w:val="24"/>
        </w:rPr>
      </w:pPr>
      <w:r>
        <w:rPr>
          <w:rFonts w:ascii="Times New Roman" w:hAnsi="Times New Roman"/>
          <w:noProof/>
          <w:sz w:val="24"/>
        </w:rPr>
        <w:t>Implementarea investiției va fi finalizată până la 31 decembrie 2024.</w:t>
      </w:r>
    </w:p>
    <w:p w14:paraId="0F6D8AB7" w14:textId="77777777"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Investiția 3: Promovarea eficienței energetice a clădirilor publice</w:t>
      </w:r>
    </w:p>
    <w:p w14:paraId="786F43AD" w14:textId="77D984E6"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Obiectivul acestei măsuri este de a extinde axa 2 – Investiții în clădiri publice pentru o tranziție rezilientă și verde – a investiției 1 – Instituirea unui fond pentru Valul renovării care să finanțeze lucrări de îmbunătățire a eficienței energetice a fondului construit existent – din cadrul componentei 5 – Valul renovării. Extinderea măsurii va duce la o suprafață a clădirilor publice renovate din motive de eficiență energetică cu 466 510 m</w:t>
      </w:r>
      <w:r>
        <w:rPr>
          <w:rFonts w:ascii="Times New Roman" w:hAnsi="Times New Roman"/>
          <w:noProof/>
          <w:sz w:val="24"/>
          <w:vertAlign w:val="superscript"/>
        </w:rPr>
        <w:t>2</w:t>
      </w:r>
      <w:r>
        <w:rPr>
          <w:rFonts w:ascii="Times New Roman" w:hAnsi="Times New Roman"/>
          <w:noProof/>
          <w:sz w:val="24"/>
        </w:rPr>
        <w:t xml:space="preserve"> mai mare față de valoarea de referință de 1 797 841 m</w:t>
      </w:r>
      <w:r>
        <w:rPr>
          <w:rFonts w:ascii="Times New Roman" w:hAnsi="Times New Roman"/>
          <w:noProof/>
          <w:sz w:val="24"/>
          <w:vertAlign w:val="superscript"/>
        </w:rPr>
        <w:t>2</w:t>
      </w:r>
      <w:r>
        <w:rPr>
          <w:rFonts w:ascii="Times New Roman" w:hAnsi="Times New Roman"/>
          <w:noProof/>
          <w:sz w:val="24"/>
        </w:rPr>
        <w:t xml:space="preserve"> în cadrul investiției din componenta 5 menționată mai sus.</w:t>
      </w:r>
    </w:p>
    <w:p w14:paraId="5F8442B3"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30 iunie 2026.</w:t>
      </w:r>
    </w:p>
    <w:p w14:paraId="6FFFBACB" w14:textId="77777777"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 xml:space="preserve">Investiția 4: Schemă de granturi sub formă de bonuri valorice pentru accelerarea utilizării energiei din surse regenerabile de către gospodării </w:t>
      </w:r>
    </w:p>
    <w:p w14:paraId="2965E306" w14:textId="77777777" w:rsidR="00371AE6" w:rsidRDefault="009F596F">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Această investiție vizează sporirea implementării și utilizării energiei din surse regenerabile, oferindu-le proprietarilor de locuințe sprijin financiar sub formă de bonuri valorice pentru instalarea de noi sisteme de panouri solare (cu o capacitate netă de cel puțin 3 kW) sau de sisteme de stocare a energiei electrice (cu o capacitate de stocare a energiei electrice utilizabilă de cel puțin 5 kWh), fiecare bon valoric având o valoare de 5 000 EUR. Sistemele autonome de stocare a energiei electrice (cu o capacitate utilizabilă de stocare a energiei electrice de cel puțin 5 kW) sunt eligibile pentru sprijin numai în cazul în care proprietarii de locuințe dețin deja un sistem de panouri solare (cu o capacitate netă de cel puțin 3 kW). </w:t>
      </w:r>
    </w:p>
    <w:p w14:paraId="6E8C7E18" w14:textId="7CC840AB"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1ECE43E0" w14:textId="77777777"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Investiția 5: Digitalizarea, eficiența și modernizarea rețelei naționale de transport al energiei electrice</w:t>
      </w:r>
    </w:p>
    <w:p w14:paraId="6A0EA43E" w14:textId="2BE2A470"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Obiectivul investiției este de a spori flexibilitatea și de a aborda blocajele din rețeaua de energie electrică pentru a accelera integrarea capacităților suplimentare de producere a energiei din surse regenerabile și pentru a spori reziliența rețelei, consolidând în același timp securitatea cibernetică prin îmbunătățirea capacității de a răspunde la atacurile cibernetice.</w:t>
      </w:r>
    </w:p>
    <w:p w14:paraId="4EBFBD62"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constă în trei subinvestiții:</w:t>
      </w:r>
    </w:p>
    <w:p w14:paraId="2CD130CB" w14:textId="77777777" w:rsidR="009F596F" w:rsidRPr="000A27B3" w:rsidRDefault="009F596F" w:rsidP="00242777">
      <w:pPr>
        <w:pStyle w:val="ListParagraph"/>
        <w:numPr>
          <w:ilvl w:val="0"/>
          <w:numId w:val="126"/>
        </w:numPr>
        <w:spacing w:before="120" w:after="120" w:line="240" w:lineRule="auto"/>
        <w:jc w:val="both"/>
        <w:rPr>
          <w:rFonts w:ascii="Times New Roman" w:eastAsia="Times New Roman" w:hAnsi="Times New Roman" w:cs="Times New Roman"/>
          <w:noProof/>
          <w:sz w:val="24"/>
          <w:szCs w:val="24"/>
        </w:rPr>
      </w:pPr>
      <w:bookmarkStart w:id="19" w:name="_Hlk147406971"/>
      <w:r>
        <w:rPr>
          <w:rFonts w:ascii="Times New Roman" w:hAnsi="Times New Roman"/>
          <w:noProof/>
          <w:sz w:val="24"/>
        </w:rPr>
        <w:t xml:space="preserve">Prima subinvestiție vizează </w:t>
      </w:r>
      <w:bookmarkEnd w:id="19"/>
      <w:r>
        <w:rPr>
          <w:rFonts w:ascii="Times New Roman" w:hAnsi="Times New Roman"/>
          <w:noProof/>
          <w:sz w:val="24"/>
        </w:rPr>
        <w:t xml:space="preserve">obținerea unei reduceri de cel puțin 50 % a consumului propriu de energie electrică al Transelectrica în 29 de substații, comparativ cu 2022, prin instalarea de sisteme de panouri solare neconectate la rețea în același loc cu unitățile de stocare a energiei electrice în substațiile electrice în întreaga rețea de transport al energiei electrice. </w:t>
      </w:r>
    </w:p>
    <w:p w14:paraId="7049AD91" w14:textId="77777777" w:rsidR="009F596F" w:rsidRPr="000A27B3" w:rsidRDefault="009F596F">
      <w:pPr>
        <w:pStyle w:val="ListParagraph"/>
        <w:spacing w:before="120" w:after="120" w:line="240" w:lineRule="auto"/>
        <w:contextualSpacing w:val="0"/>
        <w:jc w:val="both"/>
        <w:rPr>
          <w:rFonts w:ascii="Times New Roman" w:eastAsia="Times New Roman" w:hAnsi="Times New Roman" w:cs="Times New Roman"/>
          <w:noProof/>
          <w:sz w:val="24"/>
          <w:szCs w:val="24"/>
        </w:rPr>
      </w:pPr>
      <w:r>
        <w:rPr>
          <w:rFonts w:ascii="Times New Roman" w:hAnsi="Times New Roman"/>
          <w:noProof/>
          <w:sz w:val="24"/>
        </w:rPr>
        <w:t>Implementarea acestei subinvestiții se va finaliza până la 30 iunie 2026.</w:t>
      </w:r>
    </w:p>
    <w:p w14:paraId="55947B00" w14:textId="77777777" w:rsidR="009F596F" w:rsidRPr="000A27B3" w:rsidRDefault="009F596F" w:rsidP="00242777">
      <w:pPr>
        <w:pStyle w:val="ListParagraph"/>
        <w:numPr>
          <w:ilvl w:val="0"/>
          <w:numId w:val="126"/>
        </w:num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A doua subinvestiție va furniza noi soluții și echipamente digitale pentru a reduce cu 50 % numărul mediu de ore de intervenție în rețeaua de transport al energiei electrice comparativ cu 2022 și pentru a facilita conectarea la rețea a noilor instalații de energie din surse regenerabile. </w:t>
      </w:r>
    </w:p>
    <w:p w14:paraId="3C3F9B6C" w14:textId="77777777" w:rsidR="009F596F" w:rsidRPr="000A27B3" w:rsidRDefault="009F596F">
      <w:pPr>
        <w:pStyle w:val="ListParagraph"/>
        <w:spacing w:before="120" w:after="120" w:line="240" w:lineRule="auto"/>
        <w:contextualSpacing w:val="0"/>
        <w:jc w:val="both"/>
        <w:rPr>
          <w:rFonts w:ascii="Times New Roman" w:eastAsia="Times New Roman" w:hAnsi="Times New Roman" w:cs="Times New Roman"/>
          <w:noProof/>
          <w:sz w:val="24"/>
          <w:szCs w:val="24"/>
        </w:rPr>
      </w:pPr>
      <w:r>
        <w:rPr>
          <w:rFonts w:ascii="Times New Roman" w:hAnsi="Times New Roman"/>
          <w:noProof/>
          <w:sz w:val="24"/>
        </w:rPr>
        <w:t>Implementarea acestei subinvestiții se va finaliza până la 31 decembrie 2025.</w:t>
      </w:r>
    </w:p>
    <w:p w14:paraId="6F3A51B4" w14:textId="77777777" w:rsidR="009F596F" w:rsidRPr="000A27B3" w:rsidRDefault="009F596F" w:rsidP="00242777">
      <w:pPr>
        <w:pStyle w:val="ListParagraph"/>
        <w:numPr>
          <w:ilvl w:val="0"/>
          <w:numId w:val="126"/>
        </w:numPr>
        <w:spacing w:before="120" w:after="120" w:line="240" w:lineRule="auto"/>
        <w:contextualSpacing w:val="0"/>
        <w:jc w:val="both"/>
        <w:rPr>
          <w:rFonts w:ascii="Times New Roman" w:eastAsia="Times New Roman" w:hAnsi="Times New Roman" w:cs="Times New Roman"/>
          <w:noProof/>
          <w:sz w:val="24"/>
          <w:szCs w:val="24"/>
        </w:rPr>
      </w:pPr>
      <w:r>
        <w:rPr>
          <w:rFonts w:ascii="Times New Roman" w:hAnsi="Times New Roman"/>
          <w:noProof/>
          <w:sz w:val="24"/>
        </w:rPr>
        <w:t xml:space="preserve">A treia subinvestiție vizează obținerea rezilienței cibernetice a rețelei de sisteme de transport al energiei electrice prin modernizarea gestionării securității rețelei (echipamente și software). </w:t>
      </w:r>
    </w:p>
    <w:p w14:paraId="0F402775" w14:textId="77777777" w:rsidR="00996A40" w:rsidRPr="000A27B3" w:rsidRDefault="009F596F">
      <w:pPr>
        <w:pStyle w:val="ListParagraph"/>
        <w:spacing w:before="120" w:after="120" w:line="240" w:lineRule="auto"/>
        <w:contextualSpacing w:val="0"/>
        <w:jc w:val="both"/>
        <w:rPr>
          <w:rFonts w:ascii="Times New Roman" w:hAnsi="Times New Roman" w:cs="Times New Roman"/>
          <w:noProof/>
          <w:sz w:val="24"/>
          <w:szCs w:val="24"/>
        </w:rPr>
        <w:sectPr w:rsidR="00996A40" w:rsidRPr="000A27B3" w:rsidSect="00716D2B">
          <w:headerReference w:type="even" r:id="rId325"/>
          <w:headerReference w:type="default" r:id="rId326"/>
          <w:footerReference w:type="even" r:id="rId327"/>
          <w:footerReference w:type="default" r:id="rId328"/>
          <w:headerReference w:type="first" r:id="rId329"/>
          <w:footerReference w:type="first" r:id="rId330"/>
          <w:pgSz w:w="11906" w:h="16838"/>
          <w:pgMar w:top="1440" w:right="1440" w:bottom="1440" w:left="1440" w:header="708" w:footer="708" w:gutter="0"/>
          <w:cols w:space="708"/>
          <w:docGrid w:linePitch="360"/>
        </w:sectPr>
      </w:pPr>
      <w:r>
        <w:rPr>
          <w:rFonts w:ascii="Times New Roman" w:hAnsi="Times New Roman"/>
          <w:noProof/>
          <w:sz w:val="24"/>
        </w:rPr>
        <w:t>Implementarea acestei subinvestiții se va finaliza până la 31 martie 2026.</w:t>
      </w:r>
    </w:p>
    <w:p w14:paraId="59E2662B" w14:textId="6D0E7923" w:rsidR="009F596F" w:rsidRPr="000A27B3" w:rsidRDefault="00E06E3D" w:rsidP="00A72AC9">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 xml:space="preserve">P.2. Jaloane, ținte, indicatori și calendarul de monitorizare și implementare aplicabile sprijinului financiar nerambursabil </w:t>
      </w:r>
    </w:p>
    <w:tbl>
      <w:tblPr>
        <w:tblW w:w="15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1336"/>
        <w:gridCol w:w="2132"/>
        <w:gridCol w:w="787"/>
        <w:gridCol w:w="1434"/>
        <w:gridCol w:w="1447"/>
        <w:gridCol w:w="1301"/>
        <w:gridCol w:w="1396"/>
        <w:gridCol w:w="1016"/>
        <w:gridCol w:w="1168"/>
        <w:gridCol w:w="793"/>
        <w:gridCol w:w="2447"/>
      </w:tblGrid>
      <w:tr w:rsidR="00D1375D" w:rsidRPr="000A27B3" w14:paraId="609C3271" w14:textId="77777777" w:rsidTr="00D36F66">
        <w:trPr>
          <w:trHeight w:val="585"/>
          <w:tblHeader/>
        </w:trPr>
        <w:tc>
          <w:tcPr>
            <w:tcW w:w="1571" w:type="dxa"/>
            <w:vMerge w:val="restart"/>
            <w:shd w:val="clear" w:color="auto" w:fill="C5D9F0"/>
            <w:tcMar>
              <w:left w:w="57" w:type="dxa"/>
              <w:right w:w="57" w:type="dxa"/>
            </w:tcMar>
            <w:vAlign w:val="center"/>
          </w:tcPr>
          <w:p w14:paraId="20FF4DC8" w14:textId="77777777" w:rsidR="009F596F" w:rsidRPr="000A27B3" w:rsidRDefault="009F596F" w:rsidP="007541DA">
            <w:pPr>
              <w:spacing w:after="0" w:line="245" w:lineRule="auto"/>
              <w:jc w:val="center"/>
              <w:rPr>
                <w:rFonts w:ascii="Times New Roman" w:hAnsi="Times New Roman" w:cs="Times New Roman"/>
                <w:noProof/>
                <w:sz w:val="24"/>
                <w:szCs w:val="24"/>
              </w:rPr>
            </w:pPr>
            <w:r>
              <w:rPr>
                <w:rFonts w:ascii="Times New Roman" w:hAnsi="Times New Roman"/>
                <w:b/>
                <w:noProof/>
                <w:sz w:val="24"/>
              </w:rPr>
              <w:t>Număr secvențial</w:t>
            </w:r>
          </w:p>
        </w:tc>
        <w:tc>
          <w:tcPr>
            <w:tcW w:w="2490" w:type="dxa"/>
            <w:vMerge w:val="restart"/>
            <w:shd w:val="clear" w:color="auto" w:fill="C5D9F0"/>
            <w:tcMar>
              <w:left w:w="57" w:type="dxa"/>
              <w:right w:w="57" w:type="dxa"/>
            </w:tcMar>
            <w:vAlign w:val="center"/>
          </w:tcPr>
          <w:p w14:paraId="7D57B9F5" w14:textId="179AC174" w:rsidR="009F596F" w:rsidRPr="000A27B3" w:rsidRDefault="009F596F" w:rsidP="007541DA">
            <w:pPr>
              <w:spacing w:after="0" w:line="252" w:lineRule="auto"/>
              <w:jc w:val="center"/>
              <w:rPr>
                <w:rFonts w:ascii="Times New Roman" w:hAnsi="Times New Roman" w:cs="Times New Roman"/>
                <w:noProof/>
                <w:sz w:val="24"/>
                <w:szCs w:val="24"/>
              </w:rPr>
            </w:pPr>
            <w:r>
              <w:rPr>
                <w:rFonts w:ascii="Times New Roman" w:hAnsi="Times New Roman"/>
                <w:b/>
                <w:noProof/>
                <w:sz w:val="24"/>
              </w:rPr>
              <w:t>Măsură</w:t>
            </w:r>
          </w:p>
        </w:tc>
        <w:tc>
          <w:tcPr>
            <w:tcW w:w="906" w:type="dxa"/>
            <w:vMerge w:val="restart"/>
            <w:shd w:val="clear" w:color="auto" w:fill="C5D9F0"/>
            <w:tcMar>
              <w:left w:w="57" w:type="dxa"/>
              <w:right w:w="57" w:type="dxa"/>
            </w:tcMar>
            <w:vAlign w:val="center"/>
          </w:tcPr>
          <w:p w14:paraId="2985F713" w14:textId="77777777" w:rsidR="009F596F" w:rsidRPr="000A27B3" w:rsidRDefault="009F596F" w:rsidP="007541DA">
            <w:pPr>
              <w:spacing w:before="142" w:after="0"/>
              <w:jc w:val="center"/>
              <w:rPr>
                <w:rFonts w:ascii="Times New Roman" w:hAnsi="Times New Roman" w:cs="Times New Roman"/>
                <w:noProof/>
                <w:sz w:val="24"/>
                <w:szCs w:val="24"/>
              </w:rPr>
            </w:pPr>
            <w:r>
              <w:rPr>
                <w:rFonts w:ascii="Times New Roman" w:hAnsi="Times New Roman"/>
                <w:b/>
                <w:noProof/>
                <w:sz w:val="24"/>
              </w:rPr>
              <w:t>Jalon</w:t>
            </w:r>
            <w:r>
              <w:rPr>
                <w:noProof/>
                <w:sz w:val="24"/>
              </w:rPr>
              <w:t xml:space="preserve"> </w:t>
            </w:r>
            <w:r>
              <w:rPr>
                <w:noProof/>
                <w:sz w:val="24"/>
              </w:rPr>
              <w:br/>
            </w:r>
            <w:r>
              <w:rPr>
                <w:rFonts w:ascii="Times New Roman" w:hAnsi="Times New Roman"/>
                <w:b/>
                <w:noProof/>
                <w:sz w:val="24"/>
              </w:rPr>
              <w:t>/ țintă</w:t>
            </w:r>
          </w:p>
        </w:tc>
        <w:tc>
          <w:tcPr>
            <w:tcW w:w="1159" w:type="dxa"/>
            <w:vMerge w:val="restart"/>
            <w:shd w:val="clear" w:color="auto" w:fill="C5D9F0"/>
            <w:tcMar>
              <w:left w:w="57" w:type="dxa"/>
              <w:right w:w="57" w:type="dxa"/>
            </w:tcMar>
            <w:vAlign w:val="center"/>
          </w:tcPr>
          <w:p w14:paraId="13644C2D" w14:textId="77777777" w:rsidR="009F596F" w:rsidRPr="000A27B3" w:rsidRDefault="009F596F" w:rsidP="007541DA">
            <w:pPr>
              <w:spacing w:before="4" w:after="0" w:line="257" w:lineRule="auto"/>
              <w:jc w:val="center"/>
              <w:rPr>
                <w:rFonts w:ascii="Times New Roman" w:hAnsi="Times New Roman" w:cs="Times New Roman"/>
                <w:noProof/>
                <w:sz w:val="24"/>
                <w:szCs w:val="24"/>
              </w:rPr>
            </w:pPr>
            <w:r>
              <w:rPr>
                <w:rFonts w:ascii="Times New Roman" w:hAnsi="Times New Roman"/>
                <w:b/>
                <w:noProof/>
                <w:sz w:val="24"/>
              </w:rPr>
              <w:t>Denumire</w:t>
            </w:r>
          </w:p>
        </w:tc>
        <w:tc>
          <w:tcPr>
            <w:tcW w:w="1159" w:type="dxa"/>
            <w:vMerge w:val="restart"/>
            <w:shd w:val="clear" w:color="auto" w:fill="C5D9F0"/>
            <w:tcMar>
              <w:left w:w="57" w:type="dxa"/>
              <w:right w:w="57" w:type="dxa"/>
            </w:tcMar>
            <w:vAlign w:val="center"/>
          </w:tcPr>
          <w:p w14:paraId="09CB1DA3" w14:textId="77777777" w:rsidR="009F596F" w:rsidRPr="000A27B3" w:rsidRDefault="009F596F" w:rsidP="007541DA">
            <w:pPr>
              <w:spacing w:before="1" w:after="0" w:line="242" w:lineRule="auto"/>
              <w:ind w:firstLine="45"/>
              <w:jc w:val="center"/>
              <w:rPr>
                <w:rFonts w:ascii="Times New Roman" w:hAnsi="Times New Roman" w:cs="Times New Roman"/>
                <w:noProof/>
                <w:sz w:val="24"/>
                <w:szCs w:val="24"/>
              </w:rPr>
            </w:pPr>
            <w:r>
              <w:rPr>
                <w:rFonts w:ascii="Times New Roman" w:hAnsi="Times New Roman"/>
                <w:b/>
                <w:noProof/>
                <w:sz w:val="24"/>
              </w:rPr>
              <w:t>Indicator calitativ (pentru jaloane)</w:t>
            </w:r>
          </w:p>
        </w:tc>
        <w:tc>
          <w:tcPr>
            <w:tcW w:w="3975" w:type="dxa"/>
            <w:gridSpan w:val="3"/>
            <w:shd w:val="clear" w:color="auto" w:fill="C5D9F0"/>
            <w:tcMar>
              <w:left w:w="57" w:type="dxa"/>
              <w:right w:w="57" w:type="dxa"/>
            </w:tcMar>
            <w:vAlign w:val="center"/>
          </w:tcPr>
          <w:p w14:paraId="503CAE09" w14:textId="61ACF5F3" w:rsidR="009F596F" w:rsidRPr="000A27B3" w:rsidRDefault="009F596F" w:rsidP="007541DA">
            <w:pPr>
              <w:spacing w:before="142" w:after="0" w:line="223" w:lineRule="auto"/>
              <w:jc w:val="center"/>
              <w:rPr>
                <w:rFonts w:ascii="Times New Roman" w:hAnsi="Times New Roman" w:cs="Times New Roman"/>
                <w:noProof/>
                <w:sz w:val="24"/>
                <w:szCs w:val="24"/>
              </w:rPr>
            </w:pPr>
            <w:r>
              <w:rPr>
                <w:rFonts w:ascii="Times New Roman" w:hAnsi="Times New Roman"/>
                <w:b/>
                <w:noProof/>
                <w:sz w:val="24"/>
              </w:rPr>
              <w:t>Indicator cantitativ</w:t>
            </w:r>
            <w:r w:rsidR="004C4C72">
              <w:rPr>
                <w:rFonts w:ascii="Times New Roman" w:hAnsi="Times New Roman"/>
                <w:b/>
                <w:noProof/>
                <w:sz w:val="24"/>
              </w:rPr>
              <w:t xml:space="preserve"> </w:t>
            </w:r>
            <w:r>
              <w:rPr>
                <w:noProof/>
                <w:sz w:val="24"/>
              </w:rPr>
              <w:br/>
            </w:r>
            <w:r>
              <w:rPr>
                <w:rFonts w:ascii="Times New Roman" w:hAnsi="Times New Roman"/>
                <w:b/>
                <w:noProof/>
                <w:sz w:val="24"/>
              </w:rPr>
              <w:t>(pentru țintă)</w:t>
            </w:r>
          </w:p>
        </w:tc>
        <w:tc>
          <w:tcPr>
            <w:tcW w:w="1782" w:type="dxa"/>
            <w:gridSpan w:val="2"/>
            <w:shd w:val="clear" w:color="auto" w:fill="C5D9F0"/>
            <w:tcMar>
              <w:left w:w="57" w:type="dxa"/>
              <w:right w:w="57" w:type="dxa"/>
            </w:tcMar>
            <w:vAlign w:val="center"/>
          </w:tcPr>
          <w:p w14:paraId="2AC07382" w14:textId="77777777" w:rsidR="009F596F" w:rsidRPr="000A27B3" w:rsidRDefault="009F596F" w:rsidP="007541DA">
            <w:pPr>
              <w:spacing w:before="1" w:after="0"/>
              <w:jc w:val="center"/>
              <w:rPr>
                <w:rFonts w:ascii="Times New Roman" w:hAnsi="Times New Roman" w:cs="Times New Roman"/>
                <w:noProof/>
                <w:sz w:val="24"/>
                <w:szCs w:val="24"/>
              </w:rPr>
            </w:pPr>
            <w:r>
              <w:rPr>
                <w:rFonts w:ascii="Times New Roman" w:hAnsi="Times New Roman"/>
                <w:b/>
                <w:noProof/>
                <w:sz w:val="24"/>
              </w:rPr>
              <w:t>Calendar</w:t>
            </w:r>
          </w:p>
        </w:tc>
        <w:tc>
          <w:tcPr>
            <w:tcW w:w="2215" w:type="dxa"/>
            <w:vMerge w:val="restart"/>
            <w:shd w:val="clear" w:color="auto" w:fill="C5D9F0"/>
            <w:tcMar>
              <w:left w:w="57" w:type="dxa"/>
              <w:right w:w="57" w:type="dxa"/>
            </w:tcMar>
            <w:vAlign w:val="center"/>
          </w:tcPr>
          <w:p w14:paraId="341BFFD2" w14:textId="35007FA1" w:rsidR="009F596F" w:rsidRPr="009F1DC7" w:rsidRDefault="009F596F" w:rsidP="007541DA">
            <w:pPr>
              <w:spacing w:before="6" w:after="0"/>
              <w:jc w:val="center"/>
              <w:rPr>
                <w:rFonts w:ascii="Times New Roman" w:hAnsi="Times New Roman" w:cs="Times New Roman"/>
                <w:noProof/>
                <w:sz w:val="24"/>
                <w:szCs w:val="24"/>
              </w:rPr>
            </w:pPr>
          </w:p>
          <w:p w14:paraId="3131DA9B" w14:textId="77777777" w:rsidR="009F596F" w:rsidRPr="000A27B3" w:rsidRDefault="009F596F" w:rsidP="007541DA">
            <w:pPr>
              <w:spacing w:after="0"/>
              <w:jc w:val="center"/>
              <w:rPr>
                <w:rFonts w:ascii="Times New Roman" w:hAnsi="Times New Roman" w:cs="Times New Roman"/>
                <w:noProof/>
                <w:sz w:val="24"/>
                <w:szCs w:val="24"/>
              </w:rPr>
            </w:pPr>
            <w:r>
              <w:rPr>
                <w:rFonts w:ascii="Times New Roman" w:hAnsi="Times New Roman"/>
                <w:b/>
                <w:noProof/>
                <w:sz w:val="24"/>
              </w:rPr>
              <w:t>Descrierea fiecărui jalon și a fiecărei ținte</w:t>
            </w:r>
          </w:p>
        </w:tc>
      </w:tr>
      <w:tr w:rsidR="00D1375D" w:rsidRPr="000A27B3" w14:paraId="395AC8B1" w14:textId="77777777" w:rsidTr="00D36F66">
        <w:trPr>
          <w:trHeight w:val="585"/>
          <w:tblHeader/>
        </w:trPr>
        <w:tc>
          <w:tcPr>
            <w:tcW w:w="1571" w:type="dxa"/>
            <w:vMerge/>
            <w:tcMar>
              <w:left w:w="57" w:type="dxa"/>
              <w:right w:w="57" w:type="dxa"/>
            </w:tcMar>
            <w:vAlign w:val="center"/>
          </w:tcPr>
          <w:p w14:paraId="6347F37D" w14:textId="77777777" w:rsidR="009F596F" w:rsidRPr="009F1DC7" w:rsidRDefault="009F596F">
            <w:pPr>
              <w:rPr>
                <w:rFonts w:ascii="Times New Roman" w:hAnsi="Times New Roman" w:cs="Times New Roman"/>
                <w:noProof/>
                <w:sz w:val="24"/>
                <w:szCs w:val="24"/>
              </w:rPr>
            </w:pPr>
          </w:p>
        </w:tc>
        <w:tc>
          <w:tcPr>
            <w:tcW w:w="2490" w:type="dxa"/>
            <w:vMerge/>
            <w:tcMar>
              <w:left w:w="57" w:type="dxa"/>
              <w:right w:w="57" w:type="dxa"/>
            </w:tcMar>
            <w:vAlign w:val="center"/>
          </w:tcPr>
          <w:p w14:paraId="5A54E577" w14:textId="77777777" w:rsidR="009F596F" w:rsidRPr="009F1DC7" w:rsidRDefault="009F596F">
            <w:pPr>
              <w:rPr>
                <w:rFonts w:ascii="Times New Roman" w:hAnsi="Times New Roman" w:cs="Times New Roman"/>
                <w:noProof/>
                <w:sz w:val="24"/>
                <w:szCs w:val="24"/>
              </w:rPr>
            </w:pPr>
          </w:p>
        </w:tc>
        <w:tc>
          <w:tcPr>
            <w:tcW w:w="906" w:type="dxa"/>
            <w:vMerge/>
            <w:tcMar>
              <w:left w:w="57" w:type="dxa"/>
              <w:right w:w="57" w:type="dxa"/>
            </w:tcMar>
            <w:vAlign w:val="center"/>
          </w:tcPr>
          <w:p w14:paraId="05F3E505" w14:textId="77777777" w:rsidR="009F596F" w:rsidRPr="009F1DC7" w:rsidRDefault="009F596F">
            <w:pPr>
              <w:rPr>
                <w:rFonts w:ascii="Times New Roman" w:hAnsi="Times New Roman" w:cs="Times New Roman"/>
                <w:noProof/>
                <w:sz w:val="24"/>
                <w:szCs w:val="24"/>
              </w:rPr>
            </w:pPr>
          </w:p>
        </w:tc>
        <w:tc>
          <w:tcPr>
            <w:tcW w:w="1159" w:type="dxa"/>
            <w:vMerge/>
            <w:tcMar>
              <w:left w:w="57" w:type="dxa"/>
              <w:right w:w="57" w:type="dxa"/>
            </w:tcMar>
            <w:vAlign w:val="center"/>
          </w:tcPr>
          <w:p w14:paraId="78A59BAC" w14:textId="77777777" w:rsidR="009F596F" w:rsidRPr="009F1DC7" w:rsidRDefault="009F596F">
            <w:pPr>
              <w:rPr>
                <w:rFonts w:ascii="Times New Roman" w:hAnsi="Times New Roman" w:cs="Times New Roman"/>
                <w:noProof/>
                <w:sz w:val="24"/>
                <w:szCs w:val="24"/>
              </w:rPr>
            </w:pPr>
          </w:p>
        </w:tc>
        <w:tc>
          <w:tcPr>
            <w:tcW w:w="1159" w:type="dxa"/>
            <w:vMerge/>
            <w:tcMar>
              <w:left w:w="57" w:type="dxa"/>
              <w:right w:w="57" w:type="dxa"/>
            </w:tcMar>
            <w:vAlign w:val="center"/>
          </w:tcPr>
          <w:p w14:paraId="045211CB" w14:textId="77777777" w:rsidR="009F596F" w:rsidRPr="009F1DC7" w:rsidRDefault="009F596F">
            <w:pPr>
              <w:rPr>
                <w:rFonts w:ascii="Times New Roman" w:hAnsi="Times New Roman" w:cs="Times New Roman"/>
                <w:noProof/>
                <w:sz w:val="24"/>
                <w:szCs w:val="24"/>
              </w:rPr>
            </w:pPr>
          </w:p>
        </w:tc>
        <w:tc>
          <w:tcPr>
            <w:tcW w:w="1127" w:type="dxa"/>
            <w:shd w:val="clear" w:color="auto" w:fill="C5D9F0"/>
            <w:tcMar>
              <w:left w:w="57" w:type="dxa"/>
              <w:right w:w="57" w:type="dxa"/>
            </w:tcMar>
            <w:vAlign w:val="center"/>
          </w:tcPr>
          <w:p w14:paraId="5B815968" w14:textId="77777777" w:rsidR="009F596F" w:rsidRPr="000A27B3" w:rsidRDefault="009F596F">
            <w:pPr>
              <w:spacing w:before="142" w:after="0" w:line="223" w:lineRule="auto"/>
              <w:jc w:val="center"/>
              <w:rPr>
                <w:rFonts w:ascii="Times New Roman" w:hAnsi="Times New Roman" w:cs="Times New Roman"/>
                <w:noProof/>
                <w:sz w:val="24"/>
                <w:szCs w:val="24"/>
              </w:rPr>
            </w:pPr>
            <w:r>
              <w:rPr>
                <w:rFonts w:ascii="Times New Roman" w:hAnsi="Times New Roman"/>
                <w:b/>
                <w:noProof/>
                <w:sz w:val="24"/>
              </w:rPr>
              <w:t>Unitate</w:t>
            </w:r>
          </w:p>
        </w:tc>
        <w:tc>
          <w:tcPr>
            <w:tcW w:w="1794" w:type="dxa"/>
            <w:shd w:val="clear" w:color="auto" w:fill="C5D9F0"/>
            <w:tcMar>
              <w:left w:w="57" w:type="dxa"/>
              <w:right w:w="57" w:type="dxa"/>
            </w:tcMar>
            <w:vAlign w:val="center"/>
          </w:tcPr>
          <w:p w14:paraId="0C4FE19F" w14:textId="77777777" w:rsidR="009F596F" w:rsidRPr="000A27B3" w:rsidRDefault="009F596F">
            <w:pPr>
              <w:spacing w:before="142" w:after="0" w:line="223" w:lineRule="auto"/>
              <w:jc w:val="center"/>
              <w:rPr>
                <w:rFonts w:ascii="Times New Roman" w:hAnsi="Times New Roman" w:cs="Times New Roman"/>
                <w:noProof/>
                <w:sz w:val="24"/>
                <w:szCs w:val="24"/>
              </w:rPr>
            </w:pPr>
            <w:r>
              <w:rPr>
                <w:rFonts w:ascii="Times New Roman" w:hAnsi="Times New Roman"/>
                <w:b/>
                <w:noProof/>
                <w:sz w:val="24"/>
              </w:rPr>
              <w:t>Valoare de referință</w:t>
            </w:r>
          </w:p>
        </w:tc>
        <w:tc>
          <w:tcPr>
            <w:tcW w:w="1054" w:type="dxa"/>
            <w:shd w:val="clear" w:color="auto" w:fill="C5D9F0"/>
            <w:tcMar>
              <w:left w:w="57" w:type="dxa"/>
              <w:right w:w="57" w:type="dxa"/>
            </w:tcMar>
            <w:vAlign w:val="center"/>
          </w:tcPr>
          <w:p w14:paraId="6F8F4762" w14:textId="77777777" w:rsidR="009F596F" w:rsidRPr="000A27B3" w:rsidRDefault="009F596F">
            <w:pPr>
              <w:spacing w:before="142" w:after="0" w:line="223" w:lineRule="auto"/>
              <w:jc w:val="center"/>
              <w:rPr>
                <w:rFonts w:ascii="Times New Roman" w:hAnsi="Times New Roman" w:cs="Times New Roman"/>
                <w:noProof/>
                <w:sz w:val="24"/>
                <w:szCs w:val="24"/>
              </w:rPr>
            </w:pPr>
            <w:r>
              <w:rPr>
                <w:rFonts w:ascii="Times New Roman" w:hAnsi="Times New Roman"/>
                <w:b/>
                <w:noProof/>
                <w:sz w:val="24"/>
              </w:rPr>
              <w:t>Obiectiv</w:t>
            </w:r>
          </w:p>
        </w:tc>
        <w:tc>
          <w:tcPr>
            <w:tcW w:w="779" w:type="dxa"/>
            <w:shd w:val="clear" w:color="auto" w:fill="C5D9F0"/>
            <w:tcMar>
              <w:left w:w="57" w:type="dxa"/>
              <w:right w:w="57" w:type="dxa"/>
            </w:tcMar>
            <w:vAlign w:val="center"/>
          </w:tcPr>
          <w:p w14:paraId="66B26466" w14:textId="6041168B" w:rsidR="009F596F" w:rsidRPr="000A27B3" w:rsidRDefault="009F596F" w:rsidP="007541DA">
            <w:pPr>
              <w:spacing w:before="3"/>
              <w:jc w:val="center"/>
              <w:rPr>
                <w:rFonts w:ascii="Times New Roman" w:hAnsi="Times New Roman" w:cs="Times New Roman"/>
                <w:noProof/>
                <w:sz w:val="24"/>
                <w:szCs w:val="24"/>
                <w:lang w:val="en-GB"/>
              </w:rPr>
            </w:pPr>
          </w:p>
          <w:p w14:paraId="64C2892D" w14:textId="77777777" w:rsidR="009F596F" w:rsidRPr="000A27B3" w:rsidRDefault="009F596F" w:rsidP="007541DA">
            <w:pPr>
              <w:spacing w:before="3"/>
              <w:jc w:val="center"/>
              <w:rPr>
                <w:rFonts w:ascii="Times New Roman" w:hAnsi="Times New Roman" w:cs="Times New Roman"/>
                <w:noProof/>
                <w:sz w:val="24"/>
                <w:szCs w:val="24"/>
              </w:rPr>
            </w:pPr>
            <w:r>
              <w:rPr>
                <w:rFonts w:ascii="Times New Roman" w:hAnsi="Times New Roman"/>
                <w:b/>
                <w:noProof/>
                <w:sz w:val="24"/>
              </w:rPr>
              <w:t>Trimestru</w:t>
            </w:r>
          </w:p>
        </w:tc>
        <w:tc>
          <w:tcPr>
            <w:tcW w:w="1003" w:type="dxa"/>
            <w:shd w:val="clear" w:color="auto" w:fill="C5D9F0"/>
            <w:tcMar>
              <w:left w:w="57" w:type="dxa"/>
              <w:right w:w="57" w:type="dxa"/>
            </w:tcMar>
            <w:vAlign w:val="center"/>
          </w:tcPr>
          <w:p w14:paraId="16156150" w14:textId="3C0AAA16" w:rsidR="009F596F" w:rsidRPr="000A27B3" w:rsidRDefault="009F596F" w:rsidP="007541DA">
            <w:pPr>
              <w:spacing w:before="3"/>
              <w:jc w:val="center"/>
              <w:rPr>
                <w:rFonts w:ascii="Times New Roman" w:hAnsi="Times New Roman" w:cs="Times New Roman"/>
                <w:noProof/>
                <w:sz w:val="24"/>
                <w:szCs w:val="24"/>
                <w:lang w:val="en-GB"/>
              </w:rPr>
            </w:pPr>
          </w:p>
          <w:p w14:paraId="4D42E4FF" w14:textId="77777777" w:rsidR="009F596F" w:rsidRPr="000A27B3" w:rsidRDefault="009F596F" w:rsidP="007541DA">
            <w:pPr>
              <w:spacing w:before="3"/>
              <w:jc w:val="center"/>
              <w:rPr>
                <w:rFonts w:ascii="Times New Roman" w:hAnsi="Times New Roman" w:cs="Times New Roman"/>
                <w:noProof/>
                <w:sz w:val="24"/>
                <w:szCs w:val="24"/>
              </w:rPr>
            </w:pPr>
            <w:r>
              <w:rPr>
                <w:rFonts w:ascii="Times New Roman" w:hAnsi="Times New Roman"/>
                <w:b/>
                <w:noProof/>
                <w:sz w:val="24"/>
              </w:rPr>
              <w:t>An</w:t>
            </w:r>
          </w:p>
        </w:tc>
        <w:tc>
          <w:tcPr>
            <w:tcW w:w="2215" w:type="dxa"/>
            <w:vMerge/>
            <w:tcMar>
              <w:left w:w="57" w:type="dxa"/>
              <w:right w:w="57" w:type="dxa"/>
            </w:tcMar>
            <w:vAlign w:val="center"/>
          </w:tcPr>
          <w:p w14:paraId="1A57E78D" w14:textId="77777777" w:rsidR="009F596F" w:rsidRPr="000A27B3" w:rsidRDefault="009F596F">
            <w:pPr>
              <w:rPr>
                <w:rFonts w:ascii="Times New Roman" w:hAnsi="Times New Roman" w:cs="Times New Roman"/>
                <w:noProof/>
                <w:sz w:val="19"/>
                <w:szCs w:val="19"/>
                <w:lang w:val="en-GB"/>
              </w:rPr>
            </w:pPr>
          </w:p>
        </w:tc>
      </w:tr>
      <w:tr w:rsidR="00D1375D" w:rsidRPr="000A27B3" w14:paraId="26B7BBA5" w14:textId="77777777" w:rsidTr="00D36F66">
        <w:trPr>
          <w:trHeight w:val="406"/>
        </w:trPr>
        <w:tc>
          <w:tcPr>
            <w:tcW w:w="1571" w:type="dxa"/>
            <w:shd w:val="clear" w:color="auto" w:fill="C5EECE"/>
            <w:tcMar>
              <w:left w:w="57" w:type="dxa"/>
              <w:right w:w="57" w:type="dxa"/>
            </w:tcMar>
          </w:tcPr>
          <w:p w14:paraId="5839D3E1" w14:textId="2A10EDB9" w:rsidR="00A665F6" w:rsidRPr="000A27B3" w:rsidRDefault="00A665F6" w:rsidP="00FD6793">
            <w:pPr>
              <w:spacing w:before="138" w:after="0"/>
              <w:jc w:val="center"/>
              <w:rPr>
                <w:rFonts w:ascii="Times New Roman" w:hAnsi="Times New Roman"/>
                <w:noProof/>
                <w:sz w:val="24"/>
                <w:szCs w:val="32"/>
              </w:rPr>
            </w:pPr>
            <w:r>
              <w:rPr>
                <w:rFonts w:ascii="Times New Roman" w:hAnsi="Times New Roman"/>
                <w:noProof/>
                <w:sz w:val="24"/>
              </w:rPr>
              <w:t>508</w:t>
            </w:r>
          </w:p>
        </w:tc>
        <w:tc>
          <w:tcPr>
            <w:tcW w:w="2490" w:type="dxa"/>
            <w:shd w:val="clear" w:color="auto" w:fill="C5EECE"/>
            <w:tcMar>
              <w:left w:w="57" w:type="dxa"/>
              <w:right w:w="57" w:type="dxa"/>
            </w:tcMar>
          </w:tcPr>
          <w:p w14:paraId="3D823761" w14:textId="1348C4C3" w:rsidR="00A665F6" w:rsidRPr="000A27B3" w:rsidRDefault="00F100CB">
            <w:pPr>
              <w:spacing w:before="141" w:after="0" w:line="245" w:lineRule="auto"/>
              <w:jc w:val="both"/>
              <w:rPr>
                <w:rFonts w:ascii="Times New Roman" w:hAnsi="Times New Roman"/>
                <w:noProof/>
                <w:sz w:val="24"/>
                <w:szCs w:val="32"/>
              </w:rPr>
            </w:pPr>
            <w:r>
              <w:rPr>
                <w:rFonts w:ascii="Times New Roman" w:hAnsi="Times New Roman"/>
                <w:noProof/>
                <w:sz w:val="24"/>
              </w:rPr>
              <w:t>Reforma 1. Crearea unui cadru juridic pentru utilizarea terenurilor aflate în proprietatea statului ca zone de accelerare pentru investițiile în sursele regenerabile de energie</w:t>
            </w:r>
          </w:p>
        </w:tc>
        <w:tc>
          <w:tcPr>
            <w:tcW w:w="906" w:type="dxa"/>
            <w:shd w:val="clear" w:color="auto" w:fill="C5EECE"/>
            <w:tcMar>
              <w:left w:w="57" w:type="dxa"/>
              <w:right w:w="57" w:type="dxa"/>
            </w:tcMar>
          </w:tcPr>
          <w:p w14:paraId="47935982" w14:textId="708A1EEA" w:rsidR="00A665F6" w:rsidRPr="000A27B3" w:rsidRDefault="00F100CB">
            <w:pPr>
              <w:spacing w:before="138" w:after="0" w:line="254" w:lineRule="auto"/>
              <w:jc w:val="both"/>
              <w:rPr>
                <w:rFonts w:ascii="Times New Roman" w:hAnsi="Times New Roman"/>
                <w:noProof/>
                <w:sz w:val="24"/>
                <w:szCs w:val="32"/>
              </w:rPr>
            </w:pPr>
            <w:r>
              <w:rPr>
                <w:rFonts w:ascii="Times New Roman" w:hAnsi="Times New Roman"/>
                <w:noProof/>
                <w:sz w:val="24"/>
              </w:rPr>
              <w:t>Jalon</w:t>
            </w:r>
          </w:p>
        </w:tc>
        <w:tc>
          <w:tcPr>
            <w:tcW w:w="1159" w:type="dxa"/>
            <w:shd w:val="clear" w:color="auto" w:fill="C5EECE"/>
            <w:tcMar>
              <w:left w:w="57" w:type="dxa"/>
              <w:right w:w="57" w:type="dxa"/>
            </w:tcMar>
          </w:tcPr>
          <w:p w14:paraId="7ADD9ED3" w14:textId="515725A7" w:rsidR="00A665F6" w:rsidRPr="000A27B3" w:rsidRDefault="00F100CB" w:rsidP="005E4097">
            <w:pPr>
              <w:spacing w:before="138" w:after="0" w:line="254" w:lineRule="auto"/>
              <w:jc w:val="both"/>
              <w:rPr>
                <w:rFonts w:ascii="Times New Roman" w:hAnsi="Times New Roman" w:cs="Times New Roman"/>
                <w:noProof/>
                <w:sz w:val="24"/>
                <w:szCs w:val="24"/>
              </w:rPr>
            </w:pPr>
            <w:r>
              <w:rPr>
                <w:rFonts w:ascii="Times New Roman" w:hAnsi="Times New Roman"/>
                <w:noProof/>
                <w:sz w:val="24"/>
              </w:rPr>
              <w:t>Consolidarea capacităților Agenției Domeniilor Statului (ADS)</w:t>
            </w:r>
          </w:p>
        </w:tc>
        <w:tc>
          <w:tcPr>
            <w:tcW w:w="1159" w:type="dxa"/>
            <w:shd w:val="clear" w:color="auto" w:fill="C5EECE"/>
            <w:tcMar>
              <w:left w:w="57" w:type="dxa"/>
              <w:right w:w="57" w:type="dxa"/>
            </w:tcMar>
          </w:tcPr>
          <w:p w14:paraId="2322F340" w14:textId="31F46E44" w:rsidR="00A665F6" w:rsidRPr="000A27B3" w:rsidRDefault="001D3C10" w:rsidP="005E4097">
            <w:pPr>
              <w:spacing w:before="138" w:after="0" w:line="254" w:lineRule="auto"/>
              <w:jc w:val="both"/>
              <w:rPr>
                <w:rFonts w:ascii="Times New Roman" w:hAnsi="Times New Roman"/>
                <w:noProof/>
                <w:sz w:val="24"/>
                <w:szCs w:val="32"/>
              </w:rPr>
            </w:pPr>
            <w:r>
              <w:rPr>
                <w:rFonts w:ascii="Times New Roman" w:hAnsi="Times New Roman"/>
                <w:noProof/>
                <w:sz w:val="24"/>
              </w:rPr>
              <w:t>Echipamentul este livrat</w:t>
            </w:r>
          </w:p>
        </w:tc>
        <w:tc>
          <w:tcPr>
            <w:tcW w:w="1127" w:type="dxa"/>
            <w:shd w:val="clear" w:color="auto" w:fill="C5EECE"/>
            <w:tcMar>
              <w:left w:w="57" w:type="dxa"/>
              <w:right w:w="57" w:type="dxa"/>
            </w:tcMar>
          </w:tcPr>
          <w:p w14:paraId="0EDA95A0" w14:textId="77777777" w:rsidR="00A665F6" w:rsidRPr="000A27B3" w:rsidRDefault="00A665F6">
            <w:pPr>
              <w:spacing w:after="0"/>
              <w:jc w:val="both"/>
              <w:rPr>
                <w:rFonts w:ascii="Times New Roman" w:hAnsi="Times New Roman"/>
                <w:noProof/>
                <w:sz w:val="24"/>
                <w:szCs w:val="32"/>
                <w:lang w:val="en-GB"/>
              </w:rPr>
            </w:pPr>
          </w:p>
        </w:tc>
        <w:tc>
          <w:tcPr>
            <w:tcW w:w="1794" w:type="dxa"/>
            <w:shd w:val="clear" w:color="auto" w:fill="C5EECE"/>
            <w:tcMar>
              <w:left w:w="57" w:type="dxa"/>
              <w:right w:w="57" w:type="dxa"/>
            </w:tcMar>
          </w:tcPr>
          <w:p w14:paraId="72AAD784" w14:textId="77777777" w:rsidR="00A665F6" w:rsidRPr="000A27B3" w:rsidRDefault="00A665F6">
            <w:pPr>
              <w:spacing w:after="0"/>
              <w:jc w:val="both"/>
              <w:rPr>
                <w:rFonts w:ascii="Times New Roman" w:hAnsi="Times New Roman"/>
                <w:noProof/>
                <w:sz w:val="24"/>
                <w:szCs w:val="32"/>
                <w:lang w:val="en-GB"/>
              </w:rPr>
            </w:pPr>
          </w:p>
        </w:tc>
        <w:tc>
          <w:tcPr>
            <w:tcW w:w="1054" w:type="dxa"/>
            <w:shd w:val="clear" w:color="auto" w:fill="C5EECE"/>
            <w:tcMar>
              <w:left w:w="57" w:type="dxa"/>
              <w:right w:w="57" w:type="dxa"/>
            </w:tcMar>
          </w:tcPr>
          <w:p w14:paraId="1F1ACC3B" w14:textId="77777777" w:rsidR="00A665F6" w:rsidRPr="000A27B3" w:rsidRDefault="00A665F6">
            <w:pPr>
              <w:spacing w:after="0"/>
              <w:jc w:val="both"/>
              <w:rPr>
                <w:rFonts w:ascii="Times New Roman" w:hAnsi="Times New Roman"/>
                <w:noProof/>
                <w:sz w:val="24"/>
                <w:szCs w:val="32"/>
                <w:lang w:val="en-GB"/>
              </w:rPr>
            </w:pPr>
          </w:p>
        </w:tc>
        <w:tc>
          <w:tcPr>
            <w:tcW w:w="779" w:type="dxa"/>
            <w:shd w:val="clear" w:color="auto" w:fill="C5EECE"/>
            <w:tcMar>
              <w:left w:w="57" w:type="dxa"/>
              <w:right w:w="57" w:type="dxa"/>
            </w:tcMar>
          </w:tcPr>
          <w:p w14:paraId="6219AEDA" w14:textId="4788A8A8" w:rsidR="00A665F6" w:rsidRPr="000A27B3" w:rsidRDefault="001D3C10">
            <w:pPr>
              <w:spacing w:before="138" w:after="0"/>
              <w:jc w:val="both"/>
              <w:rPr>
                <w:rFonts w:ascii="Times New Roman" w:hAnsi="Times New Roman"/>
                <w:noProof/>
                <w:sz w:val="24"/>
                <w:szCs w:val="32"/>
              </w:rPr>
            </w:pPr>
            <w:r>
              <w:rPr>
                <w:rFonts w:ascii="Times New Roman" w:hAnsi="Times New Roman"/>
                <w:noProof/>
                <w:sz w:val="24"/>
              </w:rPr>
              <w:t>T1</w:t>
            </w:r>
          </w:p>
        </w:tc>
        <w:tc>
          <w:tcPr>
            <w:tcW w:w="1003" w:type="dxa"/>
            <w:shd w:val="clear" w:color="auto" w:fill="C5EECE"/>
            <w:tcMar>
              <w:left w:w="57" w:type="dxa"/>
              <w:right w:w="57" w:type="dxa"/>
            </w:tcMar>
          </w:tcPr>
          <w:p w14:paraId="0E55BC9C" w14:textId="405501F3" w:rsidR="00A665F6" w:rsidRPr="000A27B3" w:rsidRDefault="001D3C10">
            <w:pPr>
              <w:spacing w:before="138" w:after="0"/>
              <w:jc w:val="both"/>
              <w:rPr>
                <w:rFonts w:ascii="Times New Roman" w:hAnsi="Times New Roman"/>
                <w:noProof/>
                <w:sz w:val="24"/>
                <w:szCs w:val="32"/>
              </w:rPr>
            </w:pPr>
            <w:r>
              <w:rPr>
                <w:rFonts w:ascii="Times New Roman" w:hAnsi="Times New Roman"/>
                <w:noProof/>
                <w:sz w:val="24"/>
              </w:rPr>
              <w:t>2024</w:t>
            </w:r>
          </w:p>
        </w:tc>
        <w:tc>
          <w:tcPr>
            <w:tcW w:w="2215" w:type="dxa"/>
            <w:shd w:val="clear" w:color="auto" w:fill="C5EECE"/>
            <w:tcMar>
              <w:left w:w="57" w:type="dxa"/>
              <w:right w:w="57" w:type="dxa"/>
            </w:tcMar>
          </w:tcPr>
          <w:p w14:paraId="133F70C4" w14:textId="77777777" w:rsidR="00AD55AD" w:rsidRPr="000A27B3" w:rsidRDefault="00AD55AD" w:rsidP="00AD55AD">
            <w:pPr>
              <w:jc w:val="both"/>
              <w:rPr>
                <w:rFonts w:ascii="Times New Roman" w:hAnsi="Times New Roman"/>
                <w:noProof/>
                <w:sz w:val="24"/>
                <w:szCs w:val="32"/>
              </w:rPr>
            </w:pPr>
            <w:r>
              <w:rPr>
                <w:rFonts w:ascii="Times New Roman" w:hAnsi="Times New Roman"/>
                <w:noProof/>
                <w:sz w:val="24"/>
              </w:rPr>
              <w:t xml:space="preserve">Următoarele echipamente trebuie să fi fost livrate ADS: </w:t>
            </w:r>
          </w:p>
          <w:p w14:paraId="03D5BCB0" w14:textId="03F881DA" w:rsidR="00AD55AD" w:rsidRPr="000A27B3" w:rsidRDefault="00AD55AD" w:rsidP="00AD55AD">
            <w:pPr>
              <w:jc w:val="both"/>
              <w:rPr>
                <w:rFonts w:ascii="Times New Roman" w:hAnsi="Times New Roman"/>
                <w:noProof/>
                <w:sz w:val="24"/>
                <w:szCs w:val="32"/>
              </w:rPr>
            </w:pPr>
            <w:r>
              <w:rPr>
                <w:rFonts w:ascii="Times New Roman" w:hAnsi="Times New Roman"/>
                <w:noProof/>
                <w:sz w:val="24"/>
              </w:rPr>
              <w:t>1.</w:t>
            </w:r>
            <w:r>
              <w:rPr>
                <w:rFonts w:ascii="Times New Roman" w:hAnsi="Times New Roman"/>
                <w:noProof/>
                <w:sz w:val="24"/>
              </w:rPr>
              <w:tab/>
              <w:t>cel puțin două servere care susțin noul sistem digital performant și patru laptopuri echipate cu software-ul necesar (de exemplu, Self-CAD, TopoLT, DIGI I Terra);</w:t>
            </w:r>
          </w:p>
          <w:p w14:paraId="39B4693B" w14:textId="77777777" w:rsidR="00AD55AD" w:rsidRPr="000A27B3" w:rsidRDefault="00AD55AD" w:rsidP="00AD55AD">
            <w:pPr>
              <w:jc w:val="both"/>
              <w:rPr>
                <w:rFonts w:ascii="Times New Roman" w:hAnsi="Times New Roman"/>
                <w:noProof/>
                <w:sz w:val="24"/>
                <w:szCs w:val="32"/>
              </w:rPr>
            </w:pPr>
            <w:r>
              <w:rPr>
                <w:rFonts w:ascii="Times New Roman" w:hAnsi="Times New Roman"/>
                <w:noProof/>
                <w:sz w:val="24"/>
              </w:rPr>
              <w:t>2.</w:t>
            </w:r>
            <w:r>
              <w:rPr>
                <w:rFonts w:ascii="Times New Roman" w:hAnsi="Times New Roman"/>
                <w:noProof/>
                <w:sz w:val="24"/>
              </w:rPr>
              <w:tab/>
              <w:t>cel puțin patru drone cu stații de transmisie RTK;</w:t>
            </w:r>
          </w:p>
          <w:p w14:paraId="0A31773B" w14:textId="5935C63D" w:rsidR="00A665F6" w:rsidRPr="000A27B3" w:rsidRDefault="00AD55AD" w:rsidP="00AD55AD">
            <w:pPr>
              <w:jc w:val="both"/>
              <w:rPr>
                <w:rFonts w:ascii="Times New Roman" w:hAnsi="Times New Roman"/>
                <w:noProof/>
                <w:sz w:val="24"/>
                <w:szCs w:val="32"/>
              </w:rPr>
            </w:pPr>
            <w:r>
              <w:rPr>
                <w:rFonts w:ascii="Times New Roman" w:hAnsi="Times New Roman"/>
                <w:noProof/>
                <w:sz w:val="24"/>
              </w:rPr>
              <w:t>3.</w:t>
            </w:r>
            <w:r>
              <w:rPr>
                <w:rFonts w:ascii="Times New Roman" w:hAnsi="Times New Roman"/>
                <w:noProof/>
                <w:sz w:val="24"/>
              </w:rPr>
              <w:tab/>
              <w:t>cel puțin patru vehicule de teren cu emisii zero.</w:t>
            </w:r>
          </w:p>
        </w:tc>
      </w:tr>
      <w:tr w:rsidR="00D1375D" w:rsidRPr="000A27B3" w14:paraId="38327E26" w14:textId="77777777" w:rsidTr="00D36F66">
        <w:trPr>
          <w:trHeight w:val="406"/>
        </w:trPr>
        <w:tc>
          <w:tcPr>
            <w:tcW w:w="1571" w:type="dxa"/>
            <w:shd w:val="clear" w:color="auto" w:fill="C5EECE"/>
            <w:tcMar>
              <w:left w:w="57" w:type="dxa"/>
              <w:right w:w="57" w:type="dxa"/>
            </w:tcMar>
          </w:tcPr>
          <w:p w14:paraId="142ADA4D" w14:textId="62FB39FC" w:rsidR="009F596F" w:rsidRPr="000A27B3" w:rsidRDefault="009F596F" w:rsidP="00FD6793">
            <w:pPr>
              <w:spacing w:before="138" w:after="0"/>
              <w:jc w:val="center"/>
              <w:rPr>
                <w:rFonts w:ascii="Times New Roman" w:hAnsi="Times New Roman" w:cs="Times New Roman"/>
                <w:noProof/>
                <w:sz w:val="24"/>
                <w:szCs w:val="32"/>
              </w:rPr>
            </w:pPr>
            <w:r>
              <w:rPr>
                <w:rFonts w:ascii="Times New Roman" w:hAnsi="Times New Roman"/>
                <w:noProof/>
                <w:sz w:val="24"/>
              </w:rPr>
              <w:t>509</w:t>
            </w:r>
          </w:p>
        </w:tc>
        <w:tc>
          <w:tcPr>
            <w:tcW w:w="2490" w:type="dxa"/>
            <w:shd w:val="clear" w:color="auto" w:fill="C5EECE"/>
            <w:tcMar>
              <w:left w:w="57" w:type="dxa"/>
              <w:right w:w="57" w:type="dxa"/>
            </w:tcMar>
          </w:tcPr>
          <w:p w14:paraId="4B056A81" w14:textId="77777777" w:rsidR="009F596F" w:rsidRPr="000A27B3" w:rsidRDefault="009F596F">
            <w:pPr>
              <w:spacing w:before="141" w:after="0" w:line="245" w:lineRule="auto"/>
              <w:jc w:val="both"/>
              <w:rPr>
                <w:rFonts w:ascii="Times New Roman" w:hAnsi="Times New Roman" w:cs="Times New Roman"/>
                <w:noProof/>
                <w:sz w:val="24"/>
                <w:szCs w:val="32"/>
              </w:rPr>
            </w:pPr>
            <w:r>
              <w:rPr>
                <w:rFonts w:ascii="Times New Roman" w:hAnsi="Times New Roman"/>
                <w:noProof/>
                <w:sz w:val="24"/>
              </w:rPr>
              <w:t>Reforma 1. Crearea unui cadru juridic pentru utilizarea terenurilor de stat ca zone de accelerare pentru investițiile în sursele regenerabile de energie</w:t>
            </w:r>
          </w:p>
        </w:tc>
        <w:tc>
          <w:tcPr>
            <w:tcW w:w="906" w:type="dxa"/>
            <w:shd w:val="clear" w:color="auto" w:fill="C5EECE"/>
            <w:tcMar>
              <w:left w:w="57" w:type="dxa"/>
              <w:right w:w="57" w:type="dxa"/>
            </w:tcMar>
          </w:tcPr>
          <w:p w14:paraId="29D3A8FD" w14:textId="77777777" w:rsidR="009F596F" w:rsidRPr="000A27B3" w:rsidRDefault="009F596F">
            <w:pPr>
              <w:spacing w:before="138" w:after="0" w:line="254" w:lineRule="auto"/>
              <w:jc w:val="both"/>
              <w:rPr>
                <w:rFonts w:ascii="Times New Roman" w:hAnsi="Times New Roman" w:cs="Times New Roman"/>
                <w:noProof/>
                <w:sz w:val="24"/>
                <w:szCs w:val="32"/>
              </w:rPr>
            </w:pPr>
            <w:r>
              <w:rPr>
                <w:rFonts w:ascii="Times New Roman" w:hAnsi="Times New Roman"/>
                <w:noProof/>
                <w:sz w:val="24"/>
              </w:rPr>
              <w:t>Jalon</w:t>
            </w:r>
          </w:p>
        </w:tc>
        <w:tc>
          <w:tcPr>
            <w:tcW w:w="1159" w:type="dxa"/>
            <w:shd w:val="clear" w:color="auto" w:fill="C5EECE"/>
            <w:tcMar>
              <w:left w:w="57" w:type="dxa"/>
              <w:right w:w="57" w:type="dxa"/>
            </w:tcMar>
          </w:tcPr>
          <w:p w14:paraId="3806A862" w14:textId="77777777" w:rsidR="009F596F" w:rsidRPr="000A27B3" w:rsidRDefault="009F596F" w:rsidP="005E4097">
            <w:pPr>
              <w:spacing w:before="138" w:after="0" w:line="254" w:lineRule="auto"/>
              <w:jc w:val="both"/>
              <w:rPr>
                <w:rFonts w:ascii="Times New Roman" w:hAnsi="Times New Roman" w:cs="Times New Roman"/>
                <w:noProof/>
                <w:sz w:val="24"/>
                <w:szCs w:val="32"/>
              </w:rPr>
            </w:pPr>
            <w:r>
              <w:rPr>
                <w:rFonts w:ascii="Times New Roman" w:hAnsi="Times New Roman"/>
                <w:noProof/>
                <w:sz w:val="24"/>
              </w:rPr>
              <w:t>Intrarea în vigoare a cadrului legal</w:t>
            </w:r>
          </w:p>
        </w:tc>
        <w:tc>
          <w:tcPr>
            <w:tcW w:w="1159" w:type="dxa"/>
            <w:shd w:val="clear" w:color="auto" w:fill="C5EECE"/>
            <w:tcMar>
              <w:left w:w="57" w:type="dxa"/>
              <w:right w:w="57" w:type="dxa"/>
            </w:tcMar>
          </w:tcPr>
          <w:p w14:paraId="72769376" w14:textId="77777777" w:rsidR="009F596F" w:rsidRPr="000A27B3" w:rsidRDefault="009F596F" w:rsidP="005E4097">
            <w:pPr>
              <w:spacing w:before="138" w:after="0" w:line="254" w:lineRule="auto"/>
              <w:jc w:val="both"/>
              <w:rPr>
                <w:rFonts w:ascii="Times New Roman" w:hAnsi="Times New Roman" w:cs="Times New Roman"/>
                <w:noProof/>
                <w:sz w:val="24"/>
                <w:szCs w:val="32"/>
              </w:rPr>
            </w:pPr>
            <w:r>
              <w:rPr>
                <w:rFonts w:ascii="Times New Roman" w:hAnsi="Times New Roman"/>
                <w:noProof/>
                <w:sz w:val="24"/>
              </w:rPr>
              <w:t>Dispoziție privind intrarea în vigoare</w:t>
            </w:r>
          </w:p>
        </w:tc>
        <w:tc>
          <w:tcPr>
            <w:tcW w:w="1127" w:type="dxa"/>
            <w:shd w:val="clear" w:color="auto" w:fill="C5EECE"/>
            <w:tcMar>
              <w:left w:w="57" w:type="dxa"/>
              <w:right w:w="57" w:type="dxa"/>
            </w:tcMar>
          </w:tcPr>
          <w:p w14:paraId="4A040A3B" w14:textId="77777777" w:rsidR="009F596F" w:rsidRPr="000A27B3" w:rsidRDefault="009F596F">
            <w:pPr>
              <w:spacing w:after="0"/>
              <w:jc w:val="both"/>
              <w:rPr>
                <w:rFonts w:ascii="Times New Roman" w:hAnsi="Times New Roman" w:cs="Times New Roman"/>
                <w:noProof/>
                <w:sz w:val="24"/>
                <w:szCs w:val="32"/>
              </w:rPr>
            </w:pPr>
            <w:r>
              <w:rPr>
                <w:rFonts w:ascii="Times New Roman" w:hAnsi="Times New Roman"/>
                <w:noProof/>
                <w:sz w:val="24"/>
              </w:rPr>
              <w:t xml:space="preserve"> </w:t>
            </w:r>
          </w:p>
        </w:tc>
        <w:tc>
          <w:tcPr>
            <w:tcW w:w="1794" w:type="dxa"/>
            <w:shd w:val="clear" w:color="auto" w:fill="C5EECE"/>
            <w:tcMar>
              <w:left w:w="57" w:type="dxa"/>
              <w:right w:w="57" w:type="dxa"/>
            </w:tcMar>
          </w:tcPr>
          <w:p w14:paraId="180956B9" w14:textId="77777777" w:rsidR="009F596F" w:rsidRPr="000A27B3" w:rsidRDefault="009F596F">
            <w:pPr>
              <w:spacing w:after="0"/>
              <w:jc w:val="both"/>
              <w:rPr>
                <w:rFonts w:ascii="Times New Roman" w:hAnsi="Times New Roman" w:cs="Times New Roman"/>
                <w:noProof/>
                <w:sz w:val="24"/>
                <w:szCs w:val="32"/>
              </w:rPr>
            </w:pPr>
            <w:r>
              <w:rPr>
                <w:rFonts w:ascii="Times New Roman" w:hAnsi="Times New Roman"/>
                <w:noProof/>
                <w:sz w:val="24"/>
              </w:rPr>
              <w:t xml:space="preserve"> </w:t>
            </w:r>
          </w:p>
        </w:tc>
        <w:tc>
          <w:tcPr>
            <w:tcW w:w="1054" w:type="dxa"/>
            <w:shd w:val="clear" w:color="auto" w:fill="C5EECE"/>
            <w:tcMar>
              <w:left w:w="57" w:type="dxa"/>
              <w:right w:w="57" w:type="dxa"/>
            </w:tcMar>
          </w:tcPr>
          <w:p w14:paraId="3950B027" w14:textId="77777777" w:rsidR="009F596F" w:rsidRPr="000A27B3" w:rsidRDefault="009F596F">
            <w:pPr>
              <w:spacing w:after="0"/>
              <w:jc w:val="both"/>
              <w:rPr>
                <w:rFonts w:ascii="Times New Roman" w:hAnsi="Times New Roman" w:cs="Times New Roman"/>
                <w:noProof/>
                <w:sz w:val="24"/>
                <w:szCs w:val="32"/>
              </w:rPr>
            </w:pPr>
            <w:r>
              <w:rPr>
                <w:rFonts w:ascii="Times New Roman" w:hAnsi="Times New Roman"/>
                <w:noProof/>
                <w:sz w:val="24"/>
              </w:rPr>
              <w:t xml:space="preserve"> </w:t>
            </w:r>
          </w:p>
        </w:tc>
        <w:tc>
          <w:tcPr>
            <w:tcW w:w="779" w:type="dxa"/>
            <w:shd w:val="clear" w:color="auto" w:fill="C5EECE"/>
            <w:tcMar>
              <w:left w:w="57" w:type="dxa"/>
              <w:right w:w="57" w:type="dxa"/>
            </w:tcMar>
          </w:tcPr>
          <w:p w14:paraId="6782A3CE" w14:textId="77777777" w:rsidR="009F596F" w:rsidRPr="000A27B3" w:rsidRDefault="009F596F">
            <w:pPr>
              <w:spacing w:before="138" w:after="0"/>
              <w:jc w:val="both"/>
              <w:rPr>
                <w:rFonts w:ascii="Times New Roman" w:hAnsi="Times New Roman" w:cs="Times New Roman"/>
                <w:noProof/>
                <w:sz w:val="24"/>
                <w:szCs w:val="32"/>
              </w:rPr>
            </w:pPr>
            <w:r>
              <w:rPr>
                <w:rFonts w:ascii="Times New Roman" w:hAnsi="Times New Roman"/>
                <w:noProof/>
                <w:sz w:val="24"/>
              </w:rPr>
              <w:t>T4</w:t>
            </w:r>
          </w:p>
        </w:tc>
        <w:tc>
          <w:tcPr>
            <w:tcW w:w="1003" w:type="dxa"/>
            <w:shd w:val="clear" w:color="auto" w:fill="C5EECE"/>
            <w:tcMar>
              <w:left w:w="57" w:type="dxa"/>
              <w:right w:w="57" w:type="dxa"/>
            </w:tcMar>
          </w:tcPr>
          <w:p w14:paraId="19D2F54C" w14:textId="77777777" w:rsidR="009F596F" w:rsidRPr="000A27B3" w:rsidRDefault="009F596F">
            <w:pPr>
              <w:spacing w:before="138" w:after="0"/>
              <w:jc w:val="both"/>
              <w:rPr>
                <w:rFonts w:ascii="Times New Roman" w:hAnsi="Times New Roman" w:cs="Times New Roman"/>
                <w:noProof/>
                <w:sz w:val="24"/>
                <w:szCs w:val="32"/>
              </w:rPr>
            </w:pPr>
            <w:r>
              <w:rPr>
                <w:rFonts w:ascii="Times New Roman" w:hAnsi="Times New Roman"/>
                <w:noProof/>
                <w:sz w:val="24"/>
              </w:rPr>
              <w:t>2024</w:t>
            </w:r>
          </w:p>
        </w:tc>
        <w:tc>
          <w:tcPr>
            <w:tcW w:w="2215" w:type="dxa"/>
            <w:shd w:val="clear" w:color="auto" w:fill="C5EECE"/>
            <w:tcMar>
              <w:left w:w="57" w:type="dxa"/>
              <w:right w:w="57" w:type="dxa"/>
            </w:tcMar>
          </w:tcPr>
          <w:p w14:paraId="4D1927D2" w14:textId="7CB8D3A8" w:rsidR="009F596F" w:rsidRPr="000A27B3" w:rsidRDefault="009F596F">
            <w:pPr>
              <w:jc w:val="both"/>
              <w:rPr>
                <w:noProof/>
                <w:sz w:val="24"/>
                <w:szCs w:val="32"/>
              </w:rPr>
            </w:pPr>
            <w:r>
              <w:rPr>
                <w:rFonts w:ascii="Times New Roman" w:hAnsi="Times New Roman"/>
                <w:noProof/>
                <w:sz w:val="24"/>
              </w:rPr>
              <w:t>Modificările aduse legislației primare sau secundare relevante, inclusiv actelor adoptate de autoritatea națională de reglementare, intră în vigoare și introduc un cadru specific de reglementare și de sprijin pentru dezvoltarea și utilizarea terenurilor aflate în proprietatea statului</w:t>
            </w:r>
            <w:r w:rsidR="004C4C72">
              <w:rPr>
                <w:rFonts w:ascii="Times New Roman" w:hAnsi="Times New Roman"/>
                <w:noProof/>
                <w:sz w:val="24"/>
              </w:rPr>
              <w:t xml:space="preserve"> </w:t>
            </w:r>
            <w:r>
              <w:rPr>
                <w:rFonts w:ascii="Times New Roman" w:hAnsi="Times New Roman"/>
                <w:noProof/>
                <w:sz w:val="24"/>
              </w:rPr>
              <w:t xml:space="preserve"> care sunt administrate de Agenția Domeniilor Statului (ADS) ca zone de accelerare a investițiilor în surse regenerabile de energie (SRE), inclusiv, dar fără a se limita la:</w:t>
            </w:r>
          </w:p>
          <w:p w14:paraId="59197A81" w14:textId="77777777" w:rsidR="009F596F" w:rsidRPr="000A27B3" w:rsidRDefault="009F596F" w:rsidP="00242777">
            <w:pPr>
              <w:pStyle w:val="ListParagraph"/>
              <w:numPr>
                <w:ilvl w:val="0"/>
                <w:numId w:val="127"/>
              </w:numPr>
              <w:jc w:val="both"/>
              <w:rPr>
                <w:rFonts w:ascii="Times New Roman" w:hAnsi="Times New Roman" w:cs="Times New Roman"/>
                <w:noProof/>
                <w:sz w:val="24"/>
                <w:szCs w:val="32"/>
              </w:rPr>
            </w:pPr>
            <w:r>
              <w:rPr>
                <w:rFonts w:ascii="Times New Roman" w:hAnsi="Times New Roman"/>
                <w:noProof/>
                <w:sz w:val="24"/>
              </w:rPr>
              <w:t>desemnarea zonelor de accelerare a produceri de energie din surse regenerabile pe terenurile degradate care nu sunt utilizate pentru agricultură, inclusiv a capacității disponibile de instalare a surselor regenerabile de energie;</w:t>
            </w:r>
          </w:p>
          <w:p w14:paraId="417D9130" w14:textId="77777777" w:rsidR="009F596F" w:rsidRPr="000A27B3" w:rsidRDefault="009F596F" w:rsidP="00242777">
            <w:pPr>
              <w:pStyle w:val="ListParagraph"/>
              <w:numPr>
                <w:ilvl w:val="0"/>
                <w:numId w:val="127"/>
              </w:numPr>
              <w:jc w:val="both"/>
              <w:rPr>
                <w:rFonts w:ascii="Times New Roman" w:hAnsi="Times New Roman" w:cs="Times New Roman"/>
                <w:noProof/>
                <w:sz w:val="24"/>
                <w:szCs w:val="32"/>
              </w:rPr>
            </w:pPr>
            <w:r>
              <w:rPr>
                <w:rFonts w:ascii="Times New Roman" w:hAnsi="Times New Roman"/>
                <w:noProof/>
                <w:sz w:val="24"/>
              </w:rPr>
              <w:t>cerințe legale reduse și procese de autorizare mai scurte și simplificate,</w:t>
            </w:r>
            <w:r>
              <w:rPr>
                <w:noProof/>
                <w:sz w:val="24"/>
              </w:rPr>
              <w:t xml:space="preserve"> </w:t>
            </w:r>
            <w:r>
              <w:rPr>
                <w:rFonts w:ascii="Times New Roman" w:hAnsi="Times New Roman"/>
                <w:noProof/>
                <w:sz w:val="24"/>
              </w:rPr>
              <w:t>astfel încât noile capacități să poată fi autorizate în termen de șase luni;</w:t>
            </w:r>
          </w:p>
          <w:p w14:paraId="0937AE9D" w14:textId="77777777" w:rsidR="009F596F" w:rsidRPr="000A27B3" w:rsidRDefault="009F596F" w:rsidP="00242777">
            <w:pPr>
              <w:pStyle w:val="ListParagraph"/>
              <w:numPr>
                <w:ilvl w:val="0"/>
                <w:numId w:val="127"/>
              </w:numPr>
              <w:jc w:val="both"/>
              <w:rPr>
                <w:rFonts w:ascii="Times New Roman" w:hAnsi="Times New Roman" w:cs="Times New Roman"/>
                <w:noProof/>
                <w:sz w:val="24"/>
                <w:szCs w:val="32"/>
              </w:rPr>
            </w:pPr>
            <w:r>
              <w:rPr>
                <w:rFonts w:ascii="Times New Roman" w:hAnsi="Times New Roman"/>
                <w:noProof/>
                <w:sz w:val="24"/>
              </w:rPr>
              <w:t>digitalizarea autorizării.</w:t>
            </w:r>
          </w:p>
        </w:tc>
      </w:tr>
      <w:tr w:rsidR="00D1375D" w:rsidRPr="000A27B3" w14:paraId="203349BB" w14:textId="77777777" w:rsidTr="00D36F66">
        <w:trPr>
          <w:trHeight w:val="1826"/>
        </w:trPr>
        <w:tc>
          <w:tcPr>
            <w:tcW w:w="1571" w:type="dxa"/>
            <w:shd w:val="clear" w:color="auto" w:fill="C5EECE"/>
            <w:tcMar>
              <w:left w:w="57" w:type="dxa"/>
              <w:right w:w="57" w:type="dxa"/>
            </w:tcMar>
          </w:tcPr>
          <w:p w14:paraId="041E4BBA" w14:textId="5AEC5289" w:rsidR="009F596F" w:rsidRPr="000A27B3" w:rsidRDefault="00FD6793">
            <w:pPr>
              <w:spacing w:before="138" w:after="0"/>
              <w:jc w:val="center"/>
              <w:rPr>
                <w:rFonts w:ascii="Times New Roman" w:hAnsi="Times New Roman" w:cs="Times New Roman"/>
                <w:noProof/>
                <w:sz w:val="24"/>
                <w:szCs w:val="32"/>
              </w:rPr>
            </w:pPr>
            <w:r>
              <w:rPr>
                <w:rFonts w:ascii="Times New Roman" w:hAnsi="Times New Roman"/>
                <w:noProof/>
                <w:sz w:val="24"/>
              </w:rPr>
              <w:t>510</w:t>
            </w:r>
          </w:p>
        </w:tc>
        <w:tc>
          <w:tcPr>
            <w:tcW w:w="2490" w:type="dxa"/>
            <w:shd w:val="clear" w:color="auto" w:fill="C5EECE"/>
            <w:tcMar>
              <w:left w:w="57" w:type="dxa"/>
              <w:right w:w="57" w:type="dxa"/>
            </w:tcMar>
          </w:tcPr>
          <w:p w14:paraId="194BE2D5" w14:textId="77777777" w:rsidR="009F596F" w:rsidRPr="000A27B3" w:rsidRDefault="009F596F">
            <w:pPr>
              <w:spacing w:before="141" w:after="0" w:line="245" w:lineRule="auto"/>
              <w:jc w:val="both"/>
              <w:rPr>
                <w:rFonts w:ascii="Times New Roman" w:hAnsi="Times New Roman" w:cs="Times New Roman"/>
                <w:noProof/>
                <w:sz w:val="24"/>
                <w:szCs w:val="32"/>
              </w:rPr>
            </w:pPr>
            <w:r>
              <w:rPr>
                <w:rFonts w:ascii="Times New Roman" w:hAnsi="Times New Roman"/>
                <w:noProof/>
                <w:sz w:val="24"/>
              </w:rPr>
              <w:t>Reforma 1. Crearea unui cadru juridic pentru utilizarea terenurilor aflate în proprietatea statului ca zone de accelerare pentru investițiile în sursele regenerabile de energie</w:t>
            </w:r>
          </w:p>
          <w:p w14:paraId="0F49CB11" w14:textId="77777777" w:rsidR="009F596F" w:rsidRPr="009F1DC7" w:rsidRDefault="009F596F">
            <w:pPr>
              <w:spacing w:before="141" w:after="0" w:line="245" w:lineRule="auto"/>
              <w:ind w:firstLine="4"/>
              <w:jc w:val="both"/>
              <w:rPr>
                <w:rFonts w:ascii="Times New Roman" w:hAnsi="Times New Roman" w:cs="Times New Roman"/>
                <w:noProof/>
                <w:sz w:val="24"/>
                <w:szCs w:val="32"/>
              </w:rPr>
            </w:pPr>
          </w:p>
        </w:tc>
        <w:tc>
          <w:tcPr>
            <w:tcW w:w="906" w:type="dxa"/>
            <w:shd w:val="clear" w:color="auto" w:fill="C5EECE"/>
            <w:tcMar>
              <w:left w:w="57" w:type="dxa"/>
              <w:right w:w="57" w:type="dxa"/>
            </w:tcMar>
          </w:tcPr>
          <w:p w14:paraId="1CFFFBCF" w14:textId="77777777" w:rsidR="009F596F" w:rsidRPr="000A27B3" w:rsidRDefault="009F596F">
            <w:pPr>
              <w:spacing w:before="138" w:after="0" w:line="254" w:lineRule="auto"/>
              <w:jc w:val="both"/>
              <w:rPr>
                <w:rFonts w:ascii="Times New Roman" w:hAnsi="Times New Roman" w:cs="Times New Roman"/>
                <w:noProof/>
                <w:sz w:val="24"/>
                <w:szCs w:val="32"/>
              </w:rPr>
            </w:pPr>
            <w:r>
              <w:rPr>
                <w:rFonts w:ascii="Times New Roman" w:hAnsi="Times New Roman"/>
                <w:noProof/>
                <w:sz w:val="24"/>
              </w:rPr>
              <w:t>Jalon</w:t>
            </w:r>
          </w:p>
        </w:tc>
        <w:tc>
          <w:tcPr>
            <w:tcW w:w="1159" w:type="dxa"/>
            <w:shd w:val="clear" w:color="auto" w:fill="C5EECE"/>
            <w:tcMar>
              <w:left w:w="57" w:type="dxa"/>
              <w:right w:w="57" w:type="dxa"/>
            </w:tcMar>
          </w:tcPr>
          <w:p w14:paraId="236BE342" w14:textId="77777777" w:rsidR="009F596F" w:rsidRPr="000A27B3" w:rsidRDefault="009F596F" w:rsidP="005E4097">
            <w:pPr>
              <w:spacing w:before="138" w:after="0" w:line="254" w:lineRule="auto"/>
              <w:jc w:val="both"/>
              <w:rPr>
                <w:rFonts w:ascii="Times New Roman" w:eastAsia="Times New Roman" w:hAnsi="Times New Roman" w:cs="Times New Roman"/>
                <w:noProof/>
                <w:sz w:val="24"/>
                <w:szCs w:val="32"/>
              </w:rPr>
            </w:pPr>
            <w:r>
              <w:rPr>
                <w:rFonts w:ascii="Times New Roman" w:hAnsi="Times New Roman"/>
                <w:noProof/>
                <w:sz w:val="24"/>
              </w:rPr>
              <w:t>Crearea unui registru național unic al terenurilor aflate în proprietatea statului</w:t>
            </w:r>
          </w:p>
        </w:tc>
        <w:tc>
          <w:tcPr>
            <w:tcW w:w="1159" w:type="dxa"/>
            <w:shd w:val="clear" w:color="auto" w:fill="C5EECE"/>
            <w:tcMar>
              <w:left w:w="57" w:type="dxa"/>
              <w:right w:w="57" w:type="dxa"/>
            </w:tcMar>
          </w:tcPr>
          <w:p w14:paraId="7CFA1125" w14:textId="759E2762" w:rsidR="009F596F" w:rsidRPr="000A27B3" w:rsidRDefault="00090036" w:rsidP="005E4097">
            <w:pPr>
              <w:spacing w:before="138" w:after="0" w:line="254" w:lineRule="auto"/>
              <w:jc w:val="both"/>
              <w:rPr>
                <w:rFonts w:ascii="Times New Roman" w:hAnsi="Times New Roman" w:cs="Times New Roman"/>
                <w:noProof/>
                <w:sz w:val="24"/>
                <w:szCs w:val="32"/>
              </w:rPr>
            </w:pPr>
            <w:r>
              <w:rPr>
                <w:rFonts w:ascii="Times New Roman" w:hAnsi="Times New Roman"/>
                <w:noProof/>
                <w:sz w:val="24"/>
              </w:rPr>
              <w:t xml:space="preserve">Registrul național unic este înființat și operațional </w:t>
            </w:r>
          </w:p>
        </w:tc>
        <w:tc>
          <w:tcPr>
            <w:tcW w:w="1127" w:type="dxa"/>
            <w:shd w:val="clear" w:color="auto" w:fill="C5EECE"/>
            <w:tcMar>
              <w:left w:w="57" w:type="dxa"/>
              <w:right w:w="57" w:type="dxa"/>
            </w:tcMar>
          </w:tcPr>
          <w:p w14:paraId="2070C529" w14:textId="77777777" w:rsidR="009F596F" w:rsidRPr="000A27B3" w:rsidRDefault="009F596F">
            <w:pPr>
              <w:spacing w:after="0"/>
              <w:jc w:val="both"/>
              <w:rPr>
                <w:rFonts w:ascii="Times New Roman" w:eastAsia="Times New Roman" w:hAnsi="Times New Roman" w:cs="Times New Roman"/>
                <w:noProof/>
                <w:sz w:val="24"/>
                <w:szCs w:val="32"/>
                <w:lang w:val="en-GB"/>
              </w:rPr>
            </w:pPr>
          </w:p>
        </w:tc>
        <w:tc>
          <w:tcPr>
            <w:tcW w:w="1794" w:type="dxa"/>
            <w:shd w:val="clear" w:color="auto" w:fill="C5EECE"/>
            <w:tcMar>
              <w:left w:w="57" w:type="dxa"/>
              <w:right w:w="57" w:type="dxa"/>
            </w:tcMar>
          </w:tcPr>
          <w:p w14:paraId="21486E2B" w14:textId="77777777" w:rsidR="009F596F" w:rsidRPr="000A27B3" w:rsidRDefault="009F596F">
            <w:pPr>
              <w:pStyle w:val="ListParagraph"/>
              <w:spacing w:after="0"/>
              <w:ind w:left="360"/>
              <w:jc w:val="both"/>
              <w:rPr>
                <w:rFonts w:ascii="Times New Roman" w:eastAsia="Times New Roman" w:hAnsi="Times New Roman" w:cs="Times New Roman"/>
                <w:noProof/>
                <w:sz w:val="24"/>
                <w:szCs w:val="32"/>
                <w:lang w:val="en-GB"/>
              </w:rPr>
            </w:pPr>
          </w:p>
        </w:tc>
        <w:tc>
          <w:tcPr>
            <w:tcW w:w="1054" w:type="dxa"/>
            <w:shd w:val="clear" w:color="auto" w:fill="C5EECE"/>
            <w:tcMar>
              <w:left w:w="57" w:type="dxa"/>
              <w:right w:w="57" w:type="dxa"/>
            </w:tcMar>
          </w:tcPr>
          <w:p w14:paraId="72B72AE7" w14:textId="77777777" w:rsidR="009F596F" w:rsidRPr="000A27B3" w:rsidRDefault="009F596F">
            <w:pPr>
              <w:spacing w:after="0"/>
              <w:jc w:val="both"/>
              <w:rPr>
                <w:rFonts w:ascii="Times New Roman" w:eastAsia="Times New Roman" w:hAnsi="Times New Roman" w:cs="Times New Roman"/>
                <w:noProof/>
                <w:sz w:val="24"/>
                <w:szCs w:val="32"/>
                <w:lang w:val="en-GB"/>
              </w:rPr>
            </w:pPr>
          </w:p>
        </w:tc>
        <w:tc>
          <w:tcPr>
            <w:tcW w:w="779" w:type="dxa"/>
            <w:shd w:val="clear" w:color="auto" w:fill="C5EECE"/>
            <w:tcMar>
              <w:left w:w="57" w:type="dxa"/>
              <w:right w:w="57" w:type="dxa"/>
            </w:tcMar>
          </w:tcPr>
          <w:p w14:paraId="77F5E477" w14:textId="77777777" w:rsidR="009F596F" w:rsidRPr="000A27B3" w:rsidRDefault="009F596F">
            <w:pPr>
              <w:spacing w:before="138" w:after="0"/>
              <w:jc w:val="both"/>
              <w:rPr>
                <w:rFonts w:ascii="Times New Roman" w:eastAsia="Times New Roman" w:hAnsi="Times New Roman" w:cs="Times New Roman"/>
                <w:noProof/>
                <w:sz w:val="24"/>
                <w:szCs w:val="32"/>
              </w:rPr>
            </w:pPr>
            <w:r>
              <w:rPr>
                <w:rFonts w:ascii="Times New Roman" w:hAnsi="Times New Roman"/>
                <w:noProof/>
                <w:sz w:val="24"/>
              </w:rPr>
              <w:t>T4</w:t>
            </w:r>
          </w:p>
        </w:tc>
        <w:tc>
          <w:tcPr>
            <w:tcW w:w="1003" w:type="dxa"/>
            <w:shd w:val="clear" w:color="auto" w:fill="C5EECE"/>
            <w:tcMar>
              <w:left w:w="57" w:type="dxa"/>
              <w:right w:w="57" w:type="dxa"/>
            </w:tcMar>
          </w:tcPr>
          <w:p w14:paraId="2F4A8F82" w14:textId="77777777" w:rsidR="009F596F" w:rsidRPr="000A27B3" w:rsidRDefault="009F596F">
            <w:pPr>
              <w:spacing w:before="138" w:after="0"/>
              <w:jc w:val="both"/>
              <w:rPr>
                <w:rFonts w:ascii="Times New Roman" w:eastAsia="Times New Roman" w:hAnsi="Times New Roman" w:cs="Times New Roman"/>
                <w:noProof/>
                <w:sz w:val="24"/>
                <w:szCs w:val="32"/>
              </w:rPr>
            </w:pPr>
            <w:r>
              <w:rPr>
                <w:rFonts w:ascii="Times New Roman" w:hAnsi="Times New Roman"/>
                <w:noProof/>
                <w:sz w:val="24"/>
              </w:rPr>
              <w:t>2024</w:t>
            </w:r>
          </w:p>
        </w:tc>
        <w:tc>
          <w:tcPr>
            <w:tcW w:w="2215" w:type="dxa"/>
            <w:shd w:val="clear" w:color="auto" w:fill="C5EECE"/>
            <w:tcMar>
              <w:left w:w="57" w:type="dxa"/>
              <w:right w:w="57" w:type="dxa"/>
            </w:tcMar>
          </w:tcPr>
          <w:p w14:paraId="5A7045D1" w14:textId="651EEB79" w:rsidR="009F596F" w:rsidRPr="000A27B3" w:rsidRDefault="009F596F">
            <w:pPr>
              <w:spacing w:before="138" w:after="0" w:line="252" w:lineRule="auto"/>
              <w:jc w:val="both"/>
              <w:rPr>
                <w:rFonts w:ascii="Times New Roman" w:hAnsi="Times New Roman" w:cs="Times New Roman"/>
                <w:noProof/>
                <w:sz w:val="24"/>
                <w:szCs w:val="32"/>
              </w:rPr>
            </w:pPr>
            <w:r>
              <w:rPr>
                <w:rFonts w:ascii="Times New Roman" w:hAnsi="Times New Roman"/>
                <w:noProof/>
                <w:sz w:val="24"/>
              </w:rPr>
              <w:t>Se instituie și se completează cu datele relevante un registru național unic al terenurilor aflate în proprietatea statului. Terenurile sunt clasificate pe baza unor criterii clare de clasificare și identificare a categoriilor de folosință a terenurilor, fiind incluse 84 000 hectare de teren (identificate în prealabil ca fiind degradate/neproductive) care au fost desemnate ca zone de accelerare pentru producerea de energie din surse regenerabile, cu excepția cazului în care studii pedologice independente confirmă inadecvarea acestora.</w:t>
            </w:r>
          </w:p>
        </w:tc>
      </w:tr>
      <w:tr w:rsidR="00D1375D" w:rsidRPr="000A27B3" w14:paraId="21E6739A" w14:textId="77777777" w:rsidTr="00D36F66">
        <w:trPr>
          <w:trHeight w:val="2040"/>
        </w:trPr>
        <w:tc>
          <w:tcPr>
            <w:tcW w:w="1571" w:type="dxa"/>
            <w:shd w:val="clear" w:color="auto" w:fill="C5EECE"/>
            <w:tcMar>
              <w:left w:w="57" w:type="dxa"/>
              <w:right w:w="57" w:type="dxa"/>
            </w:tcMar>
          </w:tcPr>
          <w:p w14:paraId="6AA04680" w14:textId="6E1D40C3" w:rsidR="009F596F" w:rsidRPr="000A27B3" w:rsidRDefault="00FD6793">
            <w:pPr>
              <w:spacing w:before="138" w:after="0"/>
              <w:jc w:val="center"/>
              <w:rPr>
                <w:rFonts w:ascii="Times New Roman" w:hAnsi="Times New Roman" w:cs="Times New Roman"/>
                <w:noProof/>
                <w:sz w:val="24"/>
                <w:szCs w:val="32"/>
              </w:rPr>
            </w:pPr>
            <w:r>
              <w:rPr>
                <w:rFonts w:ascii="Times New Roman" w:hAnsi="Times New Roman"/>
                <w:noProof/>
                <w:sz w:val="24"/>
              </w:rPr>
              <w:t>511</w:t>
            </w:r>
          </w:p>
        </w:tc>
        <w:tc>
          <w:tcPr>
            <w:tcW w:w="2490" w:type="dxa"/>
            <w:shd w:val="clear" w:color="auto" w:fill="C5EECE"/>
            <w:tcMar>
              <w:left w:w="57" w:type="dxa"/>
              <w:right w:w="57" w:type="dxa"/>
            </w:tcMar>
          </w:tcPr>
          <w:p w14:paraId="21BD85DA" w14:textId="77777777" w:rsidR="009F596F" w:rsidRPr="000A27B3" w:rsidRDefault="009F596F">
            <w:pPr>
              <w:spacing w:before="141" w:after="0" w:line="245" w:lineRule="auto"/>
              <w:ind w:firstLine="4"/>
              <w:jc w:val="both"/>
              <w:rPr>
                <w:rFonts w:ascii="Times New Roman" w:hAnsi="Times New Roman" w:cs="Times New Roman"/>
                <w:noProof/>
                <w:sz w:val="24"/>
                <w:szCs w:val="32"/>
              </w:rPr>
            </w:pPr>
            <w:r>
              <w:rPr>
                <w:rFonts w:ascii="Times New Roman" w:hAnsi="Times New Roman"/>
                <w:noProof/>
                <w:sz w:val="24"/>
              </w:rPr>
              <w:t>Reforma 1. Crearea unui cadru juridic pentru utilizarea terenurilor aflate în proprietatea statului ca zone de accelerare pentru investițiile în sursele regenerabile de energie</w:t>
            </w:r>
          </w:p>
          <w:p w14:paraId="7EC4BE81" w14:textId="77777777" w:rsidR="009F596F" w:rsidRPr="009F1DC7" w:rsidRDefault="009F596F">
            <w:pPr>
              <w:spacing w:before="141" w:after="0" w:line="245" w:lineRule="auto"/>
              <w:ind w:firstLine="4"/>
              <w:jc w:val="both"/>
              <w:rPr>
                <w:rFonts w:ascii="Times New Roman" w:hAnsi="Times New Roman" w:cs="Times New Roman"/>
                <w:noProof/>
                <w:sz w:val="24"/>
                <w:szCs w:val="32"/>
              </w:rPr>
            </w:pPr>
          </w:p>
        </w:tc>
        <w:tc>
          <w:tcPr>
            <w:tcW w:w="906" w:type="dxa"/>
            <w:shd w:val="clear" w:color="auto" w:fill="C5EECE"/>
            <w:tcMar>
              <w:left w:w="57" w:type="dxa"/>
              <w:right w:w="57" w:type="dxa"/>
            </w:tcMar>
          </w:tcPr>
          <w:p w14:paraId="5CCD518C" w14:textId="77777777" w:rsidR="009F596F" w:rsidRPr="000A27B3" w:rsidRDefault="009F596F">
            <w:pPr>
              <w:spacing w:before="138" w:after="0" w:line="254" w:lineRule="auto"/>
              <w:rPr>
                <w:rFonts w:ascii="Times New Roman" w:hAnsi="Times New Roman" w:cs="Times New Roman"/>
                <w:noProof/>
                <w:sz w:val="24"/>
                <w:szCs w:val="32"/>
              </w:rPr>
            </w:pPr>
            <w:r>
              <w:rPr>
                <w:rFonts w:ascii="Times New Roman" w:hAnsi="Times New Roman"/>
                <w:noProof/>
                <w:sz w:val="24"/>
              </w:rPr>
              <w:t>Jalon</w:t>
            </w:r>
          </w:p>
        </w:tc>
        <w:tc>
          <w:tcPr>
            <w:tcW w:w="1159" w:type="dxa"/>
            <w:shd w:val="clear" w:color="auto" w:fill="C5EECE"/>
            <w:tcMar>
              <w:left w:w="57" w:type="dxa"/>
              <w:right w:w="57" w:type="dxa"/>
            </w:tcMar>
          </w:tcPr>
          <w:p w14:paraId="4BBE5D46" w14:textId="77777777" w:rsidR="009F596F" w:rsidRPr="000A27B3" w:rsidRDefault="009F596F" w:rsidP="005E4097">
            <w:pPr>
              <w:spacing w:before="138" w:after="0" w:line="254" w:lineRule="auto"/>
              <w:jc w:val="both"/>
              <w:rPr>
                <w:rFonts w:ascii="Times New Roman" w:eastAsia="Times New Roman" w:hAnsi="Times New Roman" w:cs="Times New Roman"/>
                <w:noProof/>
                <w:sz w:val="24"/>
                <w:szCs w:val="32"/>
              </w:rPr>
            </w:pPr>
            <w:r>
              <w:rPr>
                <w:rFonts w:ascii="Times New Roman" w:hAnsi="Times New Roman"/>
                <w:noProof/>
                <w:sz w:val="24"/>
              </w:rPr>
              <w:t xml:space="preserve">Semnarea contractelor de concesiune în zonele de accelerare </w:t>
            </w:r>
          </w:p>
        </w:tc>
        <w:tc>
          <w:tcPr>
            <w:tcW w:w="1159" w:type="dxa"/>
            <w:shd w:val="clear" w:color="auto" w:fill="C5EECE"/>
            <w:tcMar>
              <w:left w:w="57" w:type="dxa"/>
              <w:right w:w="57" w:type="dxa"/>
            </w:tcMar>
          </w:tcPr>
          <w:p w14:paraId="610D121B" w14:textId="77777777" w:rsidR="009F596F" w:rsidRPr="000A27B3" w:rsidRDefault="009F596F" w:rsidP="005E4097">
            <w:pPr>
              <w:spacing w:before="138" w:after="0" w:line="254" w:lineRule="auto"/>
              <w:jc w:val="both"/>
              <w:rPr>
                <w:rFonts w:ascii="Times New Roman" w:hAnsi="Times New Roman" w:cs="Times New Roman"/>
                <w:noProof/>
                <w:sz w:val="24"/>
                <w:szCs w:val="32"/>
              </w:rPr>
            </w:pPr>
            <w:r>
              <w:rPr>
                <w:rFonts w:ascii="Times New Roman" w:hAnsi="Times New Roman"/>
                <w:noProof/>
                <w:sz w:val="24"/>
              </w:rPr>
              <w:t xml:space="preserve">Semnarea contractelor </w:t>
            </w:r>
          </w:p>
        </w:tc>
        <w:tc>
          <w:tcPr>
            <w:tcW w:w="1127" w:type="dxa"/>
            <w:shd w:val="clear" w:color="auto" w:fill="C5EECE"/>
            <w:tcMar>
              <w:left w:w="57" w:type="dxa"/>
              <w:right w:w="57" w:type="dxa"/>
            </w:tcMar>
          </w:tcPr>
          <w:p w14:paraId="4D7C812E" w14:textId="77777777" w:rsidR="009F596F" w:rsidRPr="000A27B3" w:rsidRDefault="009F596F">
            <w:pPr>
              <w:spacing w:after="0"/>
              <w:rPr>
                <w:rFonts w:ascii="Times New Roman" w:eastAsia="Times New Roman" w:hAnsi="Times New Roman" w:cs="Times New Roman"/>
                <w:noProof/>
                <w:sz w:val="24"/>
                <w:szCs w:val="32"/>
                <w:lang w:val="en-GB"/>
              </w:rPr>
            </w:pPr>
          </w:p>
        </w:tc>
        <w:tc>
          <w:tcPr>
            <w:tcW w:w="1794" w:type="dxa"/>
            <w:shd w:val="clear" w:color="auto" w:fill="C5EECE"/>
            <w:tcMar>
              <w:left w:w="57" w:type="dxa"/>
              <w:right w:w="57" w:type="dxa"/>
            </w:tcMar>
          </w:tcPr>
          <w:p w14:paraId="3C74A6B7" w14:textId="77777777" w:rsidR="009F596F" w:rsidRPr="000A27B3" w:rsidRDefault="009F596F">
            <w:pPr>
              <w:spacing w:after="0"/>
              <w:rPr>
                <w:rFonts w:ascii="Times New Roman" w:eastAsia="Times New Roman" w:hAnsi="Times New Roman" w:cs="Times New Roman"/>
                <w:noProof/>
                <w:sz w:val="24"/>
                <w:szCs w:val="32"/>
                <w:lang w:val="en-GB"/>
              </w:rPr>
            </w:pPr>
          </w:p>
        </w:tc>
        <w:tc>
          <w:tcPr>
            <w:tcW w:w="1054" w:type="dxa"/>
            <w:shd w:val="clear" w:color="auto" w:fill="C5EECE"/>
            <w:tcMar>
              <w:left w:w="57" w:type="dxa"/>
              <w:right w:w="57" w:type="dxa"/>
            </w:tcMar>
          </w:tcPr>
          <w:p w14:paraId="622C8EA0" w14:textId="77777777" w:rsidR="009F596F" w:rsidRPr="000A27B3" w:rsidRDefault="009F596F">
            <w:pPr>
              <w:spacing w:after="0"/>
              <w:rPr>
                <w:rFonts w:ascii="Times New Roman" w:eastAsia="Times New Roman" w:hAnsi="Times New Roman" w:cs="Times New Roman"/>
                <w:noProof/>
                <w:sz w:val="24"/>
                <w:szCs w:val="32"/>
                <w:lang w:val="en-GB"/>
              </w:rPr>
            </w:pPr>
          </w:p>
        </w:tc>
        <w:tc>
          <w:tcPr>
            <w:tcW w:w="779" w:type="dxa"/>
            <w:shd w:val="clear" w:color="auto" w:fill="C5EECE"/>
            <w:tcMar>
              <w:left w:w="57" w:type="dxa"/>
              <w:right w:w="57" w:type="dxa"/>
            </w:tcMar>
          </w:tcPr>
          <w:p w14:paraId="6268694A" w14:textId="77777777" w:rsidR="009F596F" w:rsidRPr="000A27B3" w:rsidRDefault="009F596F">
            <w:pPr>
              <w:spacing w:before="138" w:after="0"/>
              <w:jc w:val="center"/>
              <w:rPr>
                <w:rFonts w:ascii="Times New Roman" w:eastAsia="Times New Roman" w:hAnsi="Times New Roman" w:cs="Times New Roman"/>
                <w:noProof/>
                <w:sz w:val="24"/>
                <w:szCs w:val="32"/>
              </w:rPr>
            </w:pPr>
            <w:r>
              <w:rPr>
                <w:rFonts w:ascii="Times New Roman" w:hAnsi="Times New Roman"/>
                <w:noProof/>
                <w:sz w:val="24"/>
              </w:rPr>
              <w:t>T4</w:t>
            </w:r>
          </w:p>
        </w:tc>
        <w:tc>
          <w:tcPr>
            <w:tcW w:w="1003" w:type="dxa"/>
            <w:shd w:val="clear" w:color="auto" w:fill="C5EECE"/>
            <w:tcMar>
              <w:left w:w="57" w:type="dxa"/>
              <w:right w:w="57" w:type="dxa"/>
            </w:tcMar>
          </w:tcPr>
          <w:p w14:paraId="5A9C1B91" w14:textId="77777777" w:rsidR="009F596F" w:rsidRPr="000A27B3" w:rsidRDefault="009F596F">
            <w:pPr>
              <w:spacing w:before="138" w:after="0"/>
              <w:rPr>
                <w:rFonts w:ascii="Times New Roman" w:eastAsia="Times New Roman" w:hAnsi="Times New Roman" w:cs="Times New Roman"/>
                <w:noProof/>
                <w:sz w:val="24"/>
                <w:szCs w:val="32"/>
              </w:rPr>
            </w:pPr>
            <w:r>
              <w:rPr>
                <w:rFonts w:ascii="Times New Roman" w:hAnsi="Times New Roman"/>
                <w:noProof/>
                <w:sz w:val="24"/>
              </w:rPr>
              <w:t>2025</w:t>
            </w:r>
          </w:p>
        </w:tc>
        <w:tc>
          <w:tcPr>
            <w:tcW w:w="2215" w:type="dxa"/>
            <w:shd w:val="clear" w:color="auto" w:fill="C5EECE"/>
            <w:tcMar>
              <w:left w:w="57" w:type="dxa"/>
              <w:right w:w="57" w:type="dxa"/>
            </w:tcMar>
          </w:tcPr>
          <w:p w14:paraId="31DA61CB" w14:textId="77777777" w:rsidR="009F596F" w:rsidRPr="000A27B3" w:rsidRDefault="009F596F">
            <w:pPr>
              <w:spacing w:before="138" w:after="0" w:line="252" w:lineRule="auto"/>
              <w:jc w:val="both"/>
              <w:rPr>
                <w:rFonts w:ascii="Times New Roman" w:hAnsi="Times New Roman" w:cs="Times New Roman"/>
                <w:noProof/>
                <w:sz w:val="24"/>
                <w:szCs w:val="32"/>
              </w:rPr>
            </w:pPr>
            <w:r>
              <w:rPr>
                <w:rFonts w:ascii="Times New Roman" w:hAnsi="Times New Roman"/>
                <w:noProof/>
                <w:sz w:val="24"/>
              </w:rPr>
              <w:t>În urma unei prime runde de proceduri de licitație, trebuie să fie semnate contracte de concesiune funciară pentru implementarea de noi capacități de producție din surse regenerabile în zonele aflate în proces de accelerare.</w:t>
            </w:r>
          </w:p>
        </w:tc>
      </w:tr>
      <w:tr w:rsidR="00D1375D" w:rsidRPr="000A27B3" w14:paraId="5C4462B8" w14:textId="77777777" w:rsidTr="00D36F66">
        <w:trPr>
          <w:trHeight w:val="1065"/>
        </w:trPr>
        <w:tc>
          <w:tcPr>
            <w:tcW w:w="1571" w:type="dxa"/>
            <w:shd w:val="clear" w:color="auto" w:fill="C5EECE"/>
            <w:tcMar>
              <w:left w:w="57" w:type="dxa"/>
              <w:right w:w="57" w:type="dxa"/>
            </w:tcMar>
          </w:tcPr>
          <w:p w14:paraId="20EDA008" w14:textId="734A6123" w:rsidR="009F596F" w:rsidRPr="000A27B3" w:rsidRDefault="00FD6793">
            <w:pPr>
              <w:spacing w:before="138" w:after="0"/>
              <w:jc w:val="center"/>
              <w:rPr>
                <w:rFonts w:ascii="Times New Roman" w:hAnsi="Times New Roman" w:cs="Times New Roman"/>
                <w:noProof/>
                <w:sz w:val="24"/>
                <w:szCs w:val="24"/>
              </w:rPr>
            </w:pPr>
            <w:r>
              <w:rPr>
                <w:rFonts w:ascii="Times New Roman" w:hAnsi="Times New Roman"/>
                <w:noProof/>
                <w:sz w:val="24"/>
              </w:rPr>
              <w:t>512</w:t>
            </w:r>
          </w:p>
        </w:tc>
        <w:tc>
          <w:tcPr>
            <w:tcW w:w="2490" w:type="dxa"/>
            <w:shd w:val="clear" w:color="auto" w:fill="C5EECE"/>
            <w:tcMar>
              <w:left w:w="57" w:type="dxa"/>
              <w:right w:w="57" w:type="dxa"/>
            </w:tcMar>
          </w:tcPr>
          <w:p w14:paraId="57211883" w14:textId="77777777" w:rsidR="009F596F" w:rsidRPr="000A27B3" w:rsidRDefault="009F596F">
            <w:pPr>
              <w:pStyle w:val="P68B1DB1-Normal8"/>
              <w:spacing w:before="120" w:after="120" w:line="276" w:lineRule="auto"/>
              <w:jc w:val="both"/>
              <w:rPr>
                <w:rFonts w:ascii="Times New Roman" w:hAnsi="Times New Roman" w:cs="Times New Roman"/>
                <w:noProof/>
                <w:sz w:val="24"/>
                <w:szCs w:val="24"/>
              </w:rPr>
            </w:pPr>
            <w:r>
              <w:rPr>
                <w:rFonts w:ascii="Times New Roman" w:hAnsi="Times New Roman"/>
                <w:noProof/>
                <w:sz w:val="24"/>
              </w:rPr>
              <w:t>Investiția 1. Formare pentru dobândirea competențelor în domeniul energiei verzi</w:t>
            </w:r>
          </w:p>
        </w:tc>
        <w:tc>
          <w:tcPr>
            <w:tcW w:w="906" w:type="dxa"/>
            <w:shd w:val="clear" w:color="auto" w:fill="C5EECE"/>
            <w:tcMar>
              <w:left w:w="57" w:type="dxa"/>
              <w:right w:w="57" w:type="dxa"/>
            </w:tcMar>
          </w:tcPr>
          <w:p w14:paraId="2BB64FFA" w14:textId="77777777" w:rsidR="009F596F" w:rsidRPr="000A27B3" w:rsidRDefault="009F596F">
            <w:pPr>
              <w:spacing w:before="153" w:after="0" w:line="245" w:lineRule="auto"/>
              <w:ind w:left="316" w:hanging="316"/>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0C27035D" w14:textId="2629F059" w:rsidR="009F596F" w:rsidRPr="000A27B3" w:rsidRDefault="009F596F" w:rsidP="005E4097">
            <w:pPr>
              <w:spacing w:before="138" w:after="0" w:line="254" w:lineRule="auto"/>
              <w:jc w:val="both"/>
              <w:rPr>
                <w:rFonts w:ascii="Times New Roman" w:hAnsi="Times New Roman" w:cs="Times New Roman"/>
                <w:noProof/>
                <w:sz w:val="24"/>
                <w:szCs w:val="24"/>
              </w:rPr>
            </w:pPr>
            <w:r>
              <w:rPr>
                <w:rFonts w:ascii="Times New Roman" w:hAnsi="Times New Roman"/>
                <w:noProof/>
                <w:sz w:val="24"/>
              </w:rPr>
              <w:t xml:space="preserve">Aprobarea standardelor profesionale în domeniul producției de energie din surse regenerabile </w:t>
            </w:r>
          </w:p>
        </w:tc>
        <w:tc>
          <w:tcPr>
            <w:tcW w:w="1159" w:type="dxa"/>
            <w:shd w:val="clear" w:color="auto" w:fill="C5EECE"/>
            <w:tcMar>
              <w:left w:w="57" w:type="dxa"/>
              <w:right w:w="57" w:type="dxa"/>
            </w:tcMar>
          </w:tcPr>
          <w:p w14:paraId="4FB8BC95" w14:textId="77777777" w:rsidR="009F596F" w:rsidRPr="000A27B3" w:rsidRDefault="009F596F" w:rsidP="005E4097">
            <w:pPr>
              <w:spacing w:before="153" w:after="0" w:line="245" w:lineRule="auto"/>
              <w:ind w:left="195" w:hanging="195"/>
              <w:jc w:val="both"/>
              <w:rPr>
                <w:rFonts w:ascii="Times New Roman" w:hAnsi="Times New Roman" w:cs="Times New Roman"/>
                <w:noProof/>
                <w:sz w:val="24"/>
                <w:szCs w:val="24"/>
                <w:lang w:val="en-GB"/>
              </w:rPr>
            </w:pPr>
          </w:p>
        </w:tc>
        <w:tc>
          <w:tcPr>
            <w:tcW w:w="1127" w:type="dxa"/>
            <w:shd w:val="clear" w:color="auto" w:fill="C5EECE"/>
            <w:tcMar>
              <w:left w:w="57" w:type="dxa"/>
              <w:right w:w="57" w:type="dxa"/>
            </w:tcMar>
          </w:tcPr>
          <w:p w14:paraId="7D278A00" w14:textId="77777777" w:rsidR="009F596F" w:rsidRPr="000A27B3" w:rsidRDefault="009F596F">
            <w:pPr>
              <w:spacing w:before="138" w:after="0"/>
              <w:rPr>
                <w:rFonts w:ascii="Times New Roman" w:hAnsi="Times New Roman" w:cs="Times New Roman"/>
                <w:noProof/>
                <w:sz w:val="24"/>
                <w:szCs w:val="24"/>
              </w:rPr>
            </w:pPr>
            <w:r>
              <w:rPr>
                <w:rFonts w:ascii="Times New Roman" w:hAnsi="Times New Roman"/>
                <w:noProof/>
                <w:sz w:val="24"/>
              </w:rPr>
              <w:t xml:space="preserve">Standarde profesionale </w:t>
            </w:r>
          </w:p>
        </w:tc>
        <w:tc>
          <w:tcPr>
            <w:tcW w:w="1794" w:type="dxa"/>
            <w:shd w:val="clear" w:color="auto" w:fill="C5EECE"/>
            <w:tcMar>
              <w:left w:w="57" w:type="dxa"/>
              <w:right w:w="57" w:type="dxa"/>
            </w:tcMar>
          </w:tcPr>
          <w:p w14:paraId="70E61516" w14:textId="77777777" w:rsidR="009F596F" w:rsidRPr="000A27B3" w:rsidRDefault="009F596F">
            <w:pPr>
              <w:spacing w:before="138" w:after="0"/>
              <w:rPr>
                <w:rFonts w:ascii="Times New Roman" w:hAnsi="Times New Roman" w:cs="Times New Roman"/>
                <w:noProof/>
                <w:sz w:val="24"/>
                <w:szCs w:val="24"/>
                <w:lang w:val="en-GB"/>
              </w:rPr>
            </w:pPr>
          </w:p>
        </w:tc>
        <w:tc>
          <w:tcPr>
            <w:tcW w:w="1054" w:type="dxa"/>
            <w:shd w:val="clear" w:color="auto" w:fill="C5EECE"/>
            <w:tcMar>
              <w:left w:w="57" w:type="dxa"/>
              <w:right w:w="57" w:type="dxa"/>
            </w:tcMar>
          </w:tcPr>
          <w:p w14:paraId="45C3ED32" w14:textId="77777777" w:rsidR="009F596F" w:rsidRPr="000A27B3" w:rsidRDefault="009F596F">
            <w:pPr>
              <w:spacing w:before="138" w:after="0"/>
              <w:rPr>
                <w:rFonts w:ascii="Times New Roman" w:hAnsi="Times New Roman" w:cs="Times New Roman"/>
                <w:noProof/>
                <w:sz w:val="24"/>
                <w:szCs w:val="24"/>
              </w:rPr>
            </w:pPr>
            <w:r>
              <w:rPr>
                <w:rFonts w:ascii="Times New Roman" w:hAnsi="Times New Roman"/>
                <w:noProof/>
                <w:sz w:val="24"/>
              </w:rPr>
              <w:t>9</w:t>
            </w:r>
          </w:p>
        </w:tc>
        <w:tc>
          <w:tcPr>
            <w:tcW w:w="779" w:type="dxa"/>
            <w:shd w:val="clear" w:color="auto" w:fill="C5EECE"/>
            <w:tcMar>
              <w:left w:w="57" w:type="dxa"/>
              <w:right w:w="57" w:type="dxa"/>
            </w:tcMar>
          </w:tcPr>
          <w:p w14:paraId="086F68EA"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T4</w:t>
            </w:r>
          </w:p>
        </w:tc>
        <w:tc>
          <w:tcPr>
            <w:tcW w:w="1003" w:type="dxa"/>
            <w:shd w:val="clear" w:color="auto" w:fill="C5EECE"/>
            <w:tcMar>
              <w:left w:w="57" w:type="dxa"/>
              <w:right w:w="57" w:type="dxa"/>
            </w:tcMar>
          </w:tcPr>
          <w:p w14:paraId="35189301" w14:textId="77777777" w:rsidR="009F596F" w:rsidRPr="000A27B3" w:rsidRDefault="009F596F">
            <w:pPr>
              <w:spacing w:before="153" w:after="0"/>
              <w:rPr>
                <w:rFonts w:ascii="Times New Roman" w:hAnsi="Times New Roman" w:cs="Times New Roman"/>
                <w:noProof/>
                <w:sz w:val="24"/>
                <w:szCs w:val="24"/>
              </w:rPr>
            </w:pPr>
            <w:r>
              <w:rPr>
                <w:rFonts w:ascii="Times New Roman" w:hAnsi="Times New Roman"/>
                <w:noProof/>
                <w:sz w:val="24"/>
              </w:rPr>
              <w:t>2024</w:t>
            </w:r>
          </w:p>
        </w:tc>
        <w:tc>
          <w:tcPr>
            <w:tcW w:w="2215" w:type="dxa"/>
            <w:shd w:val="clear" w:color="auto" w:fill="C5EECE"/>
            <w:tcMar>
              <w:left w:w="57" w:type="dxa"/>
              <w:right w:w="57" w:type="dxa"/>
            </w:tcMar>
          </w:tcPr>
          <w:p w14:paraId="0ACC5779" w14:textId="7321C276" w:rsidR="009F596F" w:rsidRPr="000A27B3" w:rsidRDefault="009F596F">
            <w:pPr>
              <w:spacing w:before="153" w:after="0" w:line="252" w:lineRule="auto"/>
              <w:jc w:val="both"/>
              <w:rPr>
                <w:noProof/>
                <w:sz w:val="24"/>
                <w:szCs w:val="24"/>
              </w:rPr>
            </w:pPr>
            <w:r>
              <w:rPr>
                <w:rFonts w:ascii="Times New Roman" w:hAnsi="Times New Roman"/>
                <w:noProof/>
                <w:sz w:val="24"/>
              </w:rPr>
              <w:t>Se stabilesc cel puțin șapte noi standarde profesionale și se revizuiesc cel puțin două standarde profesionale deja aprobate, pe baza unei cartografieri a nevoilor de formare.</w:t>
            </w:r>
          </w:p>
        </w:tc>
      </w:tr>
      <w:tr w:rsidR="00D1375D" w:rsidRPr="000A27B3" w14:paraId="42E588A2" w14:textId="77777777" w:rsidTr="00D36F66">
        <w:trPr>
          <w:trHeight w:val="750"/>
        </w:trPr>
        <w:tc>
          <w:tcPr>
            <w:tcW w:w="1571" w:type="dxa"/>
            <w:shd w:val="clear" w:color="auto" w:fill="C5EECE"/>
            <w:tcMar>
              <w:left w:w="57" w:type="dxa"/>
              <w:right w:w="57" w:type="dxa"/>
            </w:tcMar>
          </w:tcPr>
          <w:p w14:paraId="468C1BAA" w14:textId="712E2000" w:rsidR="009F596F" w:rsidRPr="000A27B3" w:rsidRDefault="00FD6793">
            <w:pPr>
              <w:spacing w:before="138" w:after="0"/>
              <w:jc w:val="center"/>
              <w:rPr>
                <w:rFonts w:ascii="Times New Roman" w:hAnsi="Times New Roman" w:cs="Times New Roman"/>
                <w:noProof/>
                <w:sz w:val="24"/>
                <w:szCs w:val="24"/>
              </w:rPr>
            </w:pPr>
            <w:r>
              <w:rPr>
                <w:rFonts w:ascii="Times New Roman" w:hAnsi="Times New Roman"/>
                <w:noProof/>
                <w:sz w:val="24"/>
              </w:rPr>
              <w:t>513</w:t>
            </w:r>
          </w:p>
        </w:tc>
        <w:tc>
          <w:tcPr>
            <w:tcW w:w="2490" w:type="dxa"/>
            <w:shd w:val="clear" w:color="auto" w:fill="C5EECE"/>
            <w:tcMar>
              <w:left w:w="57" w:type="dxa"/>
              <w:right w:w="57" w:type="dxa"/>
            </w:tcMar>
          </w:tcPr>
          <w:p w14:paraId="080E150A" w14:textId="77777777" w:rsidR="009F596F" w:rsidRPr="000A27B3" w:rsidRDefault="009F596F">
            <w:pPr>
              <w:pStyle w:val="P68B1DB1-Normal8"/>
              <w:spacing w:before="120" w:after="120" w:line="276" w:lineRule="auto"/>
              <w:jc w:val="both"/>
              <w:rPr>
                <w:rFonts w:ascii="Times New Roman" w:hAnsi="Times New Roman" w:cs="Times New Roman"/>
                <w:noProof/>
                <w:sz w:val="24"/>
                <w:szCs w:val="24"/>
              </w:rPr>
            </w:pPr>
            <w:r>
              <w:rPr>
                <w:rFonts w:ascii="Times New Roman" w:hAnsi="Times New Roman"/>
                <w:noProof/>
                <w:sz w:val="24"/>
              </w:rPr>
              <w:t>Investiția 1. Formare pentru dobândirea competențelor în domeniul energiei verzi</w:t>
            </w:r>
          </w:p>
        </w:tc>
        <w:tc>
          <w:tcPr>
            <w:tcW w:w="906" w:type="dxa"/>
            <w:shd w:val="clear" w:color="auto" w:fill="C5EECE"/>
            <w:tcMar>
              <w:left w:w="57" w:type="dxa"/>
              <w:right w:w="57" w:type="dxa"/>
            </w:tcMar>
          </w:tcPr>
          <w:p w14:paraId="1F49D0AA" w14:textId="77777777" w:rsidR="009F596F" w:rsidRPr="000A27B3" w:rsidRDefault="009F596F">
            <w:pPr>
              <w:spacing w:before="153" w:after="0" w:line="245" w:lineRule="auto"/>
              <w:ind w:left="316" w:hanging="316"/>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6DD6CDCA" w14:textId="118E9903" w:rsidR="009F596F" w:rsidRPr="000A27B3" w:rsidRDefault="009F596F" w:rsidP="005E4097">
            <w:pPr>
              <w:spacing w:before="153" w:after="0" w:line="252" w:lineRule="auto"/>
              <w:jc w:val="both"/>
              <w:rPr>
                <w:rFonts w:ascii="Times New Roman" w:hAnsi="Times New Roman" w:cs="Times New Roman"/>
                <w:noProof/>
                <w:sz w:val="24"/>
                <w:szCs w:val="24"/>
              </w:rPr>
            </w:pPr>
            <w:r>
              <w:rPr>
                <w:rFonts w:ascii="Times New Roman" w:hAnsi="Times New Roman"/>
                <w:noProof/>
                <w:sz w:val="24"/>
              </w:rPr>
              <w:t>Cel puțin 4 000 de lucrători au absolvit cursuri de formare în domeniul producției de energie din surse regenerabile</w:t>
            </w:r>
          </w:p>
        </w:tc>
        <w:tc>
          <w:tcPr>
            <w:tcW w:w="1159" w:type="dxa"/>
            <w:shd w:val="clear" w:color="auto" w:fill="C5EECE"/>
            <w:tcMar>
              <w:left w:w="57" w:type="dxa"/>
              <w:right w:w="57" w:type="dxa"/>
            </w:tcMar>
          </w:tcPr>
          <w:p w14:paraId="64A1BBE3" w14:textId="77777777" w:rsidR="009F596F" w:rsidRPr="009F1DC7" w:rsidRDefault="009F596F" w:rsidP="005E4097">
            <w:pPr>
              <w:spacing w:before="153" w:after="0" w:line="245" w:lineRule="auto"/>
              <w:ind w:left="195" w:hanging="195"/>
              <w:jc w:val="both"/>
              <w:rPr>
                <w:rFonts w:ascii="Times New Roman" w:hAnsi="Times New Roman" w:cs="Times New Roman"/>
                <w:noProof/>
                <w:sz w:val="24"/>
                <w:szCs w:val="24"/>
                <w:lang w:val="fr-FR"/>
              </w:rPr>
            </w:pPr>
          </w:p>
        </w:tc>
        <w:tc>
          <w:tcPr>
            <w:tcW w:w="1127" w:type="dxa"/>
            <w:shd w:val="clear" w:color="auto" w:fill="C5EECE"/>
            <w:tcMar>
              <w:left w:w="57" w:type="dxa"/>
              <w:right w:w="57" w:type="dxa"/>
            </w:tcMar>
          </w:tcPr>
          <w:p w14:paraId="2BB1D6E5" w14:textId="77777777" w:rsidR="009F596F" w:rsidRPr="000A27B3" w:rsidRDefault="009F596F">
            <w:pPr>
              <w:spacing w:before="138" w:after="0"/>
              <w:rPr>
                <w:rFonts w:ascii="Times New Roman" w:hAnsi="Times New Roman" w:cs="Times New Roman"/>
                <w:noProof/>
                <w:sz w:val="24"/>
                <w:szCs w:val="24"/>
              </w:rPr>
            </w:pPr>
            <w:r>
              <w:rPr>
                <w:rFonts w:ascii="Times New Roman" w:hAnsi="Times New Roman"/>
                <w:noProof/>
                <w:sz w:val="24"/>
              </w:rPr>
              <w:t>Număr</w:t>
            </w:r>
          </w:p>
        </w:tc>
        <w:tc>
          <w:tcPr>
            <w:tcW w:w="1794" w:type="dxa"/>
            <w:shd w:val="clear" w:color="auto" w:fill="C5EECE"/>
            <w:tcMar>
              <w:left w:w="57" w:type="dxa"/>
              <w:right w:w="57" w:type="dxa"/>
            </w:tcMar>
          </w:tcPr>
          <w:p w14:paraId="608DEA74" w14:textId="77777777" w:rsidR="009F596F" w:rsidRPr="000A27B3" w:rsidRDefault="009F596F">
            <w:pPr>
              <w:spacing w:before="138" w:after="0"/>
              <w:rPr>
                <w:rFonts w:ascii="Times New Roman" w:hAnsi="Times New Roman" w:cs="Times New Roman"/>
                <w:noProof/>
                <w:sz w:val="24"/>
                <w:szCs w:val="24"/>
              </w:rPr>
            </w:pPr>
            <w:r>
              <w:rPr>
                <w:rFonts w:ascii="Times New Roman" w:hAnsi="Times New Roman"/>
                <w:noProof/>
                <w:sz w:val="24"/>
              </w:rPr>
              <w:t>0</w:t>
            </w:r>
          </w:p>
        </w:tc>
        <w:tc>
          <w:tcPr>
            <w:tcW w:w="1054" w:type="dxa"/>
            <w:shd w:val="clear" w:color="auto" w:fill="C5EECE"/>
            <w:tcMar>
              <w:left w:w="57" w:type="dxa"/>
              <w:right w:w="57" w:type="dxa"/>
            </w:tcMar>
          </w:tcPr>
          <w:p w14:paraId="3F68471F"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4 000</w:t>
            </w:r>
          </w:p>
        </w:tc>
        <w:tc>
          <w:tcPr>
            <w:tcW w:w="779" w:type="dxa"/>
            <w:shd w:val="clear" w:color="auto" w:fill="C5EECE"/>
            <w:tcMar>
              <w:left w:w="57" w:type="dxa"/>
              <w:right w:w="57" w:type="dxa"/>
            </w:tcMar>
          </w:tcPr>
          <w:p w14:paraId="1E7D4814"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 xml:space="preserve">T2 </w:t>
            </w:r>
          </w:p>
        </w:tc>
        <w:tc>
          <w:tcPr>
            <w:tcW w:w="1003" w:type="dxa"/>
            <w:shd w:val="clear" w:color="auto" w:fill="C5EECE"/>
            <w:tcMar>
              <w:left w:w="57" w:type="dxa"/>
              <w:right w:w="57" w:type="dxa"/>
            </w:tcMar>
          </w:tcPr>
          <w:p w14:paraId="4742FC9C" w14:textId="77777777" w:rsidR="009F596F" w:rsidRPr="000A27B3" w:rsidRDefault="009F596F">
            <w:pPr>
              <w:spacing w:before="153" w:after="0"/>
              <w:rPr>
                <w:rFonts w:ascii="Times New Roman" w:hAnsi="Times New Roman" w:cs="Times New Roman"/>
                <w:noProof/>
                <w:sz w:val="24"/>
                <w:szCs w:val="24"/>
              </w:rPr>
            </w:pPr>
            <w:r>
              <w:rPr>
                <w:rFonts w:ascii="Times New Roman" w:hAnsi="Times New Roman"/>
                <w:noProof/>
                <w:sz w:val="24"/>
              </w:rPr>
              <w:t>2026</w:t>
            </w:r>
          </w:p>
        </w:tc>
        <w:tc>
          <w:tcPr>
            <w:tcW w:w="2215" w:type="dxa"/>
            <w:shd w:val="clear" w:color="auto" w:fill="C5EECE"/>
            <w:tcMar>
              <w:left w:w="57" w:type="dxa"/>
              <w:right w:w="57" w:type="dxa"/>
            </w:tcMar>
          </w:tcPr>
          <w:p w14:paraId="6FE1C23D" w14:textId="77777777" w:rsidR="009F596F" w:rsidRPr="000A27B3" w:rsidRDefault="009F596F">
            <w:pPr>
              <w:spacing w:before="138" w:after="0" w:line="264" w:lineRule="auto"/>
              <w:jc w:val="both"/>
              <w:rPr>
                <w:rFonts w:ascii="Times New Roman" w:hAnsi="Times New Roman" w:cs="Times New Roman"/>
                <w:noProof/>
                <w:sz w:val="24"/>
                <w:szCs w:val="24"/>
              </w:rPr>
            </w:pPr>
            <w:r>
              <w:rPr>
                <w:rFonts w:ascii="Times New Roman" w:hAnsi="Times New Roman"/>
                <w:noProof/>
                <w:sz w:val="24"/>
              </w:rPr>
              <w:t>Cel puțin 4 000 de lucrători trebuie să fi obținut certificatul de absolvire a unor cursuri de formare în domeniul producției de energie din surse regenerabile</w:t>
            </w:r>
          </w:p>
        </w:tc>
      </w:tr>
      <w:tr w:rsidR="00D1375D" w:rsidRPr="000A27B3" w14:paraId="163D7A23" w14:textId="77777777" w:rsidTr="00D36F66">
        <w:trPr>
          <w:trHeight w:val="750"/>
        </w:trPr>
        <w:tc>
          <w:tcPr>
            <w:tcW w:w="1571" w:type="dxa"/>
            <w:shd w:val="clear" w:color="auto" w:fill="C5EECE"/>
            <w:tcMar>
              <w:left w:w="57" w:type="dxa"/>
              <w:right w:w="57" w:type="dxa"/>
            </w:tcMar>
          </w:tcPr>
          <w:p w14:paraId="7AB78D08" w14:textId="1B7DE412" w:rsidR="009F596F" w:rsidRPr="000A27B3" w:rsidRDefault="00723C25">
            <w:pPr>
              <w:spacing w:before="138"/>
              <w:jc w:val="center"/>
              <w:rPr>
                <w:rFonts w:ascii="Times New Roman" w:hAnsi="Times New Roman" w:cs="Times New Roman"/>
                <w:noProof/>
                <w:sz w:val="24"/>
                <w:szCs w:val="24"/>
              </w:rPr>
            </w:pPr>
            <w:r>
              <w:rPr>
                <w:rFonts w:ascii="Times New Roman" w:hAnsi="Times New Roman"/>
                <w:noProof/>
                <w:sz w:val="24"/>
              </w:rPr>
              <w:t>124</w:t>
            </w:r>
          </w:p>
        </w:tc>
        <w:tc>
          <w:tcPr>
            <w:tcW w:w="2490" w:type="dxa"/>
            <w:shd w:val="clear" w:color="auto" w:fill="C5EECE"/>
            <w:tcMar>
              <w:left w:w="57" w:type="dxa"/>
              <w:right w:w="57" w:type="dxa"/>
            </w:tcMar>
          </w:tcPr>
          <w:p w14:paraId="6EAA7878" w14:textId="77777777" w:rsidR="009F596F" w:rsidRPr="000A27B3" w:rsidRDefault="009F596F">
            <w:pPr>
              <w:spacing w:before="152" w:after="0"/>
              <w:jc w:val="both"/>
              <w:rPr>
                <w:rFonts w:ascii="Times New Roman" w:hAnsi="Times New Roman" w:cs="Times New Roman"/>
                <w:noProof/>
                <w:sz w:val="24"/>
                <w:szCs w:val="24"/>
              </w:rPr>
            </w:pPr>
            <w:r>
              <w:rPr>
                <w:rFonts w:ascii="Times New Roman" w:hAnsi="Times New Roman"/>
                <w:noProof/>
                <w:sz w:val="24"/>
              </w:rPr>
              <w:t>Investiția 2. Noi capacități de producție de energie electrică din surse regenerabile</w:t>
            </w:r>
          </w:p>
        </w:tc>
        <w:tc>
          <w:tcPr>
            <w:tcW w:w="906" w:type="dxa"/>
            <w:shd w:val="clear" w:color="auto" w:fill="C5EECE"/>
            <w:tcMar>
              <w:left w:w="57" w:type="dxa"/>
              <w:right w:w="57" w:type="dxa"/>
            </w:tcMar>
          </w:tcPr>
          <w:p w14:paraId="1CDC8A82" w14:textId="77777777" w:rsidR="009F596F" w:rsidRPr="000A27B3" w:rsidRDefault="009F596F">
            <w:pPr>
              <w:spacing w:before="138" w:line="252" w:lineRule="auto"/>
              <w:rPr>
                <w:rFonts w:ascii="Times New Roman" w:hAnsi="Times New Roman" w:cs="Times New Roman"/>
                <w:noProof/>
                <w:sz w:val="24"/>
                <w:szCs w:val="24"/>
              </w:rPr>
            </w:pPr>
            <w:r>
              <w:rPr>
                <w:rFonts w:ascii="Times New Roman" w:hAnsi="Times New Roman"/>
                <w:noProof/>
                <w:sz w:val="24"/>
              </w:rPr>
              <w:t>Jalon</w:t>
            </w:r>
          </w:p>
        </w:tc>
        <w:tc>
          <w:tcPr>
            <w:tcW w:w="1159" w:type="dxa"/>
            <w:shd w:val="clear" w:color="auto" w:fill="C5EECE"/>
            <w:tcMar>
              <w:left w:w="57" w:type="dxa"/>
              <w:right w:w="57" w:type="dxa"/>
            </w:tcMar>
          </w:tcPr>
          <w:p w14:paraId="53BA5AE4" w14:textId="77777777" w:rsidR="009F596F" w:rsidRPr="000A27B3" w:rsidRDefault="009F596F" w:rsidP="005E4097">
            <w:pPr>
              <w:spacing w:before="138" w:line="252" w:lineRule="auto"/>
              <w:jc w:val="both"/>
              <w:rPr>
                <w:rFonts w:ascii="Times New Roman" w:hAnsi="Times New Roman" w:cs="Times New Roman"/>
                <w:noProof/>
                <w:sz w:val="24"/>
                <w:szCs w:val="24"/>
              </w:rPr>
            </w:pPr>
            <w:r>
              <w:rPr>
                <w:rFonts w:ascii="Times New Roman" w:hAnsi="Times New Roman"/>
                <w:noProof/>
                <w:sz w:val="24"/>
              </w:rPr>
              <w:t>Lansarea unei proceduri de ofertare pentru proiecte de producție de energie din surse regenerabile (energie eoliană și solară)</w:t>
            </w:r>
          </w:p>
        </w:tc>
        <w:tc>
          <w:tcPr>
            <w:tcW w:w="1159" w:type="dxa"/>
            <w:shd w:val="clear" w:color="auto" w:fill="C5EECE"/>
            <w:tcMar>
              <w:left w:w="57" w:type="dxa"/>
              <w:right w:w="57" w:type="dxa"/>
            </w:tcMar>
          </w:tcPr>
          <w:p w14:paraId="2F3DC97A" w14:textId="77777777" w:rsidR="009F596F" w:rsidRPr="009F1DC7" w:rsidRDefault="009F596F" w:rsidP="005E4097">
            <w:pPr>
              <w:spacing w:before="138" w:line="252" w:lineRule="auto"/>
              <w:jc w:val="both"/>
              <w:rPr>
                <w:rFonts w:ascii="Times New Roman" w:hAnsi="Times New Roman" w:cs="Times New Roman"/>
                <w:noProof/>
                <w:sz w:val="24"/>
                <w:szCs w:val="24"/>
                <w:lang w:val="fr-FR"/>
              </w:rPr>
            </w:pPr>
          </w:p>
        </w:tc>
        <w:tc>
          <w:tcPr>
            <w:tcW w:w="1127" w:type="dxa"/>
            <w:shd w:val="clear" w:color="auto" w:fill="C5EECE"/>
            <w:tcMar>
              <w:left w:w="57" w:type="dxa"/>
              <w:right w:w="57" w:type="dxa"/>
            </w:tcMar>
          </w:tcPr>
          <w:p w14:paraId="70670F54" w14:textId="77777777" w:rsidR="009F596F" w:rsidRPr="009F1DC7" w:rsidRDefault="009F596F">
            <w:pPr>
              <w:spacing w:before="138"/>
              <w:rPr>
                <w:rFonts w:ascii="Times New Roman" w:eastAsia="Times New Roman" w:hAnsi="Times New Roman" w:cs="Times New Roman"/>
                <w:noProof/>
                <w:sz w:val="24"/>
                <w:szCs w:val="24"/>
                <w:lang w:val="fr-FR"/>
              </w:rPr>
            </w:pPr>
          </w:p>
        </w:tc>
        <w:tc>
          <w:tcPr>
            <w:tcW w:w="1794" w:type="dxa"/>
            <w:shd w:val="clear" w:color="auto" w:fill="C5EECE"/>
            <w:tcMar>
              <w:left w:w="57" w:type="dxa"/>
              <w:right w:w="57" w:type="dxa"/>
            </w:tcMar>
          </w:tcPr>
          <w:p w14:paraId="3CC40AB1" w14:textId="77777777" w:rsidR="009F596F" w:rsidRPr="009F1DC7" w:rsidRDefault="009F596F">
            <w:pPr>
              <w:spacing w:before="138"/>
              <w:jc w:val="center"/>
              <w:rPr>
                <w:rFonts w:ascii="Times New Roman" w:eastAsia="Times New Roman" w:hAnsi="Times New Roman" w:cs="Times New Roman"/>
                <w:noProof/>
                <w:sz w:val="24"/>
                <w:szCs w:val="24"/>
                <w:lang w:val="fr-FR"/>
              </w:rPr>
            </w:pPr>
          </w:p>
        </w:tc>
        <w:tc>
          <w:tcPr>
            <w:tcW w:w="1054" w:type="dxa"/>
            <w:shd w:val="clear" w:color="auto" w:fill="C5EECE"/>
            <w:tcMar>
              <w:left w:w="57" w:type="dxa"/>
              <w:right w:w="57" w:type="dxa"/>
            </w:tcMar>
          </w:tcPr>
          <w:p w14:paraId="47DB07D6" w14:textId="77777777" w:rsidR="009F596F" w:rsidRPr="009F1DC7" w:rsidRDefault="009F596F">
            <w:pPr>
              <w:spacing w:before="138"/>
              <w:jc w:val="center"/>
              <w:rPr>
                <w:rFonts w:ascii="Times New Roman" w:eastAsia="Times New Roman" w:hAnsi="Times New Roman" w:cs="Times New Roman"/>
                <w:noProof/>
                <w:sz w:val="24"/>
                <w:szCs w:val="24"/>
                <w:lang w:val="fr-FR"/>
              </w:rPr>
            </w:pPr>
          </w:p>
        </w:tc>
        <w:tc>
          <w:tcPr>
            <w:tcW w:w="779" w:type="dxa"/>
            <w:shd w:val="clear" w:color="auto" w:fill="C5EECE"/>
            <w:tcMar>
              <w:left w:w="57" w:type="dxa"/>
              <w:right w:w="57" w:type="dxa"/>
            </w:tcMar>
          </w:tcPr>
          <w:p w14:paraId="38C866EC" w14:textId="47A3530A" w:rsidR="009F596F" w:rsidRPr="000A27B3" w:rsidRDefault="009F596F">
            <w:pPr>
              <w:spacing w:before="138"/>
              <w:jc w:val="center"/>
              <w:rPr>
                <w:rFonts w:ascii="Times New Roman" w:eastAsia="Times New Roman" w:hAnsi="Times New Roman" w:cs="Times New Roman"/>
                <w:noProof/>
                <w:sz w:val="24"/>
                <w:szCs w:val="24"/>
              </w:rPr>
            </w:pPr>
            <w:r>
              <w:rPr>
                <w:rFonts w:ascii="Times New Roman" w:hAnsi="Times New Roman"/>
                <w:noProof/>
                <w:sz w:val="24"/>
              </w:rPr>
              <w:t>T1</w:t>
            </w:r>
          </w:p>
        </w:tc>
        <w:tc>
          <w:tcPr>
            <w:tcW w:w="1003" w:type="dxa"/>
            <w:shd w:val="clear" w:color="auto" w:fill="C5EECE"/>
            <w:tcMar>
              <w:left w:w="57" w:type="dxa"/>
              <w:right w:w="57" w:type="dxa"/>
            </w:tcMar>
          </w:tcPr>
          <w:p w14:paraId="7B213ED4" w14:textId="77777777" w:rsidR="009F596F" w:rsidRPr="000A27B3" w:rsidRDefault="009F596F">
            <w:pPr>
              <w:spacing w:before="138"/>
              <w:rPr>
                <w:rFonts w:ascii="Times New Roman" w:eastAsia="Times New Roman" w:hAnsi="Times New Roman" w:cs="Times New Roman"/>
                <w:noProof/>
                <w:sz w:val="24"/>
                <w:szCs w:val="24"/>
              </w:rPr>
            </w:pPr>
            <w:r>
              <w:rPr>
                <w:rFonts w:ascii="Times New Roman" w:hAnsi="Times New Roman"/>
                <w:noProof/>
                <w:sz w:val="24"/>
              </w:rPr>
              <w:t>2022</w:t>
            </w:r>
          </w:p>
        </w:tc>
        <w:tc>
          <w:tcPr>
            <w:tcW w:w="2215" w:type="dxa"/>
            <w:shd w:val="clear" w:color="auto" w:fill="C5EECE"/>
            <w:tcMar>
              <w:left w:w="57" w:type="dxa"/>
              <w:right w:w="57" w:type="dxa"/>
            </w:tcMar>
          </w:tcPr>
          <w:p w14:paraId="457435B7" w14:textId="53AC357F" w:rsidR="009F596F" w:rsidRPr="000A27B3" w:rsidRDefault="009F596F">
            <w:pPr>
              <w:spacing w:before="138" w:line="264" w:lineRule="auto"/>
              <w:jc w:val="both"/>
              <w:rPr>
                <w:rFonts w:ascii="Times New Roman" w:hAnsi="Times New Roman" w:cs="Times New Roman"/>
                <w:noProof/>
                <w:sz w:val="24"/>
                <w:szCs w:val="24"/>
              </w:rPr>
            </w:pPr>
            <w:r>
              <w:rPr>
                <w:rFonts w:ascii="Times New Roman" w:hAnsi="Times New Roman"/>
                <w:noProof/>
                <w:sz w:val="24"/>
              </w:rPr>
              <w:t>Procedura de ofertare pentru selecția proiectelor de producție de energie din surse regenerabile (energie eoliană și solară) este publicată. Criteriile de selecție asigură conformitatea cu Orientările tehnice privind aplicarea principiului de „a nu aduce prejudicii semnificative” [C(2023) 6454 final]. Cererea de propuneri este deschisă atât IMM-urilor, cât și marilor investitori</w:t>
            </w:r>
          </w:p>
        </w:tc>
      </w:tr>
      <w:tr w:rsidR="00D1375D" w:rsidRPr="000A27B3" w14:paraId="05E43ADB" w14:textId="77777777" w:rsidTr="00D36F66">
        <w:trPr>
          <w:trHeight w:val="750"/>
        </w:trPr>
        <w:tc>
          <w:tcPr>
            <w:tcW w:w="1571" w:type="dxa"/>
            <w:shd w:val="clear" w:color="auto" w:fill="C5EECE"/>
            <w:tcMar>
              <w:left w:w="57" w:type="dxa"/>
              <w:right w:w="57" w:type="dxa"/>
            </w:tcMar>
          </w:tcPr>
          <w:p w14:paraId="4F833D39" w14:textId="77777777" w:rsidR="009F596F" w:rsidRPr="000A27B3" w:rsidRDefault="009F596F">
            <w:pPr>
              <w:spacing w:before="138"/>
              <w:jc w:val="center"/>
              <w:rPr>
                <w:rFonts w:ascii="Times New Roman" w:hAnsi="Times New Roman" w:cs="Times New Roman"/>
                <w:noProof/>
                <w:sz w:val="24"/>
                <w:szCs w:val="24"/>
              </w:rPr>
            </w:pPr>
            <w:r>
              <w:rPr>
                <w:rFonts w:ascii="Times New Roman" w:hAnsi="Times New Roman"/>
                <w:noProof/>
                <w:sz w:val="24"/>
              </w:rPr>
              <w:t>125</w:t>
            </w:r>
          </w:p>
        </w:tc>
        <w:tc>
          <w:tcPr>
            <w:tcW w:w="2490" w:type="dxa"/>
            <w:shd w:val="clear" w:color="auto" w:fill="C5EECE"/>
            <w:tcMar>
              <w:left w:w="57" w:type="dxa"/>
              <w:right w:w="57" w:type="dxa"/>
            </w:tcMar>
          </w:tcPr>
          <w:p w14:paraId="78D0897F" w14:textId="77777777" w:rsidR="009F596F" w:rsidRPr="000A27B3" w:rsidDel="00280D4A" w:rsidRDefault="009F596F">
            <w:pPr>
              <w:spacing w:before="152" w:after="0"/>
              <w:jc w:val="both"/>
              <w:rPr>
                <w:rFonts w:ascii="Times New Roman" w:hAnsi="Times New Roman" w:cs="Times New Roman"/>
                <w:noProof/>
                <w:sz w:val="24"/>
                <w:szCs w:val="24"/>
              </w:rPr>
            </w:pPr>
            <w:r>
              <w:rPr>
                <w:rFonts w:ascii="Times New Roman" w:hAnsi="Times New Roman"/>
                <w:noProof/>
                <w:sz w:val="24"/>
              </w:rPr>
              <w:t xml:space="preserve">Investiția 2. Noi capacități de producție de energie electrică din surse regenerabile </w:t>
            </w:r>
          </w:p>
        </w:tc>
        <w:tc>
          <w:tcPr>
            <w:tcW w:w="906" w:type="dxa"/>
            <w:shd w:val="clear" w:color="auto" w:fill="C5EECE"/>
            <w:tcMar>
              <w:left w:w="57" w:type="dxa"/>
              <w:right w:w="57" w:type="dxa"/>
            </w:tcMar>
          </w:tcPr>
          <w:p w14:paraId="7337CC83" w14:textId="77777777" w:rsidR="009F596F" w:rsidRPr="000A27B3" w:rsidRDefault="009F596F">
            <w:pPr>
              <w:spacing w:before="138" w:line="252" w:lineRule="auto"/>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3EADB5B3" w14:textId="11474536" w:rsidR="009F596F" w:rsidRPr="000A27B3" w:rsidRDefault="004A51B0" w:rsidP="005E4097">
            <w:pPr>
              <w:spacing w:before="138" w:line="252" w:lineRule="auto"/>
              <w:jc w:val="both"/>
              <w:rPr>
                <w:rFonts w:ascii="Times New Roman" w:hAnsi="Times New Roman" w:cs="Times New Roman"/>
                <w:noProof/>
                <w:sz w:val="24"/>
                <w:szCs w:val="24"/>
              </w:rPr>
            </w:pPr>
            <w:r>
              <w:rPr>
                <w:rFonts w:ascii="Times New Roman" w:hAnsi="Times New Roman"/>
                <w:noProof/>
                <w:sz w:val="24"/>
              </w:rPr>
              <w:t>Capacitate instalată din energie din surse regenerabile (energie eoliană și solară)</w:t>
            </w:r>
          </w:p>
        </w:tc>
        <w:tc>
          <w:tcPr>
            <w:tcW w:w="1159" w:type="dxa"/>
            <w:shd w:val="clear" w:color="auto" w:fill="C5EECE"/>
            <w:tcMar>
              <w:left w:w="57" w:type="dxa"/>
              <w:right w:w="57" w:type="dxa"/>
            </w:tcMar>
          </w:tcPr>
          <w:p w14:paraId="29207476" w14:textId="77777777" w:rsidR="009F596F" w:rsidRPr="008F1E27" w:rsidRDefault="009F596F" w:rsidP="005E4097">
            <w:pPr>
              <w:spacing w:before="138" w:line="252" w:lineRule="auto"/>
              <w:jc w:val="both"/>
              <w:rPr>
                <w:rFonts w:ascii="Times New Roman" w:hAnsi="Times New Roman" w:cs="Times New Roman"/>
                <w:noProof/>
                <w:sz w:val="24"/>
                <w:szCs w:val="24"/>
                <w:lang w:val="fr-FR"/>
              </w:rPr>
            </w:pPr>
          </w:p>
        </w:tc>
        <w:tc>
          <w:tcPr>
            <w:tcW w:w="1127" w:type="dxa"/>
            <w:shd w:val="clear" w:color="auto" w:fill="C5EECE"/>
            <w:tcMar>
              <w:left w:w="57" w:type="dxa"/>
              <w:right w:w="57" w:type="dxa"/>
            </w:tcMar>
          </w:tcPr>
          <w:p w14:paraId="5D20A3F0" w14:textId="77777777" w:rsidR="009F596F" w:rsidRPr="000A27B3" w:rsidRDefault="009F596F">
            <w:pPr>
              <w:spacing w:before="138"/>
              <w:rPr>
                <w:rFonts w:ascii="Times New Roman" w:eastAsia="Times New Roman" w:hAnsi="Times New Roman" w:cs="Times New Roman"/>
                <w:noProof/>
                <w:sz w:val="24"/>
                <w:szCs w:val="24"/>
              </w:rPr>
            </w:pPr>
            <w:r>
              <w:rPr>
                <w:rFonts w:ascii="Times New Roman" w:hAnsi="Times New Roman"/>
                <w:noProof/>
                <w:sz w:val="24"/>
              </w:rPr>
              <w:t>Megawatt (MW)</w:t>
            </w:r>
          </w:p>
        </w:tc>
        <w:tc>
          <w:tcPr>
            <w:tcW w:w="1794" w:type="dxa"/>
            <w:shd w:val="clear" w:color="auto" w:fill="C5EECE"/>
            <w:tcMar>
              <w:left w:w="57" w:type="dxa"/>
              <w:right w:w="57" w:type="dxa"/>
            </w:tcMar>
          </w:tcPr>
          <w:p w14:paraId="483E1C8F" w14:textId="77777777" w:rsidR="009F596F" w:rsidRPr="000A27B3" w:rsidRDefault="009F596F">
            <w:pPr>
              <w:spacing w:before="138"/>
              <w:jc w:val="center"/>
              <w:rPr>
                <w:rFonts w:ascii="Times New Roman" w:eastAsia="Times New Roman" w:hAnsi="Times New Roman" w:cs="Times New Roman"/>
                <w:noProof/>
                <w:sz w:val="24"/>
                <w:szCs w:val="24"/>
              </w:rPr>
            </w:pPr>
            <w:r>
              <w:rPr>
                <w:rFonts w:ascii="Times New Roman" w:hAnsi="Times New Roman"/>
                <w:noProof/>
                <w:sz w:val="24"/>
              </w:rPr>
              <w:t>0</w:t>
            </w:r>
          </w:p>
        </w:tc>
        <w:tc>
          <w:tcPr>
            <w:tcW w:w="1054" w:type="dxa"/>
            <w:shd w:val="clear" w:color="auto" w:fill="C5EECE"/>
            <w:tcMar>
              <w:left w:w="57" w:type="dxa"/>
              <w:right w:w="57" w:type="dxa"/>
            </w:tcMar>
          </w:tcPr>
          <w:p w14:paraId="11DA62C8" w14:textId="77777777" w:rsidR="009F596F" w:rsidRPr="000A27B3" w:rsidRDefault="009F596F">
            <w:pPr>
              <w:spacing w:before="138"/>
              <w:jc w:val="center"/>
              <w:rPr>
                <w:rFonts w:ascii="Times New Roman" w:eastAsia="Times New Roman" w:hAnsi="Times New Roman" w:cs="Times New Roman"/>
                <w:noProof/>
                <w:sz w:val="24"/>
                <w:szCs w:val="24"/>
              </w:rPr>
            </w:pPr>
            <w:r>
              <w:rPr>
                <w:rFonts w:ascii="Times New Roman" w:hAnsi="Times New Roman"/>
                <w:noProof/>
                <w:sz w:val="24"/>
              </w:rPr>
              <w:t>950</w:t>
            </w:r>
          </w:p>
        </w:tc>
        <w:tc>
          <w:tcPr>
            <w:tcW w:w="779" w:type="dxa"/>
            <w:shd w:val="clear" w:color="auto" w:fill="C5EECE"/>
            <w:tcMar>
              <w:left w:w="57" w:type="dxa"/>
              <w:right w:w="57" w:type="dxa"/>
            </w:tcMar>
          </w:tcPr>
          <w:p w14:paraId="020C5B6A" w14:textId="77777777" w:rsidR="009F596F" w:rsidRPr="000A27B3" w:rsidRDefault="009F596F">
            <w:pPr>
              <w:spacing w:before="138"/>
              <w:jc w:val="center"/>
              <w:rPr>
                <w:rFonts w:ascii="Times New Roman" w:eastAsia="Times New Roman" w:hAnsi="Times New Roman" w:cs="Times New Roman"/>
                <w:noProof/>
                <w:sz w:val="24"/>
                <w:szCs w:val="24"/>
              </w:rPr>
            </w:pPr>
            <w:r>
              <w:rPr>
                <w:rFonts w:ascii="Times New Roman" w:hAnsi="Times New Roman"/>
                <w:noProof/>
                <w:sz w:val="24"/>
              </w:rPr>
              <w:t>T4</w:t>
            </w:r>
          </w:p>
        </w:tc>
        <w:tc>
          <w:tcPr>
            <w:tcW w:w="1003" w:type="dxa"/>
            <w:shd w:val="clear" w:color="auto" w:fill="C5EECE"/>
            <w:tcMar>
              <w:left w:w="57" w:type="dxa"/>
              <w:right w:w="57" w:type="dxa"/>
            </w:tcMar>
          </w:tcPr>
          <w:p w14:paraId="2F1BB34C" w14:textId="77777777" w:rsidR="009F596F" w:rsidRPr="000A27B3" w:rsidRDefault="009F596F">
            <w:pPr>
              <w:spacing w:before="138"/>
              <w:rPr>
                <w:rFonts w:ascii="Times New Roman" w:eastAsia="Times New Roman" w:hAnsi="Times New Roman" w:cs="Times New Roman"/>
                <w:noProof/>
                <w:sz w:val="24"/>
                <w:szCs w:val="24"/>
              </w:rPr>
            </w:pPr>
            <w:r>
              <w:rPr>
                <w:rFonts w:ascii="Times New Roman" w:hAnsi="Times New Roman"/>
                <w:noProof/>
                <w:sz w:val="24"/>
              </w:rPr>
              <w:t>2024</w:t>
            </w:r>
          </w:p>
        </w:tc>
        <w:tc>
          <w:tcPr>
            <w:tcW w:w="2215" w:type="dxa"/>
            <w:shd w:val="clear" w:color="auto" w:fill="C5EECE"/>
            <w:tcMar>
              <w:left w:w="57" w:type="dxa"/>
              <w:right w:w="57" w:type="dxa"/>
            </w:tcMar>
          </w:tcPr>
          <w:p w14:paraId="54BA3085" w14:textId="330DA63A" w:rsidR="009F596F" w:rsidRPr="000A27B3" w:rsidRDefault="009F596F">
            <w:pPr>
              <w:spacing w:before="138" w:line="264" w:lineRule="auto"/>
              <w:jc w:val="both"/>
              <w:rPr>
                <w:rFonts w:ascii="Times New Roman" w:hAnsi="Times New Roman" w:cs="Times New Roman"/>
                <w:noProof/>
                <w:sz w:val="24"/>
                <w:szCs w:val="24"/>
              </w:rPr>
            </w:pPr>
            <w:r>
              <w:rPr>
                <w:rFonts w:ascii="Times New Roman" w:hAnsi="Times New Roman"/>
                <w:noProof/>
                <w:sz w:val="24"/>
              </w:rPr>
              <w:t xml:space="preserve">O capacitate de cel puțin 950 MW de energie din surse regenerabile (eoliană și solară) se pune în funcțiune și se conectează la rețea, în conformitate cu condițiile prevăzute la jalonul 124. </w:t>
            </w:r>
          </w:p>
        </w:tc>
      </w:tr>
      <w:tr w:rsidR="00D1375D" w:rsidRPr="000A27B3" w14:paraId="118B1B4E" w14:textId="77777777" w:rsidTr="00D36F66">
        <w:trPr>
          <w:trHeight w:val="750"/>
        </w:trPr>
        <w:tc>
          <w:tcPr>
            <w:tcW w:w="1571" w:type="dxa"/>
            <w:shd w:val="clear" w:color="auto" w:fill="C5EECE"/>
            <w:tcMar>
              <w:left w:w="57" w:type="dxa"/>
              <w:right w:w="57" w:type="dxa"/>
            </w:tcMar>
          </w:tcPr>
          <w:p w14:paraId="1FB2A38D" w14:textId="2071C2F4" w:rsidR="009F596F" w:rsidRPr="000A27B3" w:rsidRDefault="00AE0E36">
            <w:pPr>
              <w:spacing w:before="138" w:after="0"/>
              <w:jc w:val="center"/>
              <w:rPr>
                <w:rFonts w:ascii="Times New Roman" w:hAnsi="Times New Roman" w:cs="Times New Roman"/>
                <w:noProof/>
                <w:sz w:val="24"/>
                <w:szCs w:val="24"/>
              </w:rPr>
            </w:pPr>
            <w:r>
              <w:rPr>
                <w:rFonts w:ascii="Times New Roman" w:hAnsi="Times New Roman"/>
                <w:noProof/>
                <w:sz w:val="24"/>
              </w:rPr>
              <w:t>514</w:t>
            </w:r>
          </w:p>
        </w:tc>
        <w:tc>
          <w:tcPr>
            <w:tcW w:w="2490" w:type="dxa"/>
            <w:shd w:val="clear" w:color="auto" w:fill="C5EECE"/>
            <w:tcMar>
              <w:left w:w="57" w:type="dxa"/>
              <w:right w:w="57" w:type="dxa"/>
            </w:tcMar>
          </w:tcPr>
          <w:p w14:paraId="23391059" w14:textId="77777777" w:rsidR="009F596F" w:rsidRPr="000A27B3" w:rsidRDefault="009F596F">
            <w:pPr>
              <w:spacing w:before="152" w:after="0"/>
              <w:jc w:val="both"/>
              <w:rPr>
                <w:rFonts w:ascii="Times New Roman" w:hAnsi="Times New Roman" w:cs="Times New Roman"/>
                <w:noProof/>
                <w:sz w:val="24"/>
                <w:szCs w:val="24"/>
              </w:rPr>
            </w:pPr>
            <w:r>
              <w:rPr>
                <w:rFonts w:ascii="Times New Roman" w:hAnsi="Times New Roman"/>
                <w:noProof/>
                <w:sz w:val="24"/>
              </w:rPr>
              <w:t>Investiția 3. Promovarea eficienței energetice a clădirilor publice</w:t>
            </w:r>
          </w:p>
        </w:tc>
        <w:tc>
          <w:tcPr>
            <w:tcW w:w="906" w:type="dxa"/>
            <w:shd w:val="clear" w:color="auto" w:fill="C5EECE"/>
            <w:tcMar>
              <w:left w:w="57" w:type="dxa"/>
              <w:right w:w="57" w:type="dxa"/>
            </w:tcMar>
          </w:tcPr>
          <w:p w14:paraId="5F34DBAE" w14:textId="77777777" w:rsidR="009F596F" w:rsidRPr="000A27B3" w:rsidRDefault="009F596F">
            <w:pPr>
              <w:spacing w:before="138" w:after="0" w:line="254" w:lineRule="auto"/>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09DC88A4" w14:textId="77777777" w:rsidR="009F596F" w:rsidRPr="000A27B3" w:rsidRDefault="009F596F" w:rsidP="005E4097">
            <w:pPr>
              <w:spacing w:before="153" w:after="0" w:line="252" w:lineRule="auto"/>
              <w:jc w:val="both"/>
              <w:rPr>
                <w:rFonts w:ascii="Times New Roman" w:hAnsi="Times New Roman" w:cs="Times New Roman"/>
                <w:noProof/>
                <w:sz w:val="24"/>
                <w:szCs w:val="24"/>
              </w:rPr>
            </w:pPr>
            <w:r>
              <w:rPr>
                <w:rFonts w:ascii="Times New Roman" w:hAnsi="Times New Roman"/>
                <w:noProof/>
                <w:sz w:val="24"/>
              </w:rPr>
              <w:t>Finalizarea renovării energetice a clădirilor publice</w:t>
            </w:r>
          </w:p>
        </w:tc>
        <w:tc>
          <w:tcPr>
            <w:tcW w:w="1159" w:type="dxa"/>
            <w:shd w:val="clear" w:color="auto" w:fill="C5EECE"/>
            <w:tcMar>
              <w:left w:w="57" w:type="dxa"/>
              <w:right w:w="57" w:type="dxa"/>
            </w:tcMar>
          </w:tcPr>
          <w:p w14:paraId="6C72BAAA" w14:textId="77777777" w:rsidR="009F596F" w:rsidRPr="000A27B3" w:rsidRDefault="009F596F" w:rsidP="005E4097">
            <w:pPr>
              <w:spacing w:before="153" w:after="0" w:line="245" w:lineRule="auto"/>
              <w:ind w:left="195" w:hanging="195"/>
              <w:jc w:val="both"/>
              <w:rPr>
                <w:rFonts w:ascii="Times New Roman" w:hAnsi="Times New Roman" w:cs="Times New Roman"/>
                <w:noProof/>
                <w:sz w:val="24"/>
                <w:szCs w:val="24"/>
                <w:lang w:val="en-GB"/>
              </w:rPr>
            </w:pPr>
          </w:p>
        </w:tc>
        <w:tc>
          <w:tcPr>
            <w:tcW w:w="1127" w:type="dxa"/>
            <w:shd w:val="clear" w:color="auto" w:fill="C5EECE"/>
            <w:tcMar>
              <w:left w:w="57" w:type="dxa"/>
              <w:right w:w="57" w:type="dxa"/>
            </w:tcMar>
          </w:tcPr>
          <w:p w14:paraId="087009B7" w14:textId="77777777" w:rsidR="009F596F" w:rsidRPr="000A27B3" w:rsidRDefault="009F596F">
            <w:pPr>
              <w:spacing w:before="153" w:after="0"/>
              <w:rPr>
                <w:rFonts w:ascii="Times New Roman" w:hAnsi="Times New Roman" w:cs="Times New Roman"/>
                <w:noProof/>
                <w:sz w:val="24"/>
                <w:szCs w:val="24"/>
              </w:rPr>
            </w:pPr>
            <w:r>
              <w:rPr>
                <w:rFonts w:ascii="Times New Roman" w:hAnsi="Times New Roman"/>
                <w:noProof/>
                <w:sz w:val="24"/>
              </w:rPr>
              <w:t>Număr (m²)</w:t>
            </w:r>
          </w:p>
        </w:tc>
        <w:tc>
          <w:tcPr>
            <w:tcW w:w="1794" w:type="dxa"/>
            <w:shd w:val="clear" w:color="auto" w:fill="C5EECE"/>
            <w:tcMar>
              <w:left w:w="57" w:type="dxa"/>
              <w:right w:w="57" w:type="dxa"/>
            </w:tcMar>
          </w:tcPr>
          <w:p w14:paraId="4D3171FE"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1 797 841</w:t>
            </w:r>
          </w:p>
        </w:tc>
        <w:tc>
          <w:tcPr>
            <w:tcW w:w="1054" w:type="dxa"/>
            <w:shd w:val="clear" w:color="auto" w:fill="C5EECE"/>
            <w:tcMar>
              <w:left w:w="57" w:type="dxa"/>
              <w:right w:w="57" w:type="dxa"/>
            </w:tcMar>
          </w:tcPr>
          <w:p w14:paraId="7CEF062B"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2 264 351</w:t>
            </w:r>
          </w:p>
        </w:tc>
        <w:tc>
          <w:tcPr>
            <w:tcW w:w="779" w:type="dxa"/>
            <w:shd w:val="clear" w:color="auto" w:fill="C5EECE"/>
            <w:tcMar>
              <w:left w:w="57" w:type="dxa"/>
              <w:right w:w="57" w:type="dxa"/>
            </w:tcMar>
          </w:tcPr>
          <w:p w14:paraId="78CCAB36"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T2</w:t>
            </w:r>
          </w:p>
        </w:tc>
        <w:tc>
          <w:tcPr>
            <w:tcW w:w="1003" w:type="dxa"/>
            <w:shd w:val="clear" w:color="auto" w:fill="C5EECE"/>
            <w:tcMar>
              <w:left w:w="57" w:type="dxa"/>
              <w:right w:w="57" w:type="dxa"/>
            </w:tcMar>
          </w:tcPr>
          <w:p w14:paraId="5ED11FBD" w14:textId="77777777" w:rsidR="009F596F" w:rsidRPr="000A27B3" w:rsidRDefault="009F596F">
            <w:pPr>
              <w:spacing w:before="153" w:after="0"/>
              <w:rPr>
                <w:rFonts w:ascii="Times New Roman" w:hAnsi="Times New Roman" w:cs="Times New Roman"/>
                <w:noProof/>
                <w:sz w:val="24"/>
                <w:szCs w:val="24"/>
              </w:rPr>
            </w:pPr>
            <w:r>
              <w:rPr>
                <w:rFonts w:ascii="Times New Roman" w:hAnsi="Times New Roman"/>
                <w:noProof/>
                <w:sz w:val="24"/>
              </w:rPr>
              <w:t>2026</w:t>
            </w:r>
          </w:p>
        </w:tc>
        <w:tc>
          <w:tcPr>
            <w:tcW w:w="2215" w:type="dxa"/>
            <w:shd w:val="clear" w:color="auto" w:fill="C5EECE"/>
            <w:tcMar>
              <w:left w:w="57" w:type="dxa"/>
              <w:right w:w="57" w:type="dxa"/>
            </w:tcMar>
          </w:tcPr>
          <w:p w14:paraId="17BB8FDF" w14:textId="55965ADE" w:rsidR="009F596F" w:rsidRPr="000A27B3" w:rsidRDefault="009F596F">
            <w:pPr>
              <w:spacing w:before="138" w:after="0" w:line="264" w:lineRule="auto"/>
              <w:jc w:val="both"/>
              <w:rPr>
                <w:rFonts w:ascii="Times New Roman" w:hAnsi="Times New Roman" w:cs="Times New Roman"/>
                <w:noProof/>
                <w:sz w:val="24"/>
                <w:szCs w:val="24"/>
              </w:rPr>
            </w:pPr>
            <w:r>
              <w:rPr>
                <w:rFonts w:ascii="Times New Roman" w:hAnsi="Times New Roman"/>
                <w:noProof/>
                <w:sz w:val="24"/>
              </w:rPr>
              <w:t>Cel puțin 2 264 351 m² de clădiri publice trebuie să fi fost renovate în conformitate cu cerințele stabilite la jaloanele 96 și 98.</w:t>
            </w:r>
          </w:p>
        </w:tc>
      </w:tr>
      <w:tr w:rsidR="00D1375D" w:rsidRPr="000A27B3" w14:paraId="00CFC171" w14:textId="77777777" w:rsidTr="00D36F66">
        <w:trPr>
          <w:trHeight w:val="547"/>
        </w:trPr>
        <w:tc>
          <w:tcPr>
            <w:tcW w:w="1571" w:type="dxa"/>
            <w:shd w:val="clear" w:color="auto" w:fill="C5EECE"/>
            <w:tcMar>
              <w:left w:w="57" w:type="dxa"/>
              <w:right w:w="57" w:type="dxa"/>
            </w:tcMar>
          </w:tcPr>
          <w:p w14:paraId="20A34924" w14:textId="708EFB43" w:rsidR="009F596F" w:rsidRPr="000A27B3" w:rsidRDefault="00AE0E36">
            <w:pPr>
              <w:spacing w:before="138" w:after="0"/>
              <w:jc w:val="center"/>
              <w:rPr>
                <w:rFonts w:ascii="Times New Roman" w:hAnsi="Times New Roman" w:cs="Times New Roman"/>
                <w:noProof/>
                <w:sz w:val="24"/>
                <w:szCs w:val="24"/>
              </w:rPr>
            </w:pPr>
            <w:r>
              <w:rPr>
                <w:rFonts w:ascii="Times New Roman" w:hAnsi="Times New Roman"/>
                <w:noProof/>
                <w:sz w:val="24"/>
              </w:rPr>
              <w:t>515</w:t>
            </w:r>
          </w:p>
        </w:tc>
        <w:tc>
          <w:tcPr>
            <w:tcW w:w="2490" w:type="dxa"/>
            <w:shd w:val="clear" w:color="auto" w:fill="C5EECE"/>
            <w:tcMar>
              <w:left w:w="57" w:type="dxa"/>
              <w:right w:w="57" w:type="dxa"/>
            </w:tcMar>
          </w:tcPr>
          <w:p w14:paraId="3339C0B2" w14:textId="77777777" w:rsidR="009F596F" w:rsidRPr="000A27B3" w:rsidRDefault="009F596F">
            <w:pPr>
              <w:spacing w:before="141" w:after="0" w:line="245" w:lineRule="auto"/>
              <w:ind w:firstLine="4"/>
              <w:jc w:val="both"/>
              <w:rPr>
                <w:rFonts w:ascii="Times New Roman" w:hAnsi="Times New Roman" w:cs="Times New Roman"/>
                <w:noProof/>
                <w:sz w:val="24"/>
                <w:szCs w:val="24"/>
              </w:rPr>
            </w:pPr>
            <w:r>
              <w:rPr>
                <w:rFonts w:ascii="Times New Roman" w:hAnsi="Times New Roman"/>
                <w:noProof/>
                <w:sz w:val="24"/>
              </w:rPr>
              <w:t>Investiția 4. Schema de granturi sub formă de bonuri valorice pentru accelerarea utilizării energiei din surse regenerabile de către gospodării</w:t>
            </w:r>
          </w:p>
        </w:tc>
        <w:tc>
          <w:tcPr>
            <w:tcW w:w="906" w:type="dxa"/>
            <w:shd w:val="clear" w:color="auto" w:fill="C5EECE"/>
            <w:tcMar>
              <w:left w:w="57" w:type="dxa"/>
              <w:right w:w="57" w:type="dxa"/>
            </w:tcMar>
          </w:tcPr>
          <w:p w14:paraId="49A2459B" w14:textId="77777777" w:rsidR="009F596F" w:rsidRPr="000A27B3" w:rsidRDefault="009F596F">
            <w:pPr>
              <w:spacing w:before="153" w:after="0" w:line="245" w:lineRule="auto"/>
              <w:ind w:left="316" w:hanging="316"/>
              <w:rPr>
                <w:rFonts w:ascii="Times New Roman" w:hAnsi="Times New Roman" w:cs="Times New Roman"/>
                <w:noProof/>
                <w:sz w:val="24"/>
                <w:szCs w:val="24"/>
              </w:rPr>
            </w:pPr>
            <w:r>
              <w:rPr>
                <w:rFonts w:ascii="Times New Roman" w:hAnsi="Times New Roman"/>
                <w:noProof/>
                <w:sz w:val="24"/>
              </w:rPr>
              <w:t>Jalon</w:t>
            </w:r>
          </w:p>
        </w:tc>
        <w:tc>
          <w:tcPr>
            <w:tcW w:w="1159" w:type="dxa"/>
            <w:shd w:val="clear" w:color="auto" w:fill="C5EECE"/>
            <w:tcMar>
              <w:left w:w="57" w:type="dxa"/>
              <w:right w:w="57" w:type="dxa"/>
            </w:tcMar>
          </w:tcPr>
          <w:p w14:paraId="71551616" w14:textId="77777777" w:rsidR="009F596F" w:rsidRPr="000A27B3" w:rsidRDefault="009F596F" w:rsidP="005E4097">
            <w:pPr>
              <w:spacing w:before="153" w:after="0" w:line="252" w:lineRule="auto"/>
              <w:jc w:val="both"/>
              <w:rPr>
                <w:rFonts w:ascii="Times New Roman" w:hAnsi="Times New Roman" w:cs="Times New Roman"/>
                <w:noProof/>
                <w:sz w:val="24"/>
                <w:szCs w:val="24"/>
              </w:rPr>
            </w:pPr>
            <w:r>
              <w:rPr>
                <w:rFonts w:ascii="Times New Roman" w:hAnsi="Times New Roman"/>
                <w:noProof/>
                <w:sz w:val="24"/>
              </w:rPr>
              <w:t>Lansarea cererilor de propuneri de proiecte</w:t>
            </w:r>
          </w:p>
        </w:tc>
        <w:tc>
          <w:tcPr>
            <w:tcW w:w="1159" w:type="dxa"/>
            <w:shd w:val="clear" w:color="auto" w:fill="C5EECE"/>
            <w:tcMar>
              <w:left w:w="57" w:type="dxa"/>
              <w:right w:w="57" w:type="dxa"/>
            </w:tcMar>
          </w:tcPr>
          <w:p w14:paraId="683D2E78" w14:textId="5355CF58" w:rsidR="009F596F" w:rsidRPr="000A27B3" w:rsidRDefault="009F596F" w:rsidP="005E4097">
            <w:pPr>
              <w:spacing w:before="153" w:after="0" w:line="245" w:lineRule="auto"/>
              <w:jc w:val="both"/>
              <w:rPr>
                <w:rFonts w:ascii="Times New Roman" w:hAnsi="Times New Roman" w:cs="Times New Roman"/>
                <w:noProof/>
                <w:sz w:val="24"/>
                <w:szCs w:val="24"/>
              </w:rPr>
            </w:pPr>
            <w:r>
              <w:rPr>
                <w:rFonts w:ascii="Times New Roman" w:hAnsi="Times New Roman"/>
                <w:noProof/>
                <w:sz w:val="24"/>
              </w:rPr>
              <w:t xml:space="preserve">Publicarea specificațiilor cererii de propuneri </w:t>
            </w:r>
          </w:p>
        </w:tc>
        <w:tc>
          <w:tcPr>
            <w:tcW w:w="1127" w:type="dxa"/>
            <w:shd w:val="clear" w:color="auto" w:fill="C5EECE"/>
            <w:tcMar>
              <w:left w:w="57" w:type="dxa"/>
              <w:right w:w="57" w:type="dxa"/>
            </w:tcMar>
          </w:tcPr>
          <w:p w14:paraId="0E2CA1C4" w14:textId="77777777" w:rsidR="009F596F" w:rsidRPr="000A27B3" w:rsidRDefault="009F596F">
            <w:pPr>
              <w:spacing w:before="153" w:after="0"/>
              <w:rPr>
                <w:rFonts w:ascii="Times New Roman" w:hAnsi="Times New Roman" w:cs="Times New Roman"/>
                <w:noProof/>
                <w:sz w:val="24"/>
                <w:szCs w:val="24"/>
              </w:rPr>
            </w:pPr>
            <w:r>
              <w:rPr>
                <w:rFonts w:ascii="Times New Roman" w:hAnsi="Times New Roman"/>
                <w:noProof/>
                <w:sz w:val="24"/>
              </w:rPr>
              <w:t xml:space="preserve"> </w:t>
            </w:r>
          </w:p>
        </w:tc>
        <w:tc>
          <w:tcPr>
            <w:tcW w:w="1794" w:type="dxa"/>
            <w:shd w:val="clear" w:color="auto" w:fill="C5EECE"/>
            <w:tcMar>
              <w:left w:w="57" w:type="dxa"/>
              <w:right w:w="57" w:type="dxa"/>
            </w:tcMar>
          </w:tcPr>
          <w:p w14:paraId="61468C75" w14:textId="77777777"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 xml:space="preserve"> </w:t>
            </w:r>
          </w:p>
        </w:tc>
        <w:tc>
          <w:tcPr>
            <w:tcW w:w="1054" w:type="dxa"/>
            <w:shd w:val="clear" w:color="auto" w:fill="C5EECE"/>
            <w:tcMar>
              <w:left w:w="57" w:type="dxa"/>
              <w:right w:w="57" w:type="dxa"/>
            </w:tcMar>
          </w:tcPr>
          <w:p w14:paraId="6A873D71" w14:textId="77777777" w:rsidR="009F596F" w:rsidRPr="000A27B3" w:rsidRDefault="009F596F">
            <w:pPr>
              <w:spacing w:before="153" w:after="0" w:line="257" w:lineRule="auto"/>
              <w:jc w:val="center"/>
              <w:rPr>
                <w:rFonts w:ascii="Times New Roman" w:hAnsi="Times New Roman" w:cs="Times New Roman"/>
                <w:noProof/>
                <w:sz w:val="24"/>
                <w:szCs w:val="24"/>
                <w:lang w:val="en-GB"/>
              </w:rPr>
            </w:pPr>
          </w:p>
        </w:tc>
        <w:tc>
          <w:tcPr>
            <w:tcW w:w="779" w:type="dxa"/>
            <w:shd w:val="clear" w:color="auto" w:fill="C5EECE"/>
            <w:tcMar>
              <w:left w:w="57" w:type="dxa"/>
              <w:right w:w="57" w:type="dxa"/>
            </w:tcMar>
          </w:tcPr>
          <w:p w14:paraId="614D0931" w14:textId="2DAEC820" w:rsidR="009F596F" w:rsidRPr="000A27B3" w:rsidRDefault="009F596F">
            <w:pPr>
              <w:spacing w:before="153" w:after="0"/>
              <w:jc w:val="center"/>
              <w:rPr>
                <w:rFonts w:ascii="Times New Roman" w:hAnsi="Times New Roman" w:cs="Times New Roman"/>
                <w:noProof/>
                <w:sz w:val="24"/>
                <w:szCs w:val="24"/>
              </w:rPr>
            </w:pPr>
            <w:r>
              <w:rPr>
                <w:rFonts w:ascii="Times New Roman" w:hAnsi="Times New Roman"/>
                <w:noProof/>
                <w:sz w:val="24"/>
              </w:rPr>
              <w:t>T2</w:t>
            </w:r>
          </w:p>
        </w:tc>
        <w:tc>
          <w:tcPr>
            <w:tcW w:w="1003" w:type="dxa"/>
            <w:shd w:val="clear" w:color="auto" w:fill="C5EECE"/>
            <w:tcMar>
              <w:left w:w="57" w:type="dxa"/>
              <w:right w:w="57" w:type="dxa"/>
            </w:tcMar>
          </w:tcPr>
          <w:p w14:paraId="63668147" w14:textId="77777777" w:rsidR="009F596F" w:rsidRPr="000A27B3" w:rsidRDefault="009F596F">
            <w:pPr>
              <w:spacing w:before="153" w:after="0"/>
              <w:rPr>
                <w:rFonts w:ascii="Times New Roman" w:hAnsi="Times New Roman" w:cs="Times New Roman"/>
                <w:noProof/>
                <w:sz w:val="24"/>
                <w:szCs w:val="24"/>
              </w:rPr>
            </w:pPr>
            <w:r>
              <w:rPr>
                <w:rFonts w:ascii="Times New Roman" w:hAnsi="Times New Roman"/>
                <w:noProof/>
                <w:sz w:val="24"/>
              </w:rPr>
              <w:t>2024</w:t>
            </w:r>
          </w:p>
        </w:tc>
        <w:tc>
          <w:tcPr>
            <w:tcW w:w="2215" w:type="dxa"/>
            <w:shd w:val="clear" w:color="auto" w:fill="C5EECE"/>
            <w:tcMar>
              <w:left w:w="57" w:type="dxa"/>
              <w:right w:w="57" w:type="dxa"/>
            </w:tcMar>
          </w:tcPr>
          <w:p w14:paraId="6E7A70E2" w14:textId="77777777" w:rsidR="009F596F" w:rsidRPr="000A27B3" w:rsidRDefault="009F596F">
            <w:pPr>
              <w:spacing w:before="138" w:after="0" w:line="264" w:lineRule="auto"/>
              <w:jc w:val="both"/>
              <w:rPr>
                <w:rFonts w:ascii="Times New Roman" w:hAnsi="Times New Roman" w:cs="Times New Roman"/>
                <w:noProof/>
                <w:sz w:val="24"/>
                <w:szCs w:val="24"/>
              </w:rPr>
            </w:pPr>
            <w:r>
              <w:rPr>
                <w:rFonts w:ascii="Times New Roman" w:hAnsi="Times New Roman"/>
                <w:noProof/>
                <w:sz w:val="24"/>
              </w:rPr>
              <w:t xml:space="preserve">Cererile de propuneri de proiecte pentru bonurile valorice care urmează să fie utilizate pentru instalarea de panouri solare și de sisteme de stocare a energiei electrice trebuie să fi fost publicate online. </w:t>
            </w:r>
          </w:p>
          <w:p w14:paraId="6A49841D" w14:textId="2F7B394F" w:rsidR="009F596F" w:rsidRPr="000A27B3" w:rsidRDefault="009F596F">
            <w:pPr>
              <w:spacing w:before="138" w:after="0" w:line="264" w:lineRule="auto"/>
              <w:jc w:val="both"/>
              <w:rPr>
                <w:rFonts w:ascii="Times New Roman" w:hAnsi="Times New Roman" w:cs="Times New Roman"/>
                <w:noProof/>
                <w:sz w:val="24"/>
                <w:szCs w:val="24"/>
              </w:rPr>
            </w:pPr>
            <w:r>
              <w:rPr>
                <w:rFonts w:ascii="Times New Roman" w:hAnsi="Times New Roman"/>
                <w:noProof/>
                <w:sz w:val="24"/>
              </w:rPr>
              <w:t>Bonurile valorice fac obiectul unor criterii de selecție care prevăd că fiecare bon valoric vizează instalarea de noi sisteme de panouri solare (cu o capacitate netă de cel puțin 3 kW) sau de sisteme de stocare a energiei electrice (cu o capacitate utilizabilă de stocare a energiei electrice de cel puțin 5 kWh). Sistemele de stocare a energiei electrice de sine stătătoare sunt eligibile pentru sprijin numai în cazul în care proprietarii de locuințe dețin deja un sistem de panouri solare (cu o capacitate netă de cel puțin 3 kW).</w:t>
            </w:r>
          </w:p>
          <w:p w14:paraId="34717CDC" w14:textId="226875E0" w:rsidR="009F596F" w:rsidRPr="009F1DC7" w:rsidRDefault="009F596F">
            <w:pPr>
              <w:rPr>
                <w:noProof/>
                <w:sz w:val="24"/>
                <w:szCs w:val="24"/>
              </w:rPr>
            </w:pPr>
          </w:p>
        </w:tc>
      </w:tr>
      <w:tr w:rsidR="00D1375D" w:rsidRPr="000A27B3" w14:paraId="385D4936" w14:textId="77777777" w:rsidTr="00D36F66">
        <w:trPr>
          <w:trHeight w:val="750"/>
        </w:trPr>
        <w:tc>
          <w:tcPr>
            <w:tcW w:w="1571" w:type="dxa"/>
            <w:shd w:val="clear" w:color="auto" w:fill="C5EECE"/>
            <w:tcMar>
              <w:left w:w="57" w:type="dxa"/>
              <w:right w:w="57" w:type="dxa"/>
            </w:tcMar>
          </w:tcPr>
          <w:p w14:paraId="3D3CC466" w14:textId="2BE7896A" w:rsidR="009F596F" w:rsidRPr="000A27B3" w:rsidRDefault="00AE0E36">
            <w:pPr>
              <w:spacing w:before="138" w:after="0"/>
              <w:jc w:val="center"/>
              <w:rPr>
                <w:rFonts w:ascii="Times New Roman" w:hAnsi="Times New Roman" w:cs="Times New Roman"/>
                <w:noProof/>
                <w:sz w:val="24"/>
                <w:szCs w:val="24"/>
              </w:rPr>
            </w:pPr>
            <w:r>
              <w:rPr>
                <w:rFonts w:ascii="Times New Roman" w:hAnsi="Times New Roman"/>
                <w:noProof/>
                <w:sz w:val="24"/>
              </w:rPr>
              <w:t>516</w:t>
            </w:r>
          </w:p>
        </w:tc>
        <w:tc>
          <w:tcPr>
            <w:tcW w:w="2490" w:type="dxa"/>
            <w:shd w:val="clear" w:color="auto" w:fill="C5EECE"/>
            <w:tcMar>
              <w:left w:w="57" w:type="dxa"/>
              <w:right w:w="57" w:type="dxa"/>
            </w:tcMar>
          </w:tcPr>
          <w:p w14:paraId="5F47474F" w14:textId="77777777" w:rsidR="009F596F" w:rsidRPr="000A27B3" w:rsidRDefault="009F596F">
            <w:pPr>
              <w:spacing w:before="141" w:after="0" w:line="245" w:lineRule="auto"/>
              <w:ind w:firstLine="4"/>
              <w:jc w:val="both"/>
              <w:rPr>
                <w:rFonts w:ascii="Times New Roman" w:hAnsi="Times New Roman" w:cs="Times New Roman"/>
                <w:noProof/>
                <w:sz w:val="24"/>
                <w:szCs w:val="24"/>
              </w:rPr>
            </w:pPr>
            <w:r>
              <w:rPr>
                <w:rFonts w:ascii="Times New Roman" w:hAnsi="Times New Roman"/>
                <w:noProof/>
                <w:sz w:val="24"/>
              </w:rPr>
              <w:t>Investiția 4. Schema de granturi sub formă de bonuri valorice pentru accelerarea utilizării energiei din surse regenerabile de către gospodării</w:t>
            </w:r>
          </w:p>
        </w:tc>
        <w:tc>
          <w:tcPr>
            <w:tcW w:w="906" w:type="dxa"/>
            <w:shd w:val="clear" w:color="auto" w:fill="C5EECE"/>
            <w:tcMar>
              <w:left w:w="57" w:type="dxa"/>
              <w:right w:w="57" w:type="dxa"/>
            </w:tcMar>
          </w:tcPr>
          <w:p w14:paraId="4C87873A" w14:textId="77777777" w:rsidR="009F596F" w:rsidRPr="000A27B3" w:rsidRDefault="009F596F">
            <w:pPr>
              <w:spacing w:before="153" w:after="0" w:line="245" w:lineRule="auto"/>
              <w:ind w:left="316" w:hanging="316"/>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065B9AA2" w14:textId="4D6955AB" w:rsidR="009F596F" w:rsidRPr="000A27B3" w:rsidRDefault="009E54FD" w:rsidP="005E4097">
            <w:pPr>
              <w:spacing w:before="153" w:after="0" w:line="252" w:lineRule="auto"/>
              <w:jc w:val="both"/>
              <w:rPr>
                <w:rFonts w:ascii="Times New Roman" w:hAnsi="Times New Roman" w:cs="Times New Roman"/>
                <w:noProof/>
                <w:sz w:val="24"/>
                <w:szCs w:val="24"/>
              </w:rPr>
            </w:pPr>
            <w:r>
              <w:rPr>
                <w:rFonts w:ascii="Times New Roman" w:hAnsi="Times New Roman"/>
                <w:noProof/>
                <w:sz w:val="24"/>
              </w:rPr>
              <w:t xml:space="preserve">Capacitatea gospodăriilor de producție de energie solară din surse regenerabile și sistemele de stocare a energiei electrice ale gospodăriilor </w:t>
            </w:r>
          </w:p>
        </w:tc>
        <w:tc>
          <w:tcPr>
            <w:tcW w:w="1159" w:type="dxa"/>
            <w:shd w:val="clear" w:color="auto" w:fill="C5EECE"/>
            <w:tcMar>
              <w:left w:w="57" w:type="dxa"/>
              <w:right w:w="57" w:type="dxa"/>
            </w:tcMar>
          </w:tcPr>
          <w:p w14:paraId="0347F52C" w14:textId="77777777" w:rsidR="009F596F" w:rsidRPr="009F1DC7" w:rsidRDefault="009F596F" w:rsidP="005E4097">
            <w:pPr>
              <w:spacing w:before="153" w:after="0" w:line="245" w:lineRule="auto"/>
              <w:ind w:left="195" w:hanging="195"/>
              <w:jc w:val="both"/>
              <w:rPr>
                <w:rFonts w:ascii="Times New Roman" w:hAnsi="Times New Roman" w:cs="Times New Roman"/>
                <w:noProof/>
                <w:sz w:val="24"/>
                <w:szCs w:val="24"/>
                <w:lang w:val="fr-FR"/>
              </w:rPr>
            </w:pPr>
          </w:p>
        </w:tc>
        <w:tc>
          <w:tcPr>
            <w:tcW w:w="1127" w:type="dxa"/>
            <w:shd w:val="clear" w:color="auto" w:fill="C5EECE"/>
            <w:tcMar>
              <w:left w:w="57" w:type="dxa"/>
              <w:right w:w="57" w:type="dxa"/>
            </w:tcMar>
          </w:tcPr>
          <w:p w14:paraId="7A9554EC" w14:textId="069A524F" w:rsidR="009F596F" w:rsidRPr="000A27B3" w:rsidRDefault="002E7267">
            <w:pPr>
              <w:spacing w:before="153" w:after="0"/>
              <w:rPr>
                <w:rFonts w:ascii="Times New Roman" w:eastAsia="Times New Roman" w:hAnsi="Times New Roman" w:cs="Times New Roman"/>
                <w:noProof/>
                <w:sz w:val="24"/>
                <w:szCs w:val="24"/>
              </w:rPr>
            </w:pPr>
            <w:r>
              <w:rPr>
                <w:rFonts w:ascii="Times New Roman" w:hAnsi="Times New Roman"/>
                <w:noProof/>
                <w:sz w:val="24"/>
              </w:rPr>
              <w:t xml:space="preserve">Număr </w:t>
            </w:r>
          </w:p>
        </w:tc>
        <w:tc>
          <w:tcPr>
            <w:tcW w:w="1794" w:type="dxa"/>
            <w:shd w:val="clear" w:color="auto" w:fill="C5EECE"/>
            <w:tcMar>
              <w:left w:w="57" w:type="dxa"/>
              <w:right w:w="57" w:type="dxa"/>
            </w:tcMar>
          </w:tcPr>
          <w:p w14:paraId="559F882B" w14:textId="77777777" w:rsidR="009F596F" w:rsidRPr="000A27B3" w:rsidRDefault="009F596F">
            <w:pPr>
              <w:spacing w:before="153" w:after="0"/>
              <w:jc w:val="center"/>
              <w:rPr>
                <w:rFonts w:ascii="Times New Roman" w:eastAsia="Times New Roman" w:hAnsi="Times New Roman" w:cs="Times New Roman"/>
                <w:noProof/>
                <w:sz w:val="24"/>
                <w:szCs w:val="24"/>
              </w:rPr>
            </w:pPr>
            <w:r>
              <w:rPr>
                <w:rFonts w:ascii="Times New Roman" w:hAnsi="Times New Roman"/>
                <w:noProof/>
                <w:sz w:val="24"/>
              </w:rPr>
              <w:t>0</w:t>
            </w:r>
          </w:p>
        </w:tc>
        <w:tc>
          <w:tcPr>
            <w:tcW w:w="1054" w:type="dxa"/>
            <w:shd w:val="clear" w:color="auto" w:fill="C5EECE"/>
            <w:tcMar>
              <w:left w:w="57" w:type="dxa"/>
              <w:right w:w="57" w:type="dxa"/>
            </w:tcMar>
          </w:tcPr>
          <w:p w14:paraId="6437C91D" w14:textId="5D086466" w:rsidR="009F596F" w:rsidRPr="000A27B3" w:rsidRDefault="002E7267">
            <w:pPr>
              <w:spacing w:before="153" w:after="0" w:line="257" w:lineRule="auto"/>
              <w:jc w:val="center"/>
              <w:rPr>
                <w:rFonts w:ascii="Times New Roman" w:hAnsi="Times New Roman" w:cs="Times New Roman"/>
                <w:noProof/>
                <w:sz w:val="24"/>
                <w:szCs w:val="24"/>
              </w:rPr>
            </w:pPr>
            <w:r>
              <w:rPr>
                <w:rFonts w:ascii="Times New Roman" w:hAnsi="Times New Roman"/>
                <w:noProof/>
                <w:sz w:val="24"/>
              </w:rPr>
              <w:t>122 000</w:t>
            </w:r>
          </w:p>
          <w:p w14:paraId="4B2B422A" w14:textId="23C0DC8F" w:rsidR="009F596F" w:rsidRPr="000A27B3" w:rsidRDefault="009F596F">
            <w:pPr>
              <w:spacing w:before="153" w:after="0" w:line="257" w:lineRule="auto"/>
              <w:jc w:val="center"/>
              <w:rPr>
                <w:rFonts w:ascii="Times New Roman" w:hAnsi="Times New Roman" w:cs="Times New Roman"/>
                <w:noProof/>
                <w:sz w:val="24"/>
                <w:szCs w:val="24"/>
                <w:lang w:val="en-GB"/>
              </w:rPr>
            </w:pPr>
          </w:p>
        </w:tc>
        <w:tc>
          <w:tcPr>
            <w:tcW w:w="779" w:type="dxa"/>
            <w:shd w:val="clear" w:color="auto" w:fill="C5EECE"/>
            <w:tcMar>
              <w:left w:w="57" w:type="dxa"/>
              <w:right w:w="57" w:type="dxa"/>
            </w:tcMar>
          </w:tcPr>
          <w:p w14:paraId="55961CEC" w14:textId="77777777" w:rsidR="009F596F" w:rsidRPr="000A27B3" w:rsidRDefault="009F596F">
            <w:pPr>
              <w:spacing w:before="153" w:after="0"/>
              <w:jc w:val="center"/>
              <w:rPr>
                <w:rFonts w:ascii="Times New Roman" w:eastAsia="Times New Roman" w:hAnsi="Times New Roman" w:cs="Times New Roman"/>
                <w:noProof/>
                <w:sz w:val="24"/>
                <w:szCs w:val="24"/>
              </w:rPr>
            </w:pPr>
            <w:r>
              <w:rPr>
                <w:rFonts w:ascii="Times New Roman" w:hAnsi="Times New Roman"/>
                <w:noProof/>
                <w:sz w:val="24"/>
              </w:rPr>
              <w:t>T4</w:t>
            </w:r>
          </w:p>
        </w:tc>
        <w:tc>
          <w:tcPr>
            <w:tcW w:w="1003" w:type="dxa"/>
            <w:shd w:val="clear" w:color="auto" w:fill="C5EECE"/>
            <w:tcMar>
              <w:left w:w="57" w:type="dxa"/>
              <w:right w:w="57" w:type="dxa"/>
            </w:tcMar>
          </w:tcPr>
          <w:p w14:paraId="7AE07780" w14:textId="77777777" w:rsidR="009F596F" w:rsidRPr="000A27B3" w:rsidRDefault="009F596F">
            <w:pPr>
              <w:spacing w:before="153" w:after="0"/>
              <w:rPr>
                <w:rFonts w:ascii="Times New Roman" w:eastAsia="Times New Roman" w:hAnsi="Times New Roman" w:cs="Times New Roman"/>
                <w:noProof/>
                <w:sz w:val="24"/>
                <w:szCs w:val="24"/>
              </w:rPr>
            </w:pPr>
            <w:r>
              <w:rPr>
                <w:rFonts w:ascii="Times New Roman" w:hAnsi="Times New Roman"/>
                <w:noProof/>
                <w:sz w:val="24"/>
              </w:rPr>
              <w:t>2025</w:t>
            </w:r>
          </w:p>
        </w:tc>
        <w:tc>
          <w:tcPr>
            <w:tcW w:w="2215" w:type="dxa"/>
            <w:shd w:val="clear" w:color="auto" w:fill="C5EECE"/>
            <w:tcMar>
              <w:left w:w="57" w:type="dxa"/>
              <w:right w:w="57" w:type="dxa"/>
            </w:tcMar>
          </w:tcPr>
          <w:p w14:paraId="10556DAD" w14:textId="4993EC18" w:rsidR="009F596F" w:rsidRPr="000A27B3" w:rsidRDefault="00447162">
            <w:pPr>
              <w:spacing w:before="138" w:after="0" w:line="264" w:lineRule="auto"/>
              <w:jc w:val="both"/>
              <w:rPr>
                <w:rFonts w:ascii="Times New Roman" w:hAnsi="Times New Roman" w:cs="Times New Roman"/>
                <w:noProof/>
                <w:sz w:val="24"/>
                <w:szCs w:val="24"/>
              </w:rPr>
            </w:pPr>
            <w:r>
              <w:rPr>
                <w:rFonts w:ascii="Times New Roman" w:hAnsi="Times New Roman"/>
                <w:noProof/>
                <w:sz w:val="24"/>
              </w:rPr>
              <w:t>122 000 de bonuri valorice trebuie să fi fost plătite pentru panouri solare și/sau sisteme de stocare a energiei electrice</w:t>
            </w:r>
          </w:p>
        </w:tc>
      </w:tr>
      <w:tr w:rsidR="00D1375D" w:rsidRPr="000A27B3" w14:paraId="738C21E7" w14:textId="77777777" w:rsidTr="00D36F66">
        <w:trPr>
          <w:trHeight w:val="750"/>
        </w:trPr>
        <w:tc>
          <w:tcPr>
            <w:tcW w:w="1571" w:type="dxa"/>
            <w:shd w:val="clear" w:color="auto" w:fill="C5EECE"/>
            <w:tcMar>
              <w:left w:w="57" w:type="dxa"/>
              <w:right w:w="57" w:type="dxa"/>
            </w:tcMar>
          </w:tcPr>
          <w:p w14:paraId="6DCE5B68" w14:textId="43C688B6" w:rsidR="009F596F" w:rsidRPr="000A27B3" w:rsidRDefault="00AE0E36">
            <w:pPr>
              <w:jc w:val="center"/>
              <w:rPr>
                <w:rFonts w:ascii="Times New Roman" w:hAnsi="Times New Roman" w:cs="Times New Roman"/>
                <w:noProof/>
                <w:sz w:val="24"/>
                <w:szCs w:val="24"/>
              </w:rPr>
            </w:pPr>
            <w:r>
              <w:rPr>
                <w:rFonts w:ascii="Times New Roman" w:hAnsi="Times New Roman"/>
                <w:noProof/>
                <w:sz w:val="24"/>
              </w:rPr>
              <w:t>517</w:t>
            </w:r>
          </w:p>
        </w:tc>
        <w:tc>
          <w:tcPr>
            <w:tcW w:w="2490" w:type="dxa"/>
            <w:shd w:val="clear" w:color="auto" w:fill="C5EECE"/>
            <w:tcMar>
              <w:left w:w="57" w:type="dxa"/>
              <w:right w:w="57" w:type="dxa"/>
            </w:tcMar>
          </w:tcPr>
          <w:p w14:paraId="209586DD" w14:textId="77777777" w:rsidR="009F596F" w:rsidRPr="000A27B3" w:rsidRDefault="009F596F">
            <w:pPr>
              <w:spacing w:line="245" w:lineRule="auto"/>
              <w:jc w:val="both"/>
              <w:rPr>
                <w:rFonts w:ascii="Times New Roman" w:hAnsi="Times New Roman" w:cs="Times New Roman"/>
                <w:noProof/>
                <w:sz w:val="24"/>
                <w:szCs w:val="24"/>
              </w:rPr>
            </w:pPr>
            <w:r>
              <w:rPr>
                <w:rFonts w:ascii="Times New Roman" w:hAnsi="Times New Roman"/>
                <w:noProof/>
                <w:sz w:val="24"/>
              </w:rPr>
              <w:t>Investiția 5a. Instalarea de panouri solare și instalații de stocare a energiei electrice în centralele Transelectrica</w:t>
            </w:r>
          </w:p>
        </w:tc>
        <w:tc>
          <w:tcPr>
            <w:tcW w:w="906" w:type="dxa"/>
            <w:shd w:val="clear" w:color="auto" w:fill="C5EECE"/>
            <w:tcMar>
              <w:left w:w="57" w:type="dxa"/>
              <w:right w:w="57" w:type="dxa"/>
            </w:tcMar>
          </w:tcPr>
          <w:p w14:paraId="23639D49" w14:textId="77777777" w:rsidR="009F596F" w:rsidRPr="000A27B3" w:rsidRDefault="009F596F">
            <w:pPr>
              <w:spacing w:line="245" w:lineRule="auto"/>
              <w:rPr>
                <w:rFonts w:ascii="Times New Roman" w:hAnsi="Times New Roman" w:cs="Times New Roman"/>
                <w:noProof/>
                <w:sz w:val="24"/>
                <w:szCs w:val="24"/>
              </w:rPr>
            </w:pPr>
            <w:r>
              <w:rPr>
                <w:rFonts w:ascii="Times New Roman" w:hAnsi="Times New Roman"/>
                <w:noProof/>
                <w:sz w:val="24"/>
              </w:rPr>
              <w:t>Jalon</w:t>
            </w:r>
          </w:p>
        </w:tc>
        <w:tc>
          <w:tcPr>
            <w:tcW w:w="1159" w:type="dxa"/>
            <w:shd w:val="clear" w:color="auto" w:fill="C5EECE"/>
            <w:tcMar>
              <w:left w:w="57" w:type="dxa"/>
              <w:right w:w="57" w:type="dxa"/>
            </w:tcMar>
          </w:tcPr>
          <w:p w14:paraId="3F95BA8F"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Semnarea contractelor</w:t>
            </w:r>
          </w:p>
        </w:tc>
        <w:tc>
          <w:tcPr>
            <w:tcW w:w="1159" w:type="dxa"/>
            <w:shd w:val="clear" w:color="auto" w:fill="C5EECE"/>
            <w:tcMar>
              <w:left w:w="57" w:type="dxa"/>
              <w:right w:w="57" w:type="dxa"/>
            </w:tcMar>
          </w:tcPr>
          <w:p w14:paraId="6E22CCE6" w14:textId="77777777" w:rsidR="009F596F" w:rsidRPr="000A27B3" w:rsidRDefault="009F596F" w:rsidP="005E4097">
            <w:pPr>
              <w:spacing w:line="245" w:lineRule="auto"/>
              <w:jc w:val="both"/>
              <w:rPr>
                <w:rFonts w:ascii="Times New Roman" w:hAnsi="Times New Roman" w:cs="Times New Roman"/>
                <w:noProof/>
                <w:sz w:val="24"/>
                <w:szCs w:val="24"/>
              </w:rPr>
            </w:pPr>
            <w:r>
              <w:rPr>
                <w:rFonts w:ascii="Times New Roman" w:hAnsi="Times New Roman"/>
                <w:noProof/>
                <w:sz w:val="24"/>
              </w:rPr>
              <w:t>Contracte semnate</w:t>
            </w:r>
          </w:p>
        </w:tc>
        <w:tc>
          <w:tcPr>
            <w:tcW w:w="1127" w:type="dxa"/>
            <w:shd w:val="clear" w:color="auto" w:fill="C5EECE"/>
            <w:tcMar>
              <w:left w:w="57" w:type="dxa"/>
              <w:right w:w="57" w:type="dxa"/>
            </w:tcMar>
          </w:tcPr>
          <w:p w14:paraId="481B824C" w14:textId="77777777" w:rsidR="009F596F" w:rsidRPr="000A27B3" w:rsidRDefault="009F596F">
            <w:pPr>
              <w:rPr>
                <w:rFonts w:ascii="Times New Roman" w:eastAsia="Times New Roman" w:hAnsi="Times New Roman" w:cs="Times New Roman"/>
                <w:noProof/>
                <w:sz w:val="24"/>
                <w:szCs w:val="24"/>
                <w:lang w:val="en-GB"/>
              </w:rPr>
            </w:pPr>
          </w:p>
        </w:tc>
        <w:tc>
          <w:tcPr>
            <w:tcW w:w="1794" w:type="dxa"/>
            <w:shd w:val="clear" w:color="auto" w:fill="C5EECE"/>
            <w:tcMar>
              <w:left w:w="57" w:type="dxa"/>
              <w:right w:w="57" w:type="dxa"/>
            </w:tcMar>
          </w:tcPr>
          <w:p w14:paraId="6262896E" w14:textId="77777777" w:rsidR="009F596F" w:rsidRPr="000A27B3" w:rsidRDefault="009F596F">
            <w:pPr>
              <w:jc w:val="center"/>
              <w:rPr>
                <w:rFonts w:ascii="Times New Roman" w:eastAsia="Times New Roman" w:hAnsi="Times New Roman" w:cs="Times New Roman"/>
                <w:noProof/>
                <w:sz w:val="24"/>
                <w:szCs w:val="24"/>
                <w:lang w:val="en-GB"/>
              </w:rPr>
            </w:pPr>
          </w:p>
        </w:tc>
        <w:tc>
          <w:tcPr>
            <w:tcW w:w="1054" w:type="dxa"/>
            <w:shd w:val="clear" w:color="auto" w:fill="C5EECE"/>
            <w:tcMar>
              <w:left w:w="57" w:type="dxa"/>
              <w:right w:w="57" w:type="dxa"/>
            </w:tcMar>
          </w:tcPr>
          <w:p w14:paraId="793F2968" w14:textId="77777777" w:rsidR="009F596F" w:rsidRPr="000A27B3" w:rsidRDefault="009F596F">
            <w:pPr>
              <w:spacing w:line="257" w:lineRule="auto"/>
              <w:jc w:val="center"/>
              <w:rPr>
                <w:rFonts w:ascii="Times New Roman" w:hAnsi="Times New Roman" w:cs="Times New Roman"/>
                <w:noProof/>
                <w:sz w:val="24"/>
                <w:szCs w:val="24"/>
                <w:lang w:val="en-GB"/>
              </w:rPr>
            </w:pPr>
          </w:p>
        </w:tc>
        <w:tc>
          <w:tcPr>
            <w:tcW w:w="779" w:type="dxa"/>
            <w:shd w:val="clear" w:color="auto" w:fill="C5EECE"/>
            <w:tcMar>
              <w:left w:w="57" w:type="dxa"/>
              <w:right w:w="57" w:type="dxa"/>
            </w:tcMar>
          </w:tcPr>
          <w:p w14:paraId="072482EE" w14:textId="77777777" w:rsidR="009F596F" w:rsidRPr="000A27B3" w:rsidRDefault="009F596F">
            <w:pPr>
              <w:jc w:val="center"/>
              <w:rPr>
                <w:rFonts w:ascii="Times New Roman" w:eastAsia="Times New Roman" w:hAnsi="Times New Roman" w:cs="Times New Roman"/>
                <w:noProof/>
                <w:sz w:val="24"/>
                <w:szCs w:val="24"/>
              </w:rPr>
            </w:pPr>
            <w:r>
              <w:rPr>
                <w:rFonts w:ascii="Times New Roman" w:hAnsi="Times New Roman"/>
                <w:noProof/>
                <w:sz w:val="24"/>
              </w:rPr>
              <w:t>T2</w:t>
            </w:r>
          </w:p>
        </w:tc>
        <w:tc>
          <w:tcPr>
            <w:tcW w:w="1003" w:type="dxa"/>
            <w:shd w:val="clear" w:color="auto" w:fill="C5EECE"/>
            <w:tcMar>
              <w:left w:w="57" w:type="dxa"/>
              <w:right w:w="57" w:type="dxa"/>
            </w:tcMar>
          </w:tcPr>
          <w:p w14:paraId="1EBF9996" w14:textId="77777777" w:rsidR="009F596F" w:rsidRPr="000A27B3" w:rsidRDefault="009F596F">
            <w:pPr>
              <w:rPr>
                <w:rFonts w:ascii="Times New Roman" w:eastAsia="Times New Roman" w:hAnsi="Times New Roman" w:cs="Times New Roman"/>
                <w:noProof/>
                <w:sz w:val="24"/>
                <w:szCs w:val="24"/>
              </w:rPr>
            </w:pPr>
            <w:r>
              <w:rPr>
                <w:rFonts w:ascii="Times New Roman" w:hAnsi="Times New Roman"/>
                <w:noProof/>
                <w:sz w:val="24"/>
              </w:rPr>
              <w:t>2025</w:t>
            </w:r>
          </w:p>
        </w:tc>
        <w:tc>
          <w:tcPr>
            <w:tcW w:w="2215" w:type="dxa"/>
            <w:shd w:val="clear" w:color="auto" w:fill="C5EECE"/>
            <w:tcMar>
              <w:left w:w="57" w:type="dxa"/>
              <w:right w:w="57" w:type="dxa"/>
            </w:tcMar>
          </w:tcPr>
          <w:p w14:paraId="3773E104" w14:textId="77777777" w:rsidR="009F596F" w:rsidRPr="000A27B3" w:rsidRDefault="009F596F">
            <w:pPr>
              <w:spacing w:line="264" w:lineRule="auto"/>
              <w:jc w:val="both"/>
              <w:rPr>
                <w:rFonts w:ascii="Times New Roman" w:hAnsi="Times New Roman" w:cs="Times New Roman"/>
                <w:noProof/>
                <w:sz w:val="24"/>
                <w:szCs w:val="24"/>
              </w:rPr>
            </w:pPr>
            <w:r>
              <w:rPr>
                <w:rFonts w:ascii="Times New Roman" w:hAnsi="Times New Roman"/>
                <w:noProof/>
                <w:sz w:val="24"/>
              </w:rPr>
              <w:t>Trebuie să fi fost semnate contracte pentru instalații cu o capacitate instalată de panouri solare de cel puțin 11,25 MW și o capacitate de stocare de cel puțin 5 MW în 29 de substații.</w:t>
            </w:r>
          </w:p>
        </w:tc>
      </w:tr>
      <w:tr w:rsidR="00D1375D" w:rsidRPr="000A27B3" w14:paraId="1C667FD9" w14:textId="77777777" w:rsidTr="00D36F66">
        <w:trPr>
          <w:trHeight w:val="750"/>
        </w:trPr>
        <w:tc>
          <w:tcPr>
            <w:tcW w:w="1571" w:type="dxa"/>
            <w:shd w:val="clear" w:color="auto" w:fill="C5EECE"/>
            <w:tcMar>
              <w:left w:w="57" w:type="dxa"/>
              <w:right w:w="57" w:type="dxa"/>
            </w:tcMar>
          </w:tcPr>
          <w:p w14:paraId="61FD97BF" w14:textId="3481CE4A" w:rsidR="009F596F" w:rsidRPr="000A27B3" w:rsidRDefault="00AE0E36">
            <w:pPr>
              <w:jc w:val="center"/>
              <w:rPr>
                <w:rFonts w:ascii="Times New Roman" w:hAnsi="Times New Roman" w:cs="Times New Roman"/>
                <w:noProof/>
                <w:sz w:val="24"/>
                <w:szCs w:val="24"/>
              </w:rPr>
            </w:pPr>
            <w:r>
              <w:rPr>
                <w:rFonts w:ascii="Times New Roman" w:hAnsi="Times New Roman"/>
                <w:noProof/>
                <w:sz w:val="24"/>
              </w:rPr>
              <w:t>518</w:t>
            </w:r>
          </w:p>
        </w:tc>
        <w:tc>
          <w:tcPr>
            <w:tcW w:w="2490" w:type="dxa"/>
            <w:shd w:val="clear" w:color="auto" w:fill="C5EECE"/>
            <w:tcMar>
              <w:left w:w="57" w:type="dxa"/>
              <w:right w:w="57" w:type="dxa"/>
            </w:tcMar>
          </w:tcPr>
          <w:p w14:paraId="58B36BE7" w14:textId="77777777" w:rsidR="009F596F" w:rsidRPr="000A27B3" w:rsidRDefault="009F596F">
            <w:pPr>
              <w:spacing w:line="245" w:lineRule="auto"/>
              <w:jc w:val="both"/>
              <w:rPr>
                <w:rFonts w:ascii="Times New Roman" w:hAnsi="Times New Roman" w:cs="Times New Roman"/>
                <w:noProof/>
                <w:sz w:val="24"/>
                <w:szCs w:val="24"/>
              </w:rPr>
            </w:pPr>
            <w:r>
              <w:rPr>
                <w:rFonts w:ascii="Times New Roman" w:hAnsi="Times New Roman"/>
                <w:noProof/>
                <w:sz w:val="24"/>
              </w:rPr>
              <w:t>Investiția 5a. Instalarea de panouri solare și instalații de stocare a energiei electrice în centralele Transelectrica</w:t>
            </w:r>
          </w:p>
        </w:tc>
        <w:tc>
          <w:tcPr>
            <w:tcW w:w="906" w:type="dxa"/>
            <w:shd w:val="clear" w:color="auto" w:fill="C5EECE"/>
            <w:tcMar>
              <w:left w:w="57" w:type="dxa"/>
              <w:right w:w="57" w:type="dxa"/>
            </w:tcMar>
          </w:tcPr>
          <w:p w14:paraId="763F5DDF" w14:textId="77777777" w:rsidR="009F596F" w:rsidRPr="000A27B3" w:rsidRDefault="009F596F">
            <w:pPr>
              <w:spacing w:line="245" w:lineRule="auto"/>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780135DC"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Reducerea consumului anual de energie electrică</w:t>
            </w:r>
          </w:p>
        </w:tc>
        <w:tc>
          <w:tcPr>
            <w:tcW w:w="1159" w:type="dxa"/>
            <w:shd w:val="clear" w:color="auto" w:fill="C5EECE"/>
            <w:tcMar>
              <w:left w:w="57" w:type="dxa"/>
              <w:right w:w="57" w:type="dxa"/>
            </w:tcMar>
          </w:tcPr>
          <w:p w14:paraId="617C30E1"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Consumul anual de energie electrică</w:t>
            </w:r>
          </w:p>
        </w:tc>
        <w:tc>
          <w:tcPr>
            <w:tcW w:w="1127" w:type="dxa"/>
            <w:shd w:val="clear" w:color="auto" w:fill="C5EECE"/>
            <w:tcMar>
              <w:left w:w="57" w:type="dxa"/>
              <w:right w:w="57" w:type="dxa"/>
            </w:tcMar>
          </w:tcPr>
          <w:p w14:paraId="746C2098" w14:textId="77777777" w:rsidR="009F596F" w:rsidRPr="000A27B3" w:rsidRDefault="009F596F">
            <w:pPr>
              <w:rPr>
                <w:rFonts w:ascii="Times New Roman" w:eastAsia="Times New Roman" w:hAnsi="Times New Roman" w:cs="Times New Roman"/>
                <w:noProof/>
                <w:sz w:val="24"/>
                <w:szCs w:val="24"/>
              </w:rPr>
            </w:pPr>
            <w:r>
              <w:rPr>
                <w:rFonts w:ascii="Times New Roman" w:hAnsi="Times New Roman"/>
                <w:noProof/>
                <w:sz w:val="24"/>
              </w:rPr>
              <w:t>GWh</w:t>
            </w:r>
          </w:p>
        </w:tc>
        <w:tc>
          <w:tcPr>
            <w:tcW w:w="1794" w:type="dxa"/>
            <w:shd w:val="clear" w:color="auto" w:fill="C5EECE"/>
            <w:tcMar>
              <w:left w:w="57" w:type="dxa"/>
              <w:right w:w="57" w:type="dxa"/>
            </w:tcMar>
          </w:tcPr>
          <w:p w14:paraId="732B66E5" w14:textId="77777777" w:rsidR="009F596F" w:rsidRPr="000A27B3" w:rsidRDefault="009F596F">
            <w:pPr>
              <w:jc w:val="center"/>
              <w:rPr>
                <w:rFonts w:ascii="Times New Roman" w:eastAsia="Times New Roman" w:hAnsi="Times New Roman" w:cs="Times New Roman"/>
                <w:noProof/>
                <w:sz w:val="24"/>
                <w:szCs w:val="24"/>
              </w:rPr>
            </w:pPr>
            <w:r>
              <w:rPr>
                <w:rFonts w:ascii="Times New Roman" w:hAnsi="Times New Roman"/>
                <w:noProof/>
                <w:sz w:val="24"/>
              </w:rPr>
              <w:t>18</w:t>
            </w:r>
          </w:p>
        </w:tc>
        <w:tc>
          <w:tcPr>
            <w:tcW w:w="1054" w:type="dxa"/>
            <w:shd w:val="clear" w:color="auto" w:fill="C5EECE"/>
            <w:tcMar>
              <w:left w:w="57" w:type="dxa"/>
              <w:right w:w="57" w:type="dxa"/>
            </w:tcMar>
          </w:tcPr>
          <w:p w14:paraId="63174CCF" w14:textId="77777777" w:rsidR="009F596F" w:rsidRPr="000A27B3" w:rsidRDefault="009F596F">
            <w:pPr>
              <w:spacing w:line="257" w:lineRule="auto"/>
              <w:jc w:val="center"/>
              <w:rPr>
                <w:rFonts w:ascii="Times New Roman" w:hAnsi="Times New Roman" w:cs="Times New Roman"/>
                <w:noProof/>
                <w:sz w:val="24"/>
                <w:szCs w:val="24"/>
              </w:rPr>
            </w:pPr>
            <w:r>
              <w:rPr>
                <w:rFonts w:ascii="Times New Roman" w:hAnsi="Times New Roman"/>
                <w:noProof/>
                <w:sz w:val="24"/>
              </w:rPr>
              <w:t>9</w:t>
            </w:r>
          </w:p>
        </w:tc>
        <w:tc>
          <w:tcPr>
            <w:tcW w:w="779" w:type="dxa"/>
            <w:shd w:val="clear" w:color="auto" w:fill="C5EECE"/>
            <w:tcMar>
              <w:left w:w="57" w:type="dxa"/>
              <w:right w:w="57" w:type="dxa"/>
            </w:tcMar>
          </w:tcPr>
          <w:p w14:paraId="0FEA9784" w14:textId="77777777" w:rsidR="009F596F" w:rsidRPr="000A27B3" w:rsidRDefault="009F596F">
            <w:pPr>
              <w:jc w:val="center"/>
              <w:rPr>
                <w:rFonts w:ascii="Times New Roman" w:eastAsia="Times New Roman" w:hAnsi="Times New Roman" w:cs="Times New Roman"/>
                <w:noProof/>
                <w:sz w:val="24"/>
                <w:szCs w:val="24"/>
              </w:rPr>
            </w:pPr>
            <w:r>
              <w:rPr>
                <w:rFonts w:ascii="Times New Roman" w:hAnsi="Times New Roman"/>
                <w:noProof/>
                <w:sz w:val="24"/>
              </w:rPr>
              <w:t>T2</w:t>
            </w:r>
          </w:p>
        </w:tc>
        <w:tc>
          <w:tcPr>
            <w:tcW w:w="1003" w:type="dxa"/>
            <w:shd w:val="clear" w:color="auto" w:fill="C5EECE"/>
            <w:tcMar>
              <w:left w:w="57" w:type="dxa"/>
              <w:right w:w="57" w:type="dxa"/>
            </w:tcMar>
          </w:tcPr>
          <w:p w14:paraId="35C34F29" w14:textId="77777777" w:rsidR="009F596F" w:rsidRPr="000A27B3" w:rsidRDefault="009F596F">
            <w:pPr>
              <w:rPr>
                <w:rFonts w:ascii="Times New Roman" w:eastAsia="Times New Roman" w:hAnsi="Times New Roman" w:cs="Times New Roman"/>
                <w:noProof/>
                <w:sz w:val="24"/>
                <w:szCs w:val="24"/>
              </w:rPr>
            </w:pPr>
            <w:r>
              <w:rPr>
                <w:rFonts w:ascii="Times New Roman" w:hAnsi="Times New Roman"/>
                <w:noProof/>
                <w:sz w:val="24"/>
              </w:rPr>
              <w:t>2026</w:t>
            </w:r>
          </w:p>
        </w:tc>
        <w:tc>
          <w:tcPr>
            <w:tcW w:w="2215" w:type="dxa"/>
            <w:shd w:val="clear" w:color="auto" w:fill="C5EECE"/>
            <w:tcMar>
              <w:left w:w="57" w:type="dxa"/>
              <w:right w:w="57" w:type="dxa"/>
            </w:tcMar>
          </w:tcPr>
          <w:p w14:paraId="20C0B82E" w14:textId="08D7BE1B" w:rsidR="009F596F" w:rsidRPr="000A27B3" w:rsidRDefault="009F596F">
            <w:pPr>
              <w:spacing w:line="252" w:lineRule="auto"/>
              <w:jc w:val="both"/>
              <w:rPr>
                <w:rFonts w:ascii="Times New Roman" w:hAnsi="Times New Roman" w:cs="Times New Roman"/>
                <w:noProof/>
                <w:sz w:val="24"/>
                <w:szCs w:val="24"/>
              </w:rPr>
            </w:pPr>
            <w:r>
              <w:rPr>
                <w:rFonts w:ascii="Times New Roman" w:hAnsi="Times New Roman"/>
                <w:noProof/>
                <w:sz w:val="24"/>
              </w:rPr>
              <w:t>Consumul anual de energie electrică al celor 29 de substații ale Transelectrica se reduce de la 18 GWh în 2022 la 9 GWh.</w:t>
            </w:r>
          </w:p>
        </w:tc>
      </w:tr>
      <w:tr w:rsidR="00D1375D" w:rsidRPr="000A27B3" w14:paraId="0AA1F6ED" w14:textId="77777777" w:rsidTr="00D36F66">
        <w:trPr>
          <w:trHeight w:val="750"/>
        </w:trPr>
        <w:tc>
          <w:tcPr>
            <w:tcW w:w="1571" w:type="dxa"/>
            <w:shd w:val="clear" w:color="auto" w:fill="C5EECE"/>
            <w:tcMar>
              <w:left w:w="57" w:type="dxa"/>
              <w:right w:w="57" w:type="dxa"/>
            </w:tcMar>
          </w:tcPr>
          <w:p w14:paraId="23437815" w14:textId="541AF0F4" w:rsidR="009F596F" w:rsidRPr="000A27B3" w:rsidRDefault="00AE0E36">
            <w:pPr>
              <w:jc w:val="center"/>
              <w:rPr>
                <w:rFonts w:ascii="Times New Roman" w:hAnsi="Times New Roman" w:cs="Times New Roman"/>
                <w:noProof/>
                <w:sz w:val="24"/>
                <w:szCs w:val="32"/>
              </w:rPr>
            </w:pPr>
            <w:r>
              <w:rPr>
                <w:rFonts w:ascii="Times New Roman" w:hAnsi="Times New Roman"/>
                <w:noProof/>
                <w:sz w:val="24"/>
              </w:rPr>
              <w:t>519</w:t>
            </w:r>
          </w:p>
        </w:tc>
        <w:tc>
          <w:tcPr>
            <w:tcW w:w="2490" w:type="dxa"/>
            <w:shd w:val="clear" w:color="auto" w:fill="C5EECE"/>
            <w:tcMar>
              <w:left w:w="57" w:type="dxa"/>
              <w:right w:w="57" w:type="dxa"/>
            </w:tcMar>
          </w:tcPr>
          <w:p w14:paraId="6E6285B5" w14:textId="77777777" w:rsidR="009F596F" w:rsidRPr="000A27B3" w:rsidRDefault="009F596F">
            <w:pPr>
              <w:spacing w:line="245" w:lineRule="auto"/>
              <w:jc w:val="both"/>
              <w:rPr>
                <w:rFonts w:ascii="Times New Roman" w:hAnsi="Times New Roman" w:cs="Times New Roman"/>
                <w:noProof/>
                <w:sz w:val="24"/>
                <w:szCs w:val="32"/>
              </w:rPr>
            </w:pPr>
            <w:r>
              <w:rPr>
                <w:rFonts w:ascii="Times New Roman" w:hAnsi="Times New Roman"/>
                <w:noProof/>
                <w:sz w:val="24"/>
              </w:rPr>
              <w:t>Investiția 5b. Retehnologizarea SMART SA</w:t>
            </w:r>
          </w:p>
        </w:tc>
        <w:tc>
          <w:tcPr>
            <w:tcW w:w="906" w:type="dxa"/>
            <w:shd w:val="clear" w:color="auto" w:fill="C5EECE"/>
            <w:tcMar>
              <w:left w:w="57" w:type="dxa"/>
              <w:right w:w="57" w:type="dxa"/>
            </w:tcMar>
          </w:tcPr>
          <w:p w14:paraId="54B066EA" w14:textId="77777777" w:rsidR="009F596F" w:rsidRPr="000A27B3" w:rsidRDefault="009F596F">
            <w:pPr>
              <w:spacing w:line="245" w:lineRule="auto"/>
              <w:rPr>
                <w:rFonts w:ascii="Times New Roman" w:hAnsi="Times New Roman" w:cs="Times New Roman"/>
                <w:noProof/>
                <w:sz w:val="24"/>
                <w:szCs w:val="32"/>
              </w:rPr>
            </w:pPr>
            <w:r>
              <w:rPr>
                <w:rFonts w:ascii="Times New Roman" w:hAnsi="Times New Roman"/>
                <w:noProof/>
                <w:sz w:val="24"/>
              </w:rPr>
              <w:t>Jalon</w:t>
            </w:r>
          </w:p>
        </w:tc>
        <w:tc>
          <w:tcPr>
            <w:tcW w:w="1159" w:type="dxa"/>
            <w:shd w:val="clear" w:color="auto" w:fill="C5EECE"/>
            <w:tcMar>
              <w:left w:w="57" w:type="dxa"/>
              <w:right w:w="57" w:type="dxa"/>
            </w:tcMar>
          </w:tcPr>
          <w:p w14:paraId="0E690A15" w14:textId="77777777" w:rsidR="009F596F" w:rsidRPr="000A27B3" w:rsidRDefault="009F596F" w:rsidP="005E4097">
            <w:pPr>
              <w:spacing w:line="252" w:lineRule="auto"/>
              <w:jc w:val="both"/>
              <w:rPr>
                <w:rFonts w:ascii="Times New Roman" w:hAnsi="Times New Roman" w:cs="Times New Roman"/>
                <w:noProof/>
                <w:sz w:val="24"/>
                <w:szCs w:val="32"/>
              </w:rPr>
            </w:pPr>
            <w:r>
              <w:rPr>
                <w:rFonts w:ascii="Times New Roman" w:hAnsi="Times New Roman"/>
                <w:noProof/>
                <w:sz w:val="24"/>
              </w:rPr>
              <w:t>Semnarea contractelor de aprovizionare</w:t>
            </w:r>
          </w:p>
        </w:tc>
        <w:tc>
          <w:tcPr>
            <w:tcW w:w="1159" w:type="dxa"/>
            <w:shd w:val="clear" w:color="auto" w:fill="C5EECE"/>
            <w:tcMar>
              <w:left w:w="57" w:type="dxa"/>
              <w:right w:w="57" w:type="dxa"/>
            </w:tcMar>
          </w:tcPr>
          <w:p w14:paraId="6EB490C2" w14:textId="77777777" w:rsidR="009F596F" w:rsidRPr="000A27B3" w:rsidRDefault="009F596F" w:rsidP="005E4097">
            <w:pPr>
              <w:spacing w:line="252" w:lineRule="auto"/>
              <w:jc w:val="both"/>
              <w:rPr>
                <w:rFonts w:ascii="Times New Roman" w:hAnsi="Times New Roman" w:cs="Times New Roman"/>
                <w:noProof/>
                <w:sz w:val="24"/>
                <w:szCs w:val="32"/>
              </w:rPr>
            </w:pPr>
            <w:r>
              <w:rPr>
                <w:rFonts w:ascii="Times New Roman" w:hAnsi="Times New Roman"/>
                <w:noProof/>
                <w:sz w:val="24"/>
              </w:rPr>
              <w:t>Contracte semnate</w:t>
            </w:r>
          </w:p>
        </w:tc>
        <w:tc>
          <w:tcPr>
            <w:tcW w:w="1127" w:type="dxa"/>
            <w:shd w:val="clear" w:color="auto" w:fill="C5EECE"/>
            <w:tcMar>
              <w:left w:w="57" w:type="dxa"/>
              <w:right w:w="57" w:type="dxa"/>
            </w:tcMar>
          </w:tcPr>
          <w:p w14:paraId="2022471C" w14:textId="77777777" w:rsidR="009F596F" w:rsidRPr="000A27B3" w:rsidRDefault="009F596F">
            <w:pPr>
              <w:rPr>
                <w:rFonts w:ascii="Times New Roman" w:eastAsia="Times New Roman" w:hAnsi="Times New Roman" w:cs="Times New Roman"/>
                <w:noProof/>
                <w:sz w:val="24"/>
                <w:szCs w:val="32"/>
                <w:lang w:val="en-GB"/>
              </w:rPr>
            </w:pPr>
          </w:p>
        </w:tc>
        <w:tc>
          <w:tcPr>
            <w:tcW w:w="1794" w:type="dxa"/>
            <w:shd w:val="clear" w:color="auto" w:fill="C5EECE"/>
            <w:tcMar>
              <w:left w:w="57" w:type="dxa"/>
              <w:right w:w="57" w:type="dxa"/>
            </w:tcMar>
          </w:tcPr>
          <w:p w14:paraId="5E0EAE8C" w14:textId="77777777" w:rsidR="009F596F" w:rsidRPr="000A27B3" w:rsidRDefault="009F596F">
            <w:pPr>
              <w:jc w:val="center"/>
              <w:rPr>
                <w:rFonts w:ascii="Times New Roman" w:eastAsia="Times New Roman" w:hAnsi="Times New Roman" w:cs="Times New Roman"/>
                <w:noProof/>
                <w:sz w:val="24"/>
                <w:szCs w:val="32"/>
                <w:lang w:val="en-GB"/>
              </w:rPr>
            </w:pPr>
          </w:p>
        </w:tc>
        <w:tc>
          <w:tcPr>
            <w:tcW w:w="1054" w:type="dxa"/>
            <w:shd w:val="clear" w:color="auto" w:fill="C5EECE"/>
            <w:tcMar>
              <w:left w:w="57" w:type="dxa"/>
              <w:right w:w="57" w:type="dxa"/>
            </w:tcMar>
          </w:tcPr>
          <w:p w14:paraId="744B2598" w14:textId="77777777" w:rsidR="009F596F" w:rsidRPr="000A27B3" w:rsidRDefault="009F596F">
            <w:pPr>
              <w:spacing w:line="257" w:lineRule="auto"/>
              <w:jc w:val="center"/>
              <w:rPr>
                <w:rFonts w:ascii="Times New Roman" w:hAnsi="Times New Roman" w:cs="Times New Roman"/>
                <w:noProof/>
                <w:sz w:val="24"/>
                <w:szCs w:val="32"/>
                <w:lang w:val="en-GB"/>
              </w:rPr>
            </w:pPr>
          </w:p>
        </w:tc>
        <w:tc>
          <w:tcPr>
            <w:tcW w:w="779" w:type="dxa"/>
            <w:shd w:val="clear" w:color="auto" w:fill="C5EECE"/>
            <w:tcMar>
              <w:left w:w="57" w:type="dxa"/>
              <w:right w:w="57" w:type="dxa"/>
            </w:tcMar>
          </w:tcPr>
          <w:p w14:paraId="01EE3846" w14:textId="77777777" w:rsidR="009F596F" w:rsidRPr="000A27B3" w:rsidRDefault="009F596F">
            <w:pPr>
              <w:jc w:val="center"/>
              <w:rPr>
                <w:rFonts w:ascii="Times New Roman" w:eastAsia="Times New Roman" w:hAnsi="Times New Roman" w:cs="Times New Roman"/>
                <w:noProof/>
                <w:sz w:val="24"/>
                <w:szCs w:val="32"/>
              </w:rPr>
            </w:pPr>
            <w:r>
              <w:rPr>
                <w:rFonts w:ascii="Times New Roman" w:hAnsi="Times New Roman"/>
                <w:noProof/>
                <w:sz w:val="24"/>
              </w:rPr>
              <w:t>T4</w:t>
            </w:r>
          </w:p>
        </w:tc>
        <w:tc>
          <w:tcPr>
            <w:tcW w:w="1003" w:type="dxa"/>
            <w:shd w:val="clear" w:color="auto" w:fill="C5EECE"/>
            <w:tcMar>
              <w:left w:w="57" w:type="dxa"/>
              <w:right w:w="57" w:type="dxa"/>
            </w:tcMar>
          </w:tcPr>
          <w:p w14:paraId="2AF1993E" w14:textId="77777777" w:rsidR="009F596F" w:rsidRPr="000A27B3" w:rsidRDefault="009F596F">
            <w:pPr>
              <w:rPr>
                <w:rFonts w:ascii="Times New Roman" w:eastAsia="Times New Roman" w:hAnsi="Times New Roman" w:cs="Times New Roman"/>
                <w:noProof/>
                <w:sz w:val="24"/>
                <w:szCs w:val="32"/>
              </w:rPr>
            </w:pPr>
            <w:r>
              <w:rPr>
                <w:rFonts w:ascii="Times New Roman" w:hAnsi="Times New Roman"/>
                <w:noProof/>
                <w:sz w:val="24"/>
              </w:rPr>
              <w:t>2023</w:t>
            </w:r>
          </w:p>
        </w:tc>
        <w:tc>
          <w:tcPr>
            <w:tcW w:w="2215" w:type="dxa"/>
            <w:shd w:val="clear" w:color="auto" w:fill="C5EECE"/>
            <w:tcMar>
              <w:left w:w="57" w:type="dxa"/>
              <w:right w:w="57" w:type="dxa"/>
            </w:tcMar>
          </w:tcPr>
          <w:p w14:paraId="7E38793A" w14:textId="6CA9ED80" w:rsidR="00062622" w:rsidRPr="000A27B3" w:rsidRDefault="009F596F">
            <w:pPr>
              <w:spacing w:line="252" w:lineRule="auto"/>
              <w:jc w:val="both"/>
              <w:rPr>
                <w:rFonts w:ascii="Times New Roman" w:hAnsi="Times New Roman" w:cs="Times New Roman"/>
                <w:noProof/>
                <w:sz w:val="24"/>
                <w:szCs w:val="24"/>
              </w:rPr>
            </w:pPr>
            <w:r>
              <w:rPr>
                <w:rFonts w:ascii="Times New Roman" w:hAnsi="Times New Roman"/>
                <w:noProof/>
                <w:sz w:val="24"/>
              </w:rPr>
              <w:t xml:space="preserve">Trebuie să fi fost semnate contracte pentru livrarea către întreprinderea SMART și instalarea de (i) echipamente pentru întreținerea liniilor de transmisie și a stațiilor electrice (cum ar fi dispozitive de măsurare și control al liniilor electrice, transformatoare, izolații, legare la pământ și macarale și platforme de lucru mobile înalte) și (ii) software pentru digitalizarea serviciilor de întreținere (cum ar fi SCADA). </w:t>
            </w:r>
          </w:p>
          <w:p w14:paraId="749EC96B" w14:textId="77777777" w:rsidR="009F596F" w:rsidRPr="000A27B3" w:rsidRDefault="009F596F">
            <w:pPr>
              <w:spacing w:after="0" w:line="252" w:lineRule="auto"/>
              <w:jc w:val="both"/>
              <w:rPr>
                <w:rFonts w:ascii="Times New Roman" w:hAnsi="Times New Roman" w:cs="Times New Roman"/>
                <w:noProof/>
                <w:sz w:val="24"/>
                <w:szCs w:val="24"/>
              </w:rPr>
            </w:pPr>
            <w:r>
              <w:rPr>
                <w:rFonts w:ascii="Times New Roman" w:hAnsi="Times New Roman"/>
                <w:noProof/>
                <w:sz w:val="24"/>
              </w:rPr>
              <w:t>Toate vehiculele trebuie să fie cu emisii zero.</w:t>
            </w:r>
          </w:p>
        </w:tc>
      </w:tr>
      <w:tr w:rsidR="00D1375D" w:rsidRPr="000A27B3" w14:paraId="62031BF5" w14:textId="77777777" w:rsidTr="00D36F66">
        <w:trPr>
          <w:trHeight w:val="750"/>
        </w:trPr>
        <w:tc>
          <w:tcPr>
            <w:tcW w:w="1571" w:type="dxa"/>
            <w:shd w:val="clear" w:color="auto" w:fill="C5EECE"/>
            <w:tcMar>
              <w:left w:w="57" w:type="dxa"/>
              <w:right w:w="57" w:type="dxa"/>
            </w:tcMar>
          </w:tcPr>
          <w:p w14:paraId="028A88B1" w14:textId="3663F947" w:rsidR="009F596F" w:rsidRPr="000A27B3" w:rsidRDefault="00AE0E36">
            <w:pPr>
              <w:jc w:val="center"/>
              <w:rPr>
                <w:rFonts w:ascii="Times New Roman" w:hAnsi="Times New Roman" w:cs="Times New Roman"/>
                <w:noProof/>
                <w:sz w:val="24"/>
                <w:szCs w:val="24"/>
              </w:rPr>
            </w:pPr>
            <w:r>
              <w:rPr>
                <w:rFonts w:ascii="Times New Roman" w:hAnsi="Times New Roman"/>
                <w:noProof/>
                <w:sz w:val="24"/>
              </w:rPr>
              <w:t>520</w:t>
            </w:r>
          </w:p>
        </w:tc>
        <w:tc>
          <w:tcPr>
            <w:tcW w:w="2490" w:type="dxa"/>
            <w:shd w:val="clear" w:color="auto" w:fill="C5EECE"/>
            <w:tcMar>
              <w:left w:w="57" w:type="dxa"/>
              <w:right w:w="57" w:type="dxa"/>
            </w:tcMar>
          </w:tcPr>
          <w:p w14:paraId="17AA9052" w14:textId="77777777" w:rsidR="009F596F" w:rsidRPr="000A27B3" w:rsidRDefault="009F596F">
            <w:pPr>
              <w:spacing w:line="245" w:lineRule="auto"/>
              <w:jc w:val="both"/>
              <w:rPr>
                <w:rFonts w:ascii="Times New Roman" w:hAnsi="Times New Roman" w:cs="Times New Roman"/>
                <w:noProof/>
                <w:sz w:val="24"/>
                <w:szCs w:val="24"/>
              </w:rPr>
            </w:pPr>
            <w:r>
              <w:rPr>
                <w:rFonts w:ascii="Times New Roman" w:hAnsi="Times New Roman"/>
                <w:noProof/>
                <w:sz w:val="24"/>
              </w:rPr>
              <w:t>Investiția 5b. Retehnologizarea SMART SA</w:t>
            </w:r>
          </w:p>
        </w:tc>
        <w:tc>
          <w:tcPr>
            <w:tcW w:w="906" w:type="dxa"/>
            <w:shd w:val="clear" w:color="auto" w:fill="C5EECE"/>
            <w:tcMar>
              <w:left w:w="57" w:type="dxa"/>
              <w:right w:w="57" w:type="dxa"/>
            </w:tcMar>
          </w:tcPr>
          <w:p w14:paraId="056F5F1B" w14:textId="77777777" w:rsidR="009F596F" w:rsidRPr="000A27B3" w:rsidRDefault="009F596F">
            <w:pPr>
              <w:spacing w:line="245" w:lineRule="auto"/>
              <w:rPr>
                <w:rFonts w:ascii="Times New Roman" w:hAnsi="Times New Roman" w:cs="Times New Roman"/>
                <w:noProof/>
                <w:sz w:val="24"/>
                <w:szCs w:val="24"/>
              </w:rPr>
            </w:pPr>
            <w:r>
              <w:rPr>
                <w:rFonts w:ascii="Times New Roman" w:hAnsi="Times New Roman"/>
                <w:noProof/>
                <w:sz w:val="24"/>
              </w:rPr>
              <w:t>Țintă</w:t>
            </w:r>
          </w:p>
        </w:tc>
        <w:tc>
          <w:tcPr>
            <w:tcW w:w="1159" w:type="dxa"/>
            <w:shd w:val="clear" w:color="auto" w:fill="C5EECE"/>
            <w:tcMar>
              <w:left w:w="57" w:type="dxa"/>
              <w:right w:w="57" w:type="dxa"/>
            </w:tcMar>
          </w:tcPr>
          <w:p w14:paraId="1CA0339A"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Durata medie a intervențiilor în rețeaua OST</w:t>
            </w:r>
          </w:p>
        </w:tc>
        <w:tc>
          <w:tcPr>
            <w:tcW w:w="1159" w:type="dxa"/>
            <w:shd w:val="clear" w:color="auto" w:fill="C5EECE"/>
            <w:tcMar>
              <w:left w:w="57" w:type="dxa"/>
              <w:right w:w="57" w:type="dxa"/>
            </w:tcMar>
          </w:tcPr>
          <w:p w14:paraId="48E8558A" w14:textId="77777777" w:rsidR="009F596F" w:rsidRPr="009F1DC7" w:rsidRDefault="009F596F" w:rsidP="005E4097">
            <w:pPr>
              <w:spacing w:line="252" w:lineRule="auto"/>
              <w:jc w:val="both"/>
              <w:rPr>
                <w:rFonts w:ascii="Times New Roman" w:hAnsi="Times New Roman" w:cs="Times New Roman"/>
                <w:noProof/>
                <w:sz w:val="24"/>
                <w:szCs w:val="24"/>
                <w:lang w:val="de-DE"/>
              </w:rPr>
            </w:pPr>
          </w:p>
        </w:tc>
        <w:tc>
          <w:tcPr>
            <w:tcW w:w="1127" w:type="dxa"/>
            <w:shd w:val="clear" w:color="auto" w:fill="C5EECE"/>
            <w:tcMar>
              <w:left w:w="57" w:type="dxa"/>
              <w:right w:w="57" w:type="dxa"/>
            </w:tcMar>
          </w:tcPr>
          <w:p w14:paraId="14266AA0" w14:textId="07288C1E" w:rsidR="009F596F" w:rsidRPr="000A27B3" w:rsidRDefault="00EE0387">
            <w:pPr>
              <w:rPr>
                <w:rFonts w:ascii="Times New Roman" w:eastAsia="Times New Roman" w:hAnsi="Times New Roman" w:cs="Times New Roman"/>
                <w:noProof/>
                <w:sz w:val="24"/>
                <w:szCs w:val="24"/>
              </w:rPr>
            </w:pPr>
            <w:r>
              <w:rPr>
                <w:rFonts w:ascii="Times New Roman" w:hAnsi="Times New Roman"/>
                <w:noProof/>
                <w:sz w:val="24"/>
              </w:rPr>
              <w:t>Procent (%)</w:t>
            </w:r>
          </w:p>
        </w:tc>
        <w:tc>
          <w:tcPr>
            <w:tcW w:w="1794" w:type="dxa"/>
            <w:shd w:val="clear" w:color="auto" w:fill="C5EECE"/>
            <w:tcMar>
              <w:left w:w="57" w:type="dxa"/>
              <w:right w:w="57" w:type="dxa"/>
            </w:tcMar>
          </w:tcPr>
          <w:p w14:paraId="20D52749" w14:textId="77777777" w:rsidR="009F596F" w:rsidRPr="000A27B3" w:rsidRDefault="009F596F">
            <w:pPr>
              <w:jc w:val="center"/>
              <w:rPr>
                <w:rFonts w:ascii="Times New Roman" w:eastAsia="Times New Roman" w:hAnsi="Times New Roman" w:cs="Times New Roman"/>
                <w:noProof/>
                <w:sz w:val="24"/>
                <w:szCs w:val="24"/>
              </w:rPr>
            </w:pPr>
            <w:r>
              <w:rPr>
                <w:rFonts w:ascii="Times New Roman" w:hAnsi="Times New Roman"/>
                <w:noProof/>
                <w:sz w:val="24"/>
              </w:rPr>
              <w:t xml:space="preserve">100% </w:t>
            </w:r>
          </w:p>
        </w:tc>
        <w:tc>
          <w:tcPr>
            <w:tcW w:w="1054" w:type="dxa"/>
            <w:shd w:val="clear" w:color="auto" w:fill="C5EECE"/>
            <w:tcMar>
              <w:left w:w="57" w:type="dxa"/>
              <w:right w:w="57" w:type="dxa"/>
            </w:tcMar>
          </w:tcPr>
          <w:p w14:paraId="2C50E6F9" w14:textId="77777777" w:rsidR="009F596F" w:rsidRPr="000A27B3" w:rsidRDefault="009F596F">
            <w:pPr>
              <w:spacing w:line="257" w:lineRule="auto"/>
              <w:jc w:val="center"/>
              <w:rPr>
                <w:rFonts w:ascii="Times New Roman" w:hAnsi="Times New Roman" w:cs="Times New Roman"/>
                <w:noProof/>
                <w:sz w:val="24"/>
                <w:szCs w:val="24"/>
              </w:rPr>
            </w:pPr>
            <w:r>
              <w:rPr>
                <w:rFonts w:ascii="Times New Roman" w:hAnsi="Times New Roman"/>
                <w:noProof/>
                <w:sz w:val="24"/>
              </w:rPr>
              <w:t xml:space="preserve">50 % </w:t>
            </w:r>
          </w:p>
        </w:tc>
        <w:tc>
          <w:tcPr>
            <w:tcW w:w="779" w:type="dxa"/>
            <w:shd w:val="clear" w:color="auto" w:fill="C5EECE"/>
            <w:tcMar>
              <w:left w:w="57" w:type="dxa"/>
              <w:right w:w="57" w:type="dxa"/>
            </w:tcMar>
          </w:tcPr>
          <w:p w14:paraId="36B9B4ED" w14:textId="77777777" w:rsidR="009F596F" w:rsidRPr="000A27B3" w:rsidRDefault="009F596F">
            <w:pPr>
              <w:jc w:val="center"/>
              <w:rPr>
                <w:rFonts w:ascii="Times New Roman" w:eastAsia="Times New Roman" w:hAnsi="Times New Roman" w:cs="Times New Roman"/>
                <w:noProof/>
                <w:sz w:val="24"/>
                <w:szCs w:val="24"/>
              </w:rPr>
            </w:pPr>
            <w:r>
              <w:rPr>
                <w:rFonts w:ascii="Times New Roman" w:hAnsi="Times New Roman"/>
                <w:noProof/>
                <w:sz w:val="24"/>
              </w:rPr>
              <w:t>T4</w:t>
            </w:r>
          </w:p>
        </w:tc>
        <w:tc>
          <w:tcPr>
            <w:tcW w:w="1003" w:type="dxa"/>
            <w:shd w:val="clear" w:color="auto" w:fill="C5EECE"/>
            <w:tcMar>
              <w:left w:w="57" w:type="dxa"/>
              <w:right w:w="57" w:type="dxa"/>
            </w:tcMar>
          </w:tcPr>
          <w:p w14:paraId="0D5EB31B" w14:textId="77777777" w:rsidR="009F596F" w:rsidRPr="000A27B3" w:rsidRDefault="009F596F">
            <w:pPr>
              <w:rPr>
                <w:rFonts w:ascii="Times New Roman" w:eastAsia="Times New Roman" w:hAnsi="Times New Roman" w:cs="Times New Roman"/>
                <w:noProof/>
                <w:sz w:val="24"/>
                <w:szCs w:val="24"/>
              </w:rPr>
            </w:pPr>
            <w:r>
              <w:rPr>
                <w:rFonts w:ascii="Times New Roman" w:hAnsi="Times New Roman"/>
                <w:noProof/>
                <w:sz w:val="24"/>
              </w:rPr>
              <w:t>2024</w:t>
            </w:r>
          </w:p>
        </w:tc>
        <w:tc>
          <w:tcPr>
            <w:tcW w:w="2215" w:type="dxa"/>
            <w:shd w:val="clear" w:color="auto" w:fill="C5EECE"/>
            <w:tcMar>
              <w:left w:w="57" w:type="dxa"/>
              <w:right w:w="57" w:type="dxa"/>
            </w:tcMar>
          </w:tcPr>
          <w:p w14:paraId="0509BF78" w14:textId="77777777" w:rsidR="009F596F" w:rsidRPr="000A27B3" w:rsidRDefault="009F596F">
            <w:pPr>
              <w:spacing w:line="252" w:lineRule="auto"/>
              <w:jc w:val="both"/>
              <w:rPr>
                <w:rFonts w:ascii="Times New Roman" w:hAnsi="Times New Roman" w:cs="Times New Roman"/>
                <w:noProof/>
                <w:sz w:val="24"/>
                <w:szCs w:val="24"/>
              </w:rPr>
            </w:pPr>
            <w:r>
              <w:rPr>
                <w:rFonts w:ascii="Times New Roman" w:hAnsi="Times New Roman"/>
                <w:noProof/>
                <w:sz w:val="24"/>
              </w:rPr>
              <w:t>Durata medie a intervențiilor în rețeaua Transelectrica se reduce cu cel puțin 50 % în comparație cu 2022</w:t>
            </w:r>
          </w:p>
        </w:tc>
      </w:tr>
      <w:tr w:rsidR="00D1375D" w:rsidRPr="000A27B3" w14:paraId="24E5A585" w14:textId="77777777" w:rsidTr="00D36F66">
        <w:trPr>
          <w:trHeight w:val="750"/>
        </w:trPr>
        <w:tc>
          <w:tcPr>
            <w:tcW w:w="1571" w:type="dxa"/>
            <w:shd w:val="clear" w:color="auto" w:fill="C5EECE"/>
            <w:tcMar>
              <w:left w:w="57" w:type="dxa"/>
              <w:right w:w="57" w:type="dxa"/>
            </w:tcMar>
          </w:tcPr>
          <w:p w14:paraId="2C547D24" w14:textId="219F12BC" w:rsidR="009F596F" w:rsidRPr="000A27B3" w:rsidRDefault="00AE0E36">
            <w:pPr>
              <w:jc w:val="center"/>
              <w:rPr>
                <w:rFonts w:ascii="Times New Roman" w:hAnsi="Times New Roman" w:cs="Times New Roman"/>
                <w:noProof/>
                <w:sz w:val="24"/>
                <w:szCs w:val="24"/>
              </w:rPr>
            </w:pPr>
            <w:r>
              <w:rPr>
                <w:rFonts w:ascii="Times New Roman" w:hAnsi="Times New Roman"/>
                <w:noProof/>
                <w:sz w:val="24"/>
              </w:rPr>
              <w:t>521</w:t>
            </w:r>
          </w:p>
        </w:tc>
        <w:tc>
          <w:tcPr>
            <w:tcW w:w="2490" w:type="dxa"/>
            <w:shd w:val="clear" w:color="auto" w:fill="C5EECE"/>
            <w:tcMar>
              <w:left w:w="57" w:type="dxa"/>
              <w:right w:w="57" w:type="dxa"/>
            </w:tcMar>
          </w:tcPr>
          <w:p w14:paraId="4051A093" w14:textId="77777777" w:rsidR="009F596F" w:rsidRPr="000A27B3" w:rsidRDefault="009F596F">
            <w:pPr>
              <w:spacing w:line="245" w:lineRule="auto"/>
              <w:jc w:val="both"/>
              <w:rPr>
                <w:rFonts w:ascii="Times New Roman" w:hAnsi="Times New Roman" w:cs="Times New Roman"/>
                <w:noProof/>
                <w:sz w:val="24"/>
                <w:szCs w:val="24"/>
              </w:rPr>
            </w:pPr>
            <w:r>
              <w:rPr>
                <w:rFonts w:ascii="Times New Roman" w:hAnsi="Times New Roman"/>
                <w:noProof/>
                <w:sz w:val="24"/>
              </w:rPr>
              <w:t xml:space="preserve">Investiția 5c. Optimizarea rețelei de comunicații și crearea unui centru de date – Teletrans SA </w:t>
            </w:r>
          </w:p>
        </w:tc>
        <w:tc>
          <w:tcPr>
            <w:tcW w:w="906" w:type="dxa"/>
            <w:shd w:val="clear" w:color="auto" w:fill="C5EECE"/>
            <w:tcMar>
              <w:left w:w="57" w:type="dxa"/>
              <w:right w:w="57" w:type="dxa"/>
            </w:tcMar>
          </w:tcPr>
          <w:p w14:paraId="168A00B8" w14:textId="77777777" w:rsidR="009F596F" w:rsidRPr="000A27B3" w:rsidRDefault="009F596F">
            <w:pPr>
              <w:spacing w:line="245" w:lineRule="auto"/>
              <w:rPr>
                <w:rFonts w:ascii="Times New Roman" w:hAnsi="Times New Roman" w:cs="Times New Roman"/>
                <w:noProof/>
                <w:sz w:val="24"/>
                <w:szCs w:val="24"/>
              </w:rPr>
            </w:pPr>
            <w:r>
              <w:rPr>
                <w:rFonts w:ascii="Times New Roman" w:hAnsi="Times New Roman"/>
                <w:noProof/>
                <w:sz w:val="24"/>
              </w:rPr>
              <w:t>Jalon</w:t>
            </w:r>
          </w:p>
        </w:tc>
        <w:tc>
          <w:tcPr>
            <w:tcW w:w="1159" w:type="dxa"/>
            <w:shd w:val="clear" w:color="auto" w:fill="C5EECE"/>
            <w:tcMar>
              <w:left w:w="57" w:type="dxa"/>
              <w:right w:w="57" w:type="dxa"/>
            </w:tcMar>
          </w:tcPr>
          <w:p w14:paraId="474A5A1A"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Semnarea contractelor de aprovizionare</w:t>
            </w:r>
          </w:p>
        </w:tc>
        <w:tc>
          <w:tcPr>
            <w:tcW w:w="1159" w:type="dxa"/>
            <w:shd w:val="clear" w:color="auto" w:fill="C5EECE"/>
            <w:tcMar>
              <w:left w:w="57" w:type="dxa"/>
              <w:right w:w="57" w:type="dxa"/>
            </w:tcMar>
          </w:tcPr>
          <w:p w14:paraId="0A6F6753"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Contracte semnate</w:t>
            </w:r>
          </w:p>
        </w:tc>
        <w:tc>
          <w:tcPr>
            <w:tcW w:w="1127" w:type="dxa"/>
            <w:shd w:val="clear" w:color="auto" w:fill="C5EECE"/>
            <w:tcMar>
              <w:left w:w="57" w:type="dxa"/>
              <w:right w:w="57" w:type="dxa"/>
            </w:tcMar>
          </w:tcPr>
          <w:p w14:paraId="6EDB8064" w14:textId="77777777" w:rsidR="009F596F" w:rsidRPr="000A27B3" w:rsidRDefault="009F596F">
            <w:pPr>
              <w:rPr>
                <w:rFonts w:ascii="Times New Roman" w:eastAsia="Times New Roman" w:hAnsi="Times New Roman" w:cs="Times New Roman"/>
                <w:noProof/>
                <w:sz w:val="24"/>
                <w:szCs w:val="24"/>
                <w:lang w:val="en-GB"/>
              </w:rPr>
            </w:pPr>
          </w:p>
        </w:tc>
        <w:tc>
          <w:tcPr>
            <w:tcW w:w="1794" w:type="dxa"/>
            <w:shd w:val="clear" w:color="auto" w:fill="C5EECE"/>
            <w:tcMar>
              <w:left w:w="57" w:type="dxa"/>
              <w:right w:w="57" w:type="dxa"/>
            </w:tcMar>
          </w:tcPr>
          <w:p w14:paraId="75D960BB" w14:textId="77777777" w:rsidR="009F596F" w:rsidRPr="000A27B3" w:rsidRDefault="009F596F">
            <w:pPr>
              <w:jc w:val="center"/>
              <w:rPr>
                <w:rFonts w:ascii="Times New Roman" w:eastAsia="Times New Roman" w:hAnsi="Times New Roman" w:cs="Times New Roman"/>
                <w:noProof/>
                <w:sz w:val="24"/>
                <w:szCs w:val="24"/>
                <w:lang w:val="en-GB"/>
              </w:rPr>
            </w:pPr>
          </w:p>
        </w:tc>
        <w:tc>
          <w:tcPr>
            <w:tcW w:w="1054" w:type="dxa"/>
            <w:shd w:val="clear" w:color="auto" w:fill="C5EECE"/>
            <w:tcMar>
              <w:left w:w="57" w:type="dxa"/>
              <w:right w:w="57" w:type="dxa"/>
            </w:tcMar>
          </w:tcPr>
          <w:p w14:paraId="2F60CF0F" w14:textId="77777777" w:rsidR="009F596F" w:rsidRPr="000A27B3" w:rsidRDefault="009F596F">
            <w:pPr>
              <w:spacing w:line="257" w:lineRule="auto"/>
              <w:jc w:val="center"/>
              <w:rPr>
                <w:rFonts w:ascii="Times New Roman" w:hAnsi="Times New Roman" w:cs="Times New Roman"/>
                <w:noProof/>
                <w:sz w:val="24"/>
                <w:szCs w:val="24"/>
                <w:lang w:val="en-GB"/>
              </w:rPr>
            </w:pPr>
          </w:p>
        </w:tc>
        <w:tc>
          <w:tcPr>
            <w:tcW w:w="779" w:type="dxa"/>
            <w:shd w:val="clear" w:color="auto" w:fill="C5EECE"/>
            <w:tcMar>
              <w:left w:w="57" w:type="dxa"/>
              <w:right w:w="57" w:type="dxa"/>
            </w:tcMar>
          </w:tcPr>
          <w:p w14:paraId="2FF4464C" w14:textId="77777777" w:rsidR="009F596F" w:rsidRPr="000A27B3" w:rsidRDefault="009F596F">
            <w:pPr>
              <w:jc w:val="center"/>
              <w:rPr>
                <w:rFonts w:ascii="Times New Roman" w:eastAsia="Times New Roman" w:hAnsi="Times New Roman" w:cs="Times New Roman"/>
                <w:noProof/>
                <w:sz w:val="24"/>
                <w:szCs w:val="24"/>
              </w:rPr>
            </w:pPr>
            <w:r>
              <w:rPr>
                <w:rFonts w:ascii="Times New Roman" w:hAnsi="Times New Roman"/>
                <w:noProof/>
                <w:sz w:val="24"/>
              </w:rPr>
              <w:t>T4</w:t>
            </w:r>
          </w:p>
        </w:tc>
        <w:tc>
          <w:tcPr>
            <w:tcW w:w="1003" w:type="dxa"/>
            <w:shd w:val="clear" w:color="auto" w:fill="C5EECE"/>
            <w:tcMar>
              <w:left w:w="57" w:type="dxa"/>
              <w:right w:w="57" w:type="dxa"/>
            </w:tcMar>
          </w:tcPr>
          <w:p w14:paraId="49398EE7" w14:textId="77777777" w:rsidR="009F596F" w:rsidRPr="000A27B3" w:rsidRDefault="009F596F">
            <w:pPr>
              <w:rPr>
                <w:rFonts w:ascii="Times New Roman" w:eastAsia="Times New Roman" w:hAnsi="Times New Roman" w:cs="Times New Roman"/>
                <w:noProof/>
                <w:sz w:val="24"/>
                <w:szCs w:val="24"/>
              </w:rPr>
            </w:pPr>
            <w:r>
              <w:rPr>
                <w:rFonts w:ascii="Times New Roman" w:hAnsi="Times New Roman"/>
                <w:noProof/>
                <w:sz w:val="24"/>
              </w:rPr>
              <w:t>2024</w:t>
            </w:r>
          </w:p>
        </w:tc>
        <w:tc>
          <w:tcPr>
            <w:tcW w:w="2215" w:type="dxa"/>
            <w:shd w:val="clear" w:color="auto" w:fill="C5EECE"/>
            <w:tcMar>
              <w:left w:w="57" w:type="dxa"/>
              <w:right w:w="57" w:type="dxa"/>
            </w:tcMar>
          </w:tcPr>
          <w:p w14:paraId="2EE40513" w14:textId="31C25E4D" w:rsidR="009F596F" w:rsidRPr="000A27B3" w:rsidRDefault="009F596F" w:rsidP="00CA23DD">
            <w:pPr>
              <w:spacing w:after="0" w:line="252" w:lineRule="auto"/>
              <w:jc w:val="both"/>
              <w:rPr>
                <w:rFonts w:ascii="Times New Roman" w:hAnsi="Times New Roman" w:cs="Times New Roman"/>
                <w:noProof/>
                <w:sz w:val="24"/>
                <w:szCs w:val="24"/>
              </w:rPr>
            </w:pPr>
            <w:r>
              <w:rPr>
                <w:rFonts w:ascii="Times New Roman" w:hAnsi="Times New Roman"/>
                <w:noProof/>
                <w:sz w:val="24"/>
              </w:rPr>
              <w:t>Semnarea contractelor prin care să se furnizeze Teletrans echipamente informatice și software pentru crearea unui nou centru de date (cum ar fi servere, routere, firewall-uri, containere electrice), analizoare de trafic de rețea (cum ar fi analizorul de trafic L2</w:t>
            </w:r>
            <w:r w:rsidR="00B479F4">
              <w:rPr>
                <w:rFonts w:ascii="Times New Roman" w:hAnsi="Times New Roman"/>
                <w:noProof/>
                <w:sz w:val="24"/>
              </w:rPr>
              <w:t>­</w:t>
            </w:r>
            <w:r>
              <w:rPr>
                <w:rFonts w:ascii="Times New Roman" w:hAnsi="Times New Roman"/>
                <w:noProof/>
                <w:sz w:val="24"/>
              </w:rPr>
              <w:t>7; 4 porturi SFP; aparate de emisie-recepție SFP multimod și SFP monomod) și securitatea rețelei (cum ar fi firewall-uri, întrerupătoare PoE, routere de distribuție).</w:t>
            </w:r>
            <w:r>
              <w:rPr>
                <w:rFonts w:ascii="Times New Roman" w:hAnsi="Times New Roman"/>
                <w:noProof/>
                <w:sz w:val="24"/>
              </w:rPr>
              <w:cr/>
            </w:r>
            <w:r>
              <w:rPr>
                <w:rFonts w:ascii="Times New Roman" w:hAnsi="Times New Roman"/>
                <w:noProof/>
                <w:sz w:val="24"/>
              </w:rPr>
              <w:br/>
            </w:r>
            <w:r>
              <w:rPr>
                <w:rFonts w:ascii="Times New Roman" w:hAnsi="Times New Roman"/>
                <w:noProof/>
                <w:sz w:val="24"/>
              </w:rPr>
              <w:cr/>
            </w:r>
            <w:r>
              <w:rPr>
                <w:rFonts w:ascii="Times New Roman" w:hAnsi="Times New Roman"/>
                <w:noProof/>
                <w:sz w:val="24"/>
              </w:rPr>
              <w:br/>
            </w:r>
          </w:p>
          <w:p w14:paraId="7CA36EFC" w14:textId="1C12AD66" w:rsidR="009F596F" w:rsidRPr="009F1DC7" w:rsidRDefault="009F596F">
            <w:pPr>
              <w:spacing w:line="252" w:lineRule="auto"/>
              <w:jc w:val="both"/>
              <w:rPr>
                <w:rFonts w:ascii="Times New Roman" w:hAnsi="Times New Roman" w:cs="Times New Roman"/>
                <w:noProof/>
                <w:sz w:val="24"/>
                <w:szCs w:val="24"/>
              </w:rPr>
            </w:pPr>
          </w:p>
        </w:tc>
      </w:tr>
      <w:tr w:rsidR="00D1375D" w:rsidRPr="000A27B3" w14:paraId="11710D96" w14:textId="77777777" w:rsidTr="00D36F66">
        <w:trPr>
          <w:trHeight w:val="750"/>
        </w:trPr>
        <w:tc>
          <w:tcPr>
            <w:tcW w:w="1571" w:type="dxa"/>
            <w:shd w:val="clear" w:color="auto" w:fill="C5EECE"/>
            <w:tcMar>
              <w:left w:w="57" w:type="dxa"/>
              <w:right w:w="57" w:type="dxa"/>
            </w:tcMar>
          </w:tcPr>
          <w:p w14:paraId="190BAF6B" w14:textId="61975551" w:rsidR="009F596F" w:rsidRPr="000A27B3" w:rsidRDefault="00AE0E36">
            <w:pPr>
              <w:jc w:val="center"/>
              <w:rPr>
                <w:rFonts w:ascii="Times New Roman" w:hAnsi="Times New Roman" w:cs="Times New Roman"/>
                <w:noProof/>
                <w:sz w:val="24"/>
                <w:szCs w:val="24"/>
              </w:rPr>
            </w:pPr>
            <w:r>
              <w:rPr>
                <w:rFonts w:ascii="Times New Roman" w:hAnsi="Times New Roman"/>
                <w:noProof/>
                <w:sz w:val="24"/>
              </w:rPr>
              <w:t>522</w:t>
            </w:r>
          </w:p>
        </w:tc>
        <w:tc>
          <w:tcPr>
            <w:tcW w:w="2490" w:type="dxa"/>
            <w:shd w:val="clear" w:color="auto" w:fill="C5EECE"/>
            <w:tcMar>
              <w:left w:w="57" w:type="dxa"/>
              <w:right w:w="57" w:type="dxa"/>
            </w:tcMar>
          </w:tcPr>
          <w:p w14:paraId="70555603" w14:textId="77777777" w:rsidR="009F596F" w:rsidRPr="000A27B3" w:rsidRDefault="009F596F">
            <w:pPr>
              <w:spacing w:line="245" w:lineRule="auto"/>
              <w:jc w:val="both"/>
              <w:rPr>
                <w:rFonts w:ascii="Times New Roman" w:hAnsi="Times New Roman" w:cs="Times New Roman"/>
                <w:noProof/>
                <w:sz w:val="24"/>
                <w:szCs w:val="24"/>
              </w:rPr>
            </w:pPr>
            <w:r>
              <w:rPr>
                <w:rFonts w:ascii="Times New Roman" w:hAnsi="Times New Roman"/>
                <w:noProof/>
                <w:sz w:val="24"/>
              </w:rPr>
              <w:t>Investiția 5c. Optimizarea rețelei de comunicații și crearea unui centru de date – Teletrans SA</w:t>
            </w:r>
          </w:p>
        </w:tc>
        <w:tc>
          <w:tcPr>
            <w:tcW w:w="906" w:type="dxa"/>
            <w:shd w:val="clear" w:color="auto" w:fill="C5EECE"/>
            <w:tcMar>
              <w:left w:w="57" w:type="dxa"/>
              <w:right w:w="57" w:type="dxa"/>
            </w:tcMar>
          </w:tcPr>
          <w:p w14:paraId="14D1AF7F" w14:textId="1392F035" w:rsidR="009F596F" w:rsidRPr="000A27B3" w:rsidRDefault="00615FCE">
            <w:pPr>
              <w:spacing w:line="245" w:lineRule="auto"/>
              <w:rPr>
                <w:rFonts w:ascii="Times New Roman" w:hAnsi="Times New Roman"/>
                <w:noProof/>
                <w:sz w:val="24"/>
                <w:szCs w:val="24"/>
              </w:rPr>
            </w:pPr>
            <w:r>
              <w:rPr>
                <w:rFonts w:ascii="Times New Roman" w:hAnsi="Times New Roman"/>
                <w:noProof/>
                <w:sz w:val="24"/>
              </w:rPr>
              <w:t>Jalon</w:t>
            </w:r>
          </w:p>
        </w:tc>
        <w:tc>
          <w:tcPr>
            <w:tcW w:w="1159" w:type="dxa"/>
            <w:shd w:val="clear" w:color="auto" w:fill="C5EECE"/>
            <w:tcMar>
              <w:left w:w="57" w:type="dxa"/>
              <w:right w:w="57" w:type="dxa"/>
            </w:tcMar>
          </w:tcPr>
          <w:p w14:paraId="4B465F19" w14:textId="77777777" w:rsidR="009F596F" w:rsidRPr="000A27B3" w:rsidRDefault="009F596F" w:rsidP="005E4097">
            <w:pPr>
              <w:spacing w:line="252" w:lineRule="auto"/>
              <w:jc w:val="both"/>
              <w:rPr>
                <w:rFonts w:ascii="Times New Roman" w:hAnsi="Times New Roman" w:cs="Times New Roman"/>
                <w:noProof/>
                <w:sz w:val="24"/>
                <w:szCs w:val="24"/>
              </w:rPr>
            </w:pPr>
            <w:r>
              <w:rPr>
                <w:rFonts w:ascii="Times New Roman" w:hAnsi="Times New Roman"/>
                <w:noProof/>
                <w:sz w:val="24"/>
              </w:rPr>
              <w:t>Finalizarea unui centru de date</w:t>
            </w:r>
          </w:p>
        </w:tc>
        <w:tc>
          <w:tcPr>
            <w:tcW w:w="1159" w:type="dxa"/>
            <w:shd w:val="clear" w:color="auto" w:fill="C5EECE"/>
            <w:tcMar>
              <w:left w:w="57" w:type="dxa"/>
              <w:right w:w="57" w:type="dxa"/>
            </w:tcMar>
          </w:tcPr>
          <w:p w14:paraId="65BB1241" w14:textId="0F89CCFD" w:rsidR="009F596F" w:rsidRPr="000A27B3" w:rsidRDefault="00C5796C" w:rsidP="005E4097">
            <w:pPr>
              <w:spacing w:line="252" w:lineRule="auto"/>
              <w:jc w:val="both"/>
              <w:rPr>
                <w:rFonts w:ascii="Times New Roman" w:hAnsi="Times New Roman" w:cs="Times New Roman"/>
                <w:noProof/>
                <w:sz w:val="24"/>
                <w:szCs w:val="24"/>
              </w:rPr>
            </w:pPr>
            <w:r>
              <w:rPr>
                <w:rFonts w:ascii="Times New Roman" w:hAnsi="Times New Roman"/>
                <w:noProof/>
                <w:sz w:val="24"/>
              </w:rPr>
              <w:t>Centrul de date este înființat și operațional</w:t>
            </w:r>
          </w:p>
        </w:tc>
        <w:tc>
          <w:tcPr>
            <w:tcW w:w="1127" w:type="dxa"/>
            <w:shd w:val="clear" w:color="auto" w:fill="C5EECE"/>
            <w:tcMar>
              <w:left w:w="57" w:type="dxa"/>
              <w:right w:w="57" w:type="dxa"/>
            </w:tcMar>
          </w:tcPr>
          <w:p w14:paraId="54B82F17" w14:textId="14E22573" w:rsidR="009F596F" w:rsidRPr="009F1DC7" w:rsidRDefault="009F596F">
            <w:pPr>
              <w:rPr>
                <w:rFonts w:ascii="Times New Roman" w:eastAsia="Times New Roman" w:hAnsi="Times New Roman" w:cs="Times New Roman"/>
                <w:noProof/>
                <w:sz w:val="24"/>
                <w:szCs w:val="24"/>
                <w:lang w:val="fr-FR"/>
              </w:rPr>
            </w:pPr>
          </w:p>
        </w:tc>
        <w:tc>
          <w:tcPr>
            <w:tcW w:w="1794" w:type="dxa"/>
            <w:shd w:val="clear" w:color="auto" w:fill="C5EECE"/>
            <w:tcMar>
              <w:left w:w="57" w:type="dxa"/>
              <w:right w:w="57" w:type="dxa"/>
            </w:tcMar>
          </w:tcPr>
          <w:p w14:paraId="38F35947" w14:textId="492627CA" w:rsidR="009F596F" w:rsidRPr="009F1DC7" w:rsidRDefault="009F596F">
            <w:pPr>
              <w:jc w:val="center"/>
              <w:rPr>
                <w:rFonts w:ascii="Times New Roman" w:eastAsia="Times New Roman" w:hAnsi="Times New Roman" w:cs="Times New Roman"/>
                <w:noProof/>
                <w:sz w:val="24"/>
                <w:szCs w:val="24"/>
                <w:lang w:val="fr-FR"/>
              </w:rPr>
            </w:pPr>
          </w:p>
        </w:tc>
        <w:tc>
          <w:tcPr>
            <w:tcW w:w="1054" w:type="dxa"/>
            <w:shd w:val="clear" w:color="auto" w:fill="C5EECE"/>
            <w:tcMar>
              <w:left w:w="57" w:type="dxa"/>
              <w:right w:w="57" w:type="dxa"/>
            </w:tcMar>
          </w:tcPr>
          <w:p w14:paraId="6AB4BD0D" w14:textId="04E2F7D3" w:rsidR="009F596F" w:rsidRPr="009F1DC7" w:rsidRDefault="009F596F">
            <w:pPr>
              <w:spacing w:line="257" w:lineRule="auto"/>
              <w:jc w:val="center"/>
              <w:rPr>
                <w:rFonts w:ascii="Times New Roman" w:hAnsi="Times New Roman" w:cs="Times New Roman"/>
                <w:noProof/>
                <w:sz w:val="24"/>
                <w:szCs w:val="24"/>
                <w:lang w:val="fr-FR"/>
              </w:rPr>
            </w:pPr>
          </w:p>
        </w:tc>
        <w:tc>
          <w:tcPr>
            <w:tcW w:w="779" w:type="dxa"/>
            <w:shd w:val="clear" w:color="auto" w:fill="C5EECE"/>
            <w:tcMar>
              <w:left w:w="57" w:type="dxa"/>
              <w:right w:w="57" w:type="dxa"/>
            </w:tcMar>
          </w:tcPr>
          <w:p w14:paraId="32C587C5" w14:textId="77777777" w:rsidR="009F596F" w:rsidRPr="000A27B3" w:rsidRDefault="009F596F">
            <w:pPr>
              <w:spacing w:line="252" w:lineRule="auto"/>
              <w:jc w:val="center"/>
              <w:rPr>
                <w:rFonts w:ascii="Times New Roman" w:hAnsi="Times New Roman" w:cs="Times New Roman"/>
                <w:noProof/>
                <w:sz w:val="24"/>
                <w:szCs w:val="24"/>
              </w:rPr>
            </w:pPr>
            <w:r>
              <w:rPr>
                <w:rFonts w:ascii="Times New Roman" w:hAnsi="Times New Roman"/>
                <w:noProof/>
                <w:sz w:val="24"/>
              </w:rPr>
              <w:t>T1</w:t>
            </w:r>
          </w:p>
          <w:p w14:paraId="5EF6678E" w14:textId="77777777" w:rsidR="009F596F" w:rsidRPr="000A27B3" w:rsidRDefault="009F596F">
            <w:pPr>
              <w:jc w:val="center"/>
              <w:rPr>
                <w:rFonts w:ascii="Times New Roman" w:eastAsia="Times New Roman" w:hAnsi="Times New Roman" w:cs="Times New Roman"/>
                <w:noProof/>
                <w:sz w:val="24"/>
                <w:szCs w:val="24"/>
                <w:lang w:val="en-GB"/>
              </w:rPr>
            </w:pPr>
          </w:p>
        </w:tc>
        <w:tc>
          <w:tcPr>
            <w:tcW w:w="1003" w:type="dxa"/>
            <w:shd w:val="clear" w:color="auto" w:fill="C5EECE"/>
            <w:tcMar>
              <w:left w:w="57" w:type="dxa"/>
              <w:right w:w="57" w:type="dxa"/>
            </w:tcMar>
          </w:tcPr>
          <w:p w14:paraId="2DEFAE5E" w14:textId="77777777" w:rsidR="009F596F" w:rsidRPr="000A27B3" w:rsidRDefault="009F596F">
            <w:pPr>
              <w:spacing w:line="252" w:lineRule="auto"/>
              <w:jc w:val="center"/>
              <w:rPr>
                <w:rFonts w:ascii="Times New Roman" w:hAnsi="Times New Roman" w:cs="Times New Roman"/>
                <w:noProof/>
                <w:sz w:val="24"/>
                <w:szCs w:val="24"/>
              </w:rPr>
            </w:pPr>
            <w:r>
              <w:rPr>
                <w:rFonts w:ascii="Times New Roman" w:hAnsi="Times New Roman"/>
                <w:noProof/>
                <w:sz w:val="24"/>
              </w:rPr>
              <w:t>2026</w:t>
            </w:r>
          </w:p>
          <w:p w14:paraId="5F0128AF" w14:textId="77777777" w:rsidR="009F596F" w:rsidRPr="000A27B3" w:rsidRDefault="009F596F">
            <w:pPr>
              <w:rPr>
                <w:rFonts w:ascii="Times New Roman" w:eastAsia="Times New Roman" w:hAnsi="Times New Roman" w:cs="Times New Roman"/>
                <w:noProof/>
                <w:sz w:val="24"/>
                <w:szCs w:val="24"/>
                <w:lang w:val="en-GB"/>
              </w:rPr>
            </w:pPr>
          </w:p>
        </w:tc>
        <w:tc>
          <w:tcPr>
            <w:tcW w:w="2215" w:type="dxa"/>
            <w:shd w:val="clear" w:color="auto" w:fill="C5EECE"/>
            <w:tcMar>
              <w:left w:w="57" w:type="dxa"/>
              <w:right w:w="57" w:type="dxa"/>
            </w:tcMar>
          </w:tcPr>
          <w:p w14:paraId="4A82A7ED" w14:textId="77777777" w:rsidR="009F596F" w:rsidRPr="000A27B3" w:rsidRDefault="009F596F">
            <w:pPr>
              <w:spacing w:line="252" w:lineRule="auto"/>
              <w:jc w:val="both"/>
              <w:rPr>
                <w:rFonts w:ascii="Times New Roman" w:hAnsi="Times New Roman" w:cs="Times New Roman"/>
                <w:noProof/>
                <w:sz w:val="24"/>
                <w:szCs w:val="24"/>
              </w:rPr>
            </w:pPr>
            <w:r>
              <w:rPr>
                <w:rFonts w:ascii="Times New Roman" w:hAnsi="Times New Roman"/>
                <w:noProof/>
                <w:sz w:val="24"/>
              </w:rPr>
              <w:t>Centrul de date Teletrans este pe deplin operațional. Centrul de date va respecta Codul european de conduită privind eficiența energetică a centrelor de date.</w:t>
            </w:r>
          </w:p>
        </w:tc>
      </w:tr>
    </w:tbl>
    <w:p w14:paraId="3922E8D8" w14:textId="77777777" w:rsidR="009F596F" w:rsidRPr="009F1DC7" w:rsidRDefault="009F596F">
      <w:pPr>
        <w:spacing w:before="20" w:after="20" w:line="257" w:lineRule="auto"/>
        <w:jc w:val="both"/>
        <w:rPr>
          <w:rFonts w:ascii="Times New Roman" w:eastAsia="Times New Roman" w:hAnsi="Times New Roman" w:cs="Times New Roman"/>
          <w:noProof/>
          <w:sz w:val="24"/>
          <w:szCs w:val="24"/>
          <w:lang w:val="fr-FR"/>
        </w:rPr>
      </w:pPr>
    </w:p>
    <w:p w14:paraId="0B4B6689" w14:textId="77777777" w:rsidR="009F596F" w:rsidRPr="009F1DC7" w:rsidRDefault="009F596F">
      <w:pPr>
        <w:spacing w:before="20" w:after="20" w:line="257" w:lineRule="auto"/>
        <w:jc w:val="both"/>
        <w:rPr>
          <w:rFonts w:ascii="Times New Roman" w:eastAsia="Times New Roman" w:hAnsi="Times New Roman" w:cs="Times New Roman"/>
          <w:noProof/>
          <w:sz w:val="24"/>
          <w:szCs w:val="24"/>
          <w:lang w:val="fr-FR"/>
        </w:rPr>
        <w:sectPr w:rsidR="009F596F" w:rsidRPr="009F1DC7">
          <w:headerReference w:type="even" r:id="rId331"/>
          <w:headerReference w:type="default" r:id="rId332"/>
          <w:footerReference w:type="even" r:id="rId333"/>
          <w:footerReference w:type="default" r:id="rId334"/>
          <w:headerReference w:type="first" r:id="rId335"/>
          <w:footerReference w:type="first" r:id="rId336"/>
          <w:pgSz w:w="15840" w:h="12240" w:orient="landscape" w:code="1"/>
          <w:pgMar w:top="1440" w:right="1440" w:bottom="1440" w:left="1440" w:header="720" w:footer="720" w:gutter="0"/>
          <w:cols w:space="720"/>
          <w:docGrid w:linePitch="360"/>
        </w:sectPr>
      </w:pPr>
    </w:p>
    <w:p w14:paraId="66A954DB" w14:textId="6A08A344" w:rsidR="009F596F" w:rsidRPr="000A27B3" w:rsidRDefault="00166183" w:rsidP="00DF561E">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P.3. Descrierea reformelor și a investițiilor pentru împrumut</w:t>
      </w:r>
    </w:p>
    <w:p w14:paraId="09295384" w14:textId="106D72D6"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 xml:space="preserve">Reforma 2. Înființarea de ghișee unice pentru furnizarea către prosumatori de servicii de consiliere în domeniul energiei pentru renovările ce vizează eficiența energetică și producția de energie din surse regenerabile </w:t>
      </w:r>
    </w:p>
    <w:p w14:paraId="1175AF65" w14:textId="32AD2230"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Această reformă vizează crearea de birouri specializate care să servească drept ghișee unice ce vor oferi servicii de consiliere în domeniul energiei pentru renovările ce vizează eficiența energetică și instalarea de noi unități pentru producerea de energie din surse regenerabile. Reforma urmărește să informeze proprietarii de locuințe cu privire la beneficiile renovărilor ce vizează eficiența energetică și ale instalării de unități de producție de energie din surse regenerabile, să ofere informații generale cu privire la aspectele practice și oportunitățile de sprijin și, prin urmare, să faciliteze lucrările de renovare ce vizează eficiența energetică și instalarea de unități de producție de energie din surse regenerabile. Reforma va institui, de asemenea, un punct de contact online care să servească drept punct de contact unic pentru orientarea elaborării documentației necesare pentru renovările ce vizează eficiența energetică și instalarea de unități de producție de energie din surse regenerabile, în special pentru consumatorii de energie vulnerabili și cei afectați de sărăcia energetică.</w:t>
      </w:r>
    </w:p>
    <w:p w14:paraId="6AD67142" w14:textId="6419B154"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reformei va fi finalizată până la 31 martie 2024.</w:t>
      </w:r>
    </w:p>
    <w:p w14:paraId="3FC3DA53" w14:textId="77777777"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Investiția 6: Proiect-pilot pentru instalarea a 20 MW de panouri solare plutitoare pe canalele de irigații</w:t>
      </w:r>
    </w:p>
    <w:p w14:paraId="579B8AFA" w14:textId="48B4BDCE" w:rsidR="009F596F" w:rsidRPr="000A27B3" w:rsidRDefault="009F596F">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Obiectivul investiției este instalarea și conectarea la rețeaua de energie electrică a 20 MW de panouri solare plutitoare pe canalele de irigații deja reamenajate (și anume rețeaua canalului de irigații Gălățui – Călărași) deținute de stat. Investiția este realizată de Agenția Națională de Îmbunătățiri Funciare. </w:t>
      </w:r>
    </w:p>
    <w:p w14:paraId="052F7716"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31 decembrie 2025.</w:t>
      </w:r>
    </w:p>
    <w:p w14:paraId="08F82771" w14:textId="2C887FBD" w:rsidR="009F596F" w:rsidRPr="000A27B3" w:rsidRDefault="009F596F">
      <w:pPr>
        <w:spacing w:before="120" w:after="120" w:line="240" w:lineRule="auto"/>
        <w:jc w:val="both"/>
        <w:rPr>
          <w:rFonts w:ascii="Times New Roman" w:eastAsia="Times New Roman" w:hAnsi="Times New Roman" w:cs="Times New Roman"/>
          <w:noProof/>
          <w:sz w:val="24"/>
          <w:szCs w:val="24"/>
          <w:u w:val="single"/>
        </w:rPr>
      </w:pPr>
      <w:r>
        <w:rPr>
          <w:rFonts w:ascii="Times New Roman" w:hAnsi="Times New Roman"/>
          <w:noProof/>
          <w:sz w:val="24"/>
          <w:u w:val="single"/>
        </w:rPr>
        <w:t>Investiția 7: Schema de granturi sub formă de bonuri valorice pentru îmbunătățirea eficienței energetice a gospodăriilor</w:t>
      </w:r>
    </w:p>
    <w:p w14:paraId="330DC01E" w14:textId="277712EE"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Această investiție vizează reducerea cererii de energie primară prin furnizarea de sprijin financiar proprietarilor de locuințe sub formă de bonuri valorice pentru renovarea locuințelor lor în vederea îmbunătățirii eficienței energetice a acestora. Fiecare renovare trebuie să ducă la economii de energie primară de cel puțin 30 % față de starea anterioară renovării. Locuințele clasificate în clasele de risc seismic RsI și RsII sunt excluse de la finanțarea intervențiilor în materie de eficiență energetică. Numai clădirile din categoriile de eficiență energetică G, F, E și D sunt eligibile.</w:t>
      </w:r>
    </w:p>
    <w:p w14:paraId="318FFCDE"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Investiția se va efectua de a lungul a două axe:</w:t>
      </w:r>
    </w:p>
    <w:p w14:paraId="7BE48C70" w14:textId="2567CDDC" w:rsidR="009F596F" w:rsidRPr="000A27B3" w:rsidRDefault="009F596F" w:rsidP="00242777">
      <w:pPr>
        <w:pStyle w:val="ListParagraph"/>
        <w:numPr>
          <w:ilvl w:val="0"/>
          <w:numId w:val="131"/>
        </w:numPr>
        <w:jc w:val="both"/>
        <w:rPr>
          <w:rFonts w:ascii="Times New Roman" w:eastAsia="Times New Roman" w:hAnsi="Times New Roman" w:cs="Times New Roman"/>
          <w:noProof/>
          <w:sz w:val="24"/>
          <w:szCs w:val="24"/>
        </w:rPr>
      </w:pPr>
      <w:r>
        <w:rPr>
          <w:rFonts w:ascii="Times New Roman" w:hAnsi="Times New Roman"/>
          <w:noProof/>
          <w:sz w:val="24"/>
        </w:rPr>
        <w:t xml:space="preserve">axa I – renovare combinată ce vizează eficiența energetică și instalarea de panouri solare pe clădirile rezidențiale unifamiliale, numai pentru gospodăriile sărace din punct de vedere energetic și pentru consumatorii de energie vulnerabili. Fiecare renovare ce vizează eficiența energetică este completată de instalarea de panouri solare cu o capacitate netă de cel puțin 3 kW, care sunt conectate la rețea. </w:t>
      </w:r>
      <w:bookmarkStart w:id="20" w:name="_Hlk150509306"/>
      <w:r>
        <w:rPr>
          <w:rFonts w:ascii="Times New Roman" w:hAnsi="Times New Roman"/>
          <w:noProof/>
          <w:sz w:val="24"/>
        </w:rPr>
        <w:t xml:space="preserve">Bonurile valorice se limitează la o contribuție financiară maximă de 14 000 EUR pentru îmbunătățirea eficienței energetice, de 5 000 EUR pentru instalarea de panouri solare și de 1 200 EUR pentru certificatele de performanță energetică și auditurile energetice; </w:t>
      </w:r>
    </w:p>
    <w:bookmarkEnd w:id="20"/>
    <w:p w14:paraId="09ECA2F2" w14:textId="3621EC66" w:rsidR="009F596F" w:rsidRPr="000A27B3" w:rsidRDefault="009F596F" w:rsidP="00242777">
      <w:pPr>
        <w:pStyle w:val="ListParagraph"/>
        <w:numPr>
          <w:ilvl w:val="0"/>
          <w:numId w:val="131"/>
        </w:numPr>
        <w:jc w:val="both"/>
        <w:rPr>
          <w:rFonts w:ascii="Times New Roman" w:eastAsia="Times New Roman" w:hAnsi="Times New Roman" w:cs="Times New Roman"/>
          <w:noProof/>
          <w:sz w:val="24"/>
          <w:szCs w:val="24"/>
        </w:rPr>
      </w:pPr>
      <w:r>
        <w:rPr>
          <w:rFonts w:ascii="Times New Roman" w:hAnsi="Times New Roman"/>
          <w:noProof/>
          <w:sz w:val="24"/>
        </w:rPr>
        <w:t>axa II – renovare ce vizează eficiența energetică a clădirilor rezidențiale unifamiliale. Bonurile valorice se limitează la o contribuție financiară maximă de 14 000 EUR pentru îmbunătățirea eficienței energetice și de 100 EUR pentru certificatele de performanță energetică.</w:t>
      </w:r>
    </w:p>
    <w:p w14:paraId="5633D3F0" w14:textId="3C2F7CB3"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Cererile de propuneri din cadrul axei II se lansează după cele lansate în cadrul axei I. Cel puțin 50 % din bugetul măsurii este alocat axei I. </w:t>
      </w:r>
    </w:p>
    <w:p w14:paraId="1D56769B" w14:textId="77777777" w:rsidR="009F596F" w:rsidRPr="000A27B3" w:rsidRDefault="009F596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Implementarea investiției va fi finalizată până la 31 august 2026.</w:t>
      </w:r>
    </w:p>
    <w:p w14:paraId="1910D8AD" w14:textId="77777777" w:rsidR="009F596F" w:rsidRPr="009F1DC7" w:rsidRDefault="009F596F">
      <w:pPr>
        <w:spacing w:before="120" w:after="120" w:line="240" w:lineRule="auto"/>
        <w:jc w:val="both"/>
        <w:rPr>
          <w:rFonts w:ascii="Times New Roman" w:eastAsia="Times New Roman" w:hAnsi="Times New Roman" w:cs="Times New Roman"/>
          <w:b/>
          <w:bCs/>
          <w:noProof/>
          <w:u w:val="single"/>
          <w:lang w:val="fr-FR"/>
        </w:rPr>
        <w:sectPr w:rsidR="009F596F" w:rsidRPr="009F1DC7">
          <w:headerReference w:type="even" r:id="rId337"/>
          <w:headerReference w:type="default" r:id="rId338"/>
          <w:footerReference w:type="even" r:id="rId339"/>
          <w:footerReference w:type="default" r:id="rId340"/>
          <w:headerReference w:type="first" r:id="rId341"/>
          <w:footerReference w:type="first" r:id="rId342"/>
          <w:pgSz w:w="12240" w:h="15840" w:code="1"/>
          <w:pgMar w:top="1440" w:right="1440" w:bottom="1440" w:left="1440" w:header="720" w:footer="720" w:gutter="0"/>
          <w:cols w:space="720"/>
          <w:docGrid w:linePitch="360"/>
        </w:sectPr>
      </w:pPr>
    </w:p>
    <w:p w14:paraId="36551973" w14:textId="6644B6D8" w:rsidR="009F596F" w:rsidRPr="000A27B3" w:rsidRDefault="00DF561E" w:rsidP="00DF561E">
      <w:pPr>
        <w:keepNext/>
        <w:spacing w:before="120" w:after="120" w:line="240" w:lineRule="auto"/>
        <w:jc w:val="both"/>
        <w:outlineLvl w:val="1"/>
        <w:rPr>
          <w:rFonts w:ascii="Times New Roman" w:eastAsiaTheme="majorEastAsia" w:hAnsi="Times New Roman" w:cs="Times New Roman"/>
          <w:b/>
          <w:bCs/>
          <w:noProof/>
          <w:sz w:val="24"/>
          <w:szCs w:val="24"/>
        </w:rPr>
      </w:pPr>
      <w:r>
        <w:rPr>
          <w:rFonts w:ascii="Times New Roman" w:hAnsi="Times New Roman"/>
          <w:b/>
          <w:noProof/>
          <w:sz w:val="24"/>
        </w:rPr>
        <w:t>P.4. Jaloane, ținte, indicatori și calendarul de monitorizare și implementare aplicabile împrumutului</w:t>
      </w:r>
    </w:p>
    <w:tbl>
      <w:tblPr>
        <w:tblW w:w="149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1208"/>
        <w:gridCol w:w="2151"/>
        <w:gridCol w:w="904"/>
        <w:gridCol w:w="1420"/>
        <w:gridCol w:w="1434"/>
        <w:gridCol w:w="1122"/>
        <w:gridCol w:w="1493"/>
        <w:gridCol w:w="923"/>
        <w:gridCol w:w="1194"/>
        <w:gridCol w:w="762"/>
        <w:gridCol w:w="2346"/>
      </w:tblGrid>
      <w:tr w:rsidR="00D1375D" w:rsidRPr="000A27B3" w14:paraId="780FC657" w14:textId="77777777" w:rsidTr="00B479F4">
        <w:trPr>
          <w:trHeight w:val="585"/>
          <w:tblHeader/>
        </w:trPr>
        <w:tc>
          <w:tcPr>
            <w:tcW w:w="1208" w:type="dxa"/>
            <w:vMerge w:val="restart"/>
            <w:shd w:val="clear" w:color="auto" w:fill="C5D9F0"/>
            <w:tcMar>
              <w:left w:w="57" w:type="dxa"/>
              <w:right w:w="57" w:type="dxa"/>
            </w:tcMar>
            <w:vAlign w:val="center"/>
          </w:tcPr>
          <w:p w14:paraId="79BE17E2" w14:textId="77777777" w:rsidR="009F596F" w:rsidRPr="000A27B3" w:rsidRDefault="009F596F">
            <w:pPr>
              <w:spacing w:after="0" w:line="245" w:lineRule="auto"/>
              <w:jc w:val="center"/>
              <w:rPr>
                <w:rFonts w:ascii="Times New Roman" w:hAnsi="Times New Roman" w:cs="Times New Roman"/>
                <w:noProof/>
                <w:sz w:val="19"/>
                <w:szCs w:val="19"/>
              </w:rPr>
            </w:pPr>
            <w:r>
              <w:rPr>
                <w:rFonts w:ascii="Times New Roman" w:hAnsi="Times New Roman"/>
                <w:b/>
                <w:noProof/>
                <w:sz w:val="19"/>
              </w:rPr>
              <w:t>Număr secvențial</w:t>
            </w:r>
          </w:p>
        </w:tc>
        <w:tc>
          <w:tcPr>
            <w:tcW w:w="2151" w:type="dxa"/>
            <w:vMerge w:val="restart"/>
            <w:shd w:val="clear" w:color="auto" w:fill="C5D9F0"/>
            <w:tcMar>
              <w:left w:w="57" w:type="dxa"/>
              <w:right w:w="57" w:type="dxa"/>
            </w:tcMar>
            <w:vAlign w:val="center"/>
          </w:tcPr>
          <w:p w14:paraId="0CA72168" w14:textId="76957738" w:rsidR="009F596F" w:rsidRPr="000A27B3" w:rsidRDefault="009F596F" w:rsidP="008229AE">
            <w:pPr>
              <w:spacing w:after="0" w:line="252" w:lineRule="auto"/>
              <w:jc w:val="center"/>
              <w:rPr>
                <w:rFonts w:ascii="Times New Roman" w:hAnsi="Times New Roman" w:cs="Times New Roman"/>
                <w:noProof/>
                <w:sz w:val="19"/>
                <w:szCs w:val="19"/>
              </w:rPr>
            </w:pPr>
            <w:r>
              <w:rPr>
                <w:rFonts w:ascii="Times New Roman" w:hAnsi="Times New Roman"/>
                <w:b/>
                <w:noProof/>
                <w:sz w:val="19"/>
              </w:rPr>
              <w:t>Măsură</w:t>
            </w:r>
          </w:p>
        </w:tc>
        <w:tc>
          <w:tcPr>
            <w:tcW w:w="904" w:type="dxa"/>
            <w:vMerge w:val="restart"/>
            <w:shd w:val="clear" w:color="auto" w:fill="C5D9F0"/>
            <w:tcMar>
              <w:left w:w="57" w:type="dxa"/>
              <w:right w:w="57" w:type="dxa"/>
            </w:tcMar>
            <w:vAlign w:val="center"/>
          </w:tcPr>
          <w:p w14:paraId="02B94044" w14:textId="77777777" w:rsidR="009F596F" w:rsidRPr="000A27B3" w:rsidRDefault="009F596F">
            <w:pPr>
              <w:spacing w:before="142" w:after="0"/>
              <w:jc w:val="center"/>
              <w:rPr>
                <w:rFonts w:ascii="Times New Roman" w:hAnsi="Times New Roman" w:cs="Times New Roman"/>
                <w:noProof/>
                <w:sz w:val="19"/>
                <w:szCs w:val="19"/>
              </w:rPr>
            </w:pPr>
            <w:r>
              <w:rPr>
                <w:rFonts w:ascii="Times New Roman" w:hAnsi="Times New Roman"/>
                <w:b/>
                <w:noProof/>
                <w:sz w:val="19"/>
              </w:rPr>
              <w:t>Jalon</w:t>
            </w:r>
            <w:r>
              <w:rPr>
                <w:noProof/>
              </w:rPr>
              <w:t xml:space="preserve"> </w:t>
            </w:r>
            <w:r>
              <w:rPr>
                <w:noProof/>
              </w:rPr>
              <w:br/>
            </w:r>
            <w:r>
              <w:rPr>
                <w:rFonts w:ascii="Times New Roman" w:hAnsi="Times New Roman"/>
                <w:b/>
                <w:noProof/>
                <w:sz w:val="19"/>
              </w:rPr>
              <w:t>/ țintă</w:t>
            </w:r>
          </w:p>
        </w:tc>
        <w:tc>
          <w:tcPr>
            <w:tcW w:w="1420" w:type="dxa"/>
            <w:vMerge w:val="restart"/>
            <w:shd w:val="clear" w:color="auto" w:fill="C5D9F0"/>
            <w:tcMar>
              <w:left w:w="57" w:type="dxa"/>
              <w:right w:w="57" w:type="dxa"/>
            </w:tcMar>
            <w:vAlign w:val="center"/>
          </w:tcPr>
          <w:p w14:paraId="17E32DFF" w14:textId="77777777" w:rsidR="009F596F" w:rsidRPr="000A27B3" w:rsidRDefault="009F596F">
            <w:pPr>
              <w:spacing w:before="4" w:after="0" w:line="257" w:lineRule="auto"/>
              <w:jc w:val="center"/>
              <w:rPr>
                <w:rFonts w:ascii="Times New Roman" w:hAnsi="Times New Roman" w:cs="Times New Roman"/>
                <w:noProof/>
                <w:sz w:val="19"/>
                <w:szCs w:val="19"/>
              </w:rPr>
            </w:pPr>
            <w:r>
              <w:rPr>
                <w:rFonts w:ascii="Times New Roman" w:hAnsi="Times New Roman"/>
                <w:b/>
                <w:noProof/>
                <w:sz w:val="19"/>
              </w:rPr>
              <w:t>Denumire</w:t>
            </w:r>
          </w:p>
        </w:tc>
        <w:tc>
          <w:tcPr>
            <w:tcW w:w="1434" w:type="dxa"/>
            <w:vMerge w:val="restart"/>
            <w:shd w:val="clear" w:color="auto" w:fill="C5D9F0"/>
            <w:tcMar>
              <w:left w:w="57" w:type="dxa"/>
              <w:right w:w="57" w:type="dxa"/>
            </w:tcMar>
            <w:vAlign w:val="center"/>
          </w:tcPr>
          <w:p w14:paraId="01685973" w14:textId="77777777" w:rsidR="009F596F" w:rsidRPr="000A27B3" w:rsidRDefault="009F596F">
            <w:pPr>
              <w:spacing w:before="1" w:after="0" w:line="242" w:lineRule="auto"/>
              <w:ind w:firstLine="45"/>
              <w:jc w:val="center"/>
              <w:rPr>
                <w:rFonts w:ascii="Times New Roman" w:hAnsi="Times New Roman" w:cs="Times New Roman"/>
                <w:noProof/>
                <w:sz w:val="19"/>
                <w:szCs w:val="19"/>
              </w:rPr>
            </w:pPr>
            <w:r>
              <w:rPr>
                <w:rFonts w:ascii="Times New Roman" w:hAnsi="Times New Roman"/>
                <w:b/>
                <w:noProof/>
                <w:sz w:val="19"/>
              </w:rPr>
              <w:t>Indicator calitativ (pentru jaloane)</w:t>
            </w:r>
          </w:p>
        </w:tc>
        <w:tc>
          <w:tcPr>
            <w:tcW w:w="3538" w:type="dxa"/>
            <w:gridSpan w:val="3"/>
            <w:shd w:val="clear" w:color="auto" w:fill="C5D9F0"/>
            <w:tcMar>
              <w:left w:w="57" w:type="dxa"/>
              <w:right w:w="57" w:type="dxa"/>
            </w:tcMar>
            <w:vAlign w:val="center"/>
          </w:tcPr>
          <w:p w14:paraId="1B3C31AC" w14:textId="6FAF3D2A" w:rsidR="009F596F" w:rsidRPr="000A27B3" w:rsidRDefault="009F596F">
            <w:pPr>
              <w:spacing w:before="142" w:after="0" w:line="223" w:lineRule="auto"/>
              <w:jc w:val="center"/>
              <w:rPr>
                <w:rFonts w:ascii="Times New Roman" w:hAnsi="Times New Roman" w:cs="Times New Roman"/>
                <w:noProof/>
                <w:sz w:val="19"/>
                <w:szCs w:val="19"/>
              </w:rPr>
            </w:pPr>
            <w:r>
              <w:rPr>
                <w:rFonts w:ascii="Times New Roman" w:hAnsi="Times New Roman"/>
                <w:b/>
                <w:noProof/>
                <w:sz w:val="19"/>
              </w:rPr>
              <w:t>Indicator cantitativ</w:t>
            </w:r>
            <w:r w:rsidR="004C4C72">
              <w:rPr>
                <w:rFonts w:ascii="Times New Roman" w:hAnsi="Times New Roman"/>
                <w:b/>
                <w:noProof/>
                <w:sz w:val="19"/>
              </w:rPr>
              <w:t xml:space="preserve"> </w:t>
            </w:r>
            <w:r>
              <w:rPr>
                <w:noProof/>
              </w:rPr>
              <w:br/>
            </w:r>
            <w:r>
              <w:rPr>
                <w:rFonts w:ascii="Times New Roman" w:hAnsi="Times New Roman"/>
                <w:b/>
                <w:noProof/>
                <w:sz w:val="19"/>
              </w:rPr>
              <w:t>(pentru țintă)</w:t>
            </w:r>
          </w:p>
        </w:tc>
        <w:tc>
          <w:tcPr>
            <w:tcW w:w="1956" w:type="dxa"/>
            <w:gridSpan w:val="2"/>
            <w:shd w:val="clear" w:color="auto" w:fill="C5D9F0"/>
            <w:tcMar>
              <w:left w:w="57" w:type="dxa"/>
              <w:right w:w="57" w:type="dxa"/>
            </w:tcMar>
            <w:vAlign w:val="center"/>
          </w:tcPr>
          <w:p w14:paraId="13D29787" w14:textId="139EBD25" w:rsidR="009F596F" w:rsidRPr="000A27B3" w:rsidRDefault="009F596F" w:rsidP="008229AE">
            <w:pPr>
              <w:spacing w:before="3"/>
              <w:jc w:val="center"/>
              <w:rPr>
                <w:rFonts w:ascii="Times New Roman" w:hAnsi="Times New Roman" w:cs="Times New Roman"/>
                <w:noProof/>
                <w:sz w:val="19"/>
                <w:szCs w:val="19"/>
              </w:rPr>
            </w:pPr>
            <w:r>
              <w:rPr>
                <w:rFonts w:ascii="Times New Roman" w:hAnsi="Times New Roman"/>
                <w:b/>
                <w:noProof/>
                <w:sz w:val="19"/>
              </w:rPr>
              <w:t>Calendar</w:t>
            </w:r>
          </w:p>
        </w:tc>
        <w:tc>
          <w:tcPr>
            <w:tcW w:w="2346" w:type="dxa"/>
            <w:vMerge w:val="restart"/>
            <w:shd w:val="clear" w:color="auto" w:fill="C5D9F0"/>
            <w:tcMar>
              <w:left w:w="57" w:type="dxa"/>
              <w:right w:w="57" w:type="dxa"/>
            </w:tcMar>
            <w:vAlign w:val="center"/>
          </w:tcPr>
          <w:p w14:paraId="110BE2D9" w14:textId="77777777" w:rsidR="009F596F" w:rsidRPr="000A27B3" w:rsidRDefault="009F596F">
            <w:pPr>
              <w:spacing w:before="6" w:after="0"/>
              <w:jc w:val="center"/>
              <w:rPr>
                <w:rFonts w:ascii="Times New Roman" w:hAnsi="Times New Roman" w:cs="Times New Roman"/>
                <w:noProof/>
                <w:sz w:val="19"/>
                <w:szCs w:val="19"/>
              </w:rPr>
            </w:pPr>
            <w:r>
              <w:rPr>
                <w:rFonts w:ascii="Times New Roman" w:hAnsi="Times New Roman"/>
                <w:noProof/>
                <w:sz w:val="19"/>
              </w:rPr>
              <w:t xml:space="preserve"> </w:t>
            </w:r>
          </w:p>
          <w:p w14:paraId="100A5948" w14:textId="77777777" w:rsidR="009F596F" w:rsidRPr="000A27B3" w:rsidRDefault="009F596F">
            <w:pPr>
              <w:spacing w:after="0"/>
              <w:jc w:val="center"/>
              <w:rPr>
                <w:rFonts w:ascii="Times New Roman" w:hAnsi="Times New Roman" w:cs="Times New Roman"/>
                <w:noProof/>
                <w:sz w:val="19"/>
                <w:szCs w:val="19"/>
              </w:rPr>
            </w:pPr>
            <w:r>
              <w:rPr>
                <w:rFonts w:ascii="Times New Roman" w:hAnsi="Times New Roman"/>
                <w:b/>
                <w:noProof/>
                <w:sz w:val="19"/>
              </w:rPr>
              <w:t>Descrierea fiecărui jalon și a fiecărei ținte</w:t>
            </w:r>
          </w:p>
        </w:tc>
      </w:tr>
      <w:tr w:rsidR="00D1375D" w:rsidRPr="000A27B3" w14:paraId="42E750B6" w14:textId="77777777" w:rsidTr="00B479F4">
        <w:trPr>
          <w:trHeight w:val="585"/>
          <w:tblHeader/>
        </w:trPr>
        <w:tc>
          <w:tcPr>
            <w:tcW w:w="1208" w:type="dxa"/>
            <w:vMerge/>
            <w:tcMar>
              <w:left w:w="57" w:type="dxa"/>
              <w:right w:w="57" w:type="dxa"/>
            </w:tcMar>
            <w:vAlign w:val="center"/>
          </w:tcPr>
          <w:p w14:paraId="1038F7BC" w14:textId="77777777" w:rsidR="009F596F" w:rsidRPr="009F1DC7" w:rsidRDefault="009F596F">
            <w:pPr>
              <w:rPr>
                <w:rFonts w:ascii="Times New Roman" w:hAnsi="Times New Roman" w:cs="Times New Roman"/>
                <w:noProof/>
                <w:sz w:val="19"/>
                <w:szCs w:val="19"/>
              </w:rPr>
            </w:pPr>
          </w:p>
        </w:tc>
        <w:tc>
          <w:tcPr>
            <w:tcW w:w="2151" w:type="dxa"/>
            <w:vMerge/>
            <w:tcMar>
              <w:left w:w="57" w:type="dxa"/>
              <w:right w:w="57" w:type="dxa"/>
            </w:tcMar>
            <w:vAlign w:val="center"/>
          </w:tcPr>
          <w:p w14:paraId="7484B226" w14:textId="77777777" w:rsidR="009F596F" w:rsidRPr="009F1DC7" w:rsidRDefault="009F596F">
            <w:pPr>
              <w:rPr>
                <w:rFonts w:ascii="Times New Roman" w:hAnsi="Times New Roman" w:cs="Times New Roman"/>
                <w:noProof/>
                <w:sz w:val="19"/>
                <w:szCs w:val="19"/>
              </w:rPr>
            </w:pPr>
          </w:p>
        </w:tc>
        <w:tc>
          <w:tcPr>
            <w:tcW w:w="904" w:type="dxa"/>
            <w:vMerge/>
            <w:tcMar>
              <w:left w:w="57" w:type="dxa"/>
              <w:right w:w="57" w:type="dxa"/>
            </w:tcMar>
            <w:vAlign w:val="center"/>
          </w:tcPr>
          <w:p w14:paraId="21B34741" w14:textId="77777777" w:rsidR="009F596F" w:rsidRPr="009F1DC7" w:rsidRDefault="009F596F">
            <w:pPr>
              <w:rPr>
                <w:rFonts w:ascii="Times New Roman" w:hAnsi="Times New Roman" w:cs="Times New Roman"/>
                <w:noProof/>
                <w:sz w:val="19"/>
                <w:szCs w:val="19"/>
              </w:rPr>
            </w:pPr>
          </w:p>
        </w:tc>
        <w:tc>
          <w:tcPr>
            <w:tcW w:w="1420" w:type="dxa"/>
            <w:vMerge/>
            <w:tcMar>
              <w:left w:w="57" w:type="dxa"/>
              <w:right w:w="57" w:type="dxa"/>
            </w:tcMar>
            <w:vAlign w:val="center"/>
          </w:tcPr>
          <w:p w14:paraId="75C14E5E" w14:textId="77777777" w:rsidR="009F596F" w:rsidRPr="009F1DC7" w:rsidRDefault="009F596F">
            <w:pPr>
              <w:rPr>
                <w:rFonts w:ascii="Times New Roman" w:hAnsi="Times New Roman" w:cs="Times New Roman"/>
                <w:noProof/>
                <w:sz w:val="19"/>
                <w:szCs w:val="19"/>
              </w:rPr>
            </w:pPr>
          </w:p>
        </w:tc>
        <w:tc>
          <w:tcPr>
            <w:tcW w:w="1434" w:type="dxa"/>
            <w:vMerge/>
            <w:tcMar>
              <w:left w:w="57" w:type="dxa"/>
              <w:right w:w="57" w:type="dxa"/>
            </w:tcMar>
            <w:vAlign w:val="center"/>
          </w:tcPr>
          <w:p w14:paraId="13E8707A" w14:textId="77777777" w:rsidR="009F596F" w:rsidRPr="009F1DC7" w:rsidRDefault="009F596F">
            <w:pPr>
              <w:rPr>
                <w:rFonts w:ascii="Times New Roman" w:hAnsi="Times New Roman" w:cs="Times New Roman"/>
                <w:noProof/>
                <w:sz w:val="19"/>
                <w:szCs w:val="19"/>
              </w:rPr>
            </w:pPr>
          </w:p>
        </w:tc>
        <w:tc>
          <w:tcPr>
            <w:tcW w:w="1122" w:type="dxa"/>
            <w:shd w:val="clear" w:color="auto" w:fill="C5D9F0"/>
            <w:tcMar>
              <w:left w:w="57" w:type="dxa"/>
              <w:right w:w="57" w:type="dxa"/>
            </w:tcMar>
            <w:vAlign w:val="center"/>
          </w:tcPr>
          <w:p w14:paraId="572FA367" w14:textId="77777777" w:rsidR="009F596F" w:rsidRPr="000A27B3" w:rsidRDefault="009F596F">
            <w:pPr>
              <w:spacing w:before="142" w:after="0" w:line="223" w:lineRule="auto"/>
              <w:jc w:val="center"/>
              <w:rPr>
                <w:rFonts w:ascii="Times New Roman" w:hAnsi="Times New Roman" w:cs="Times New Roman"/>
                <w:noProof/>
                <w:sz w:val="19"/>
                <w:szCs w:val="19"/>
              </w:rPr>
            </w:pPr>
            <w:r>
              <w:rPr>
                <w:rFonts w:ascii="Times New Roman" w:hAnsi="Times New Roman"/>
                <w:b/>
                <w:noProof/>
                <w:sz w:val="19"/>
              </w:rPr>
              <w:t>Unitate</w:t>
            </w:r>
          </w:p>
        </w:tc>
        <w:tc>
          <w:tcPr>
            <w:tcW w:w="1493" w:type="dxa"/>
            <w:shd w:val="clear" w:color="auto" w:fill="C5D9F0"/>
            <w:tcMar>
              <w:left w:w="57" w:type="dxa"/>
              <w:right w:w="57" w:type="dxa"/>
            </w:tcMar>
            <w:vAlign w:val="center"/>
          </w:tcPr>
          <w:p w14:paraId="599C9144" w14:textId="77777777" w:rsidR="009F596F" w:rsidRPr="000A27B3" w:rsidRDefault="009F596F">
            <w:pPr>
              <w:spacing w:before="142" w:after="0" w:line="223" w:lineRule="auto"/>
              <w:jc w:val="center"/>
              <w:rPr>
                <w:rFonts w:ascii="Times New Roman" w:hAnsi="Times New Roman" w:cs="Times New Roman"/>
                <w:noProof/>
                <w:sz w:val="19"/>
                <w:szCs w:val="19"/>
              </w:rPr>
            </w:pPr>
            <w:r>
              <w:rPr>
                <w:rFonts w:ascii="Times New Roman" w:hAnsi="Times New Roman"/>
                <w:b/>
                <w:noProof/>
                <w:sz w:val="19"/>
              </w:rPr>
              <w:t>Valoare de referință</w:t>
            </w:r>
          </w:p>
        </w:tc>
        <w:tc>
          <w:tcPr>
            <w:tcW w:w="923" w:type="dxa"/>
            <w:shd w:val="clear" w:color="auto" w:fill="C5D9F0"/>
            <w:tcMar>
              <w:left w:w="57" w:type="dxa"/>
              <w:right w:w="57" w:type="dxa"/>
            </w:tcMar>
            <w:vAlign w:val="center"/>
          </w:tcPr>
          <w:p w14:paraId="667DB84A" w14:textId="77777777" w:rsidR="009F596F" w:rsidRPr="000A27B3" w:rsidRDefault="009F596F">
            <w:pPr>
              <w:spacing w:before="142" w:after="0" w:line="223" w:lineRule="auto"/>
              <w:jc w:val="center"/>
              <w:rPr>
                <w:rFonts w:ascii="Times New Roman" w:hAnsi="Times New Roman" w:cs="Times New Roman"/>
                <w:noProof/>
                <w:sz w:val="19"/>
                <w:szCs w:val="19"/>
              </w:rPr>
            </w:pPr>
            <w:r>
              <w:rPr>
                <w:rFonts w:ascii="Times New Roman" w:hAnsi="Times New Roman"/>
                <w:b/>
                <w:noProof/>
                <w:sz w:val="19"/>
              </w:rPr>
              <w:t>Obiectiv</w:t>
            </w:r>
          </w:p>
        </w:tc>
        <w:tc>
          <w:tcPr>
            <w:tcW w:w="1194" w:type="dxa"/>
            <w:shd w:val="clear" w:color="auto" w:fill="C5D9F0"/>
            <w:tcMar>
              <w:left w:w="57" w:type="dxa"/>
              <w:right w:w="57" w:type="dxa"/>
            </w:tcMar>
            <w:vAlign w:val="center"/>
          </w:tcPr>
          <w:p w14:paraId="15806AEC" w14:textId="77777777" w:rsidR="009F596F" w:rsidRPr="000A27B3" w:rsidRDefault="009F596F" w:rsidP="008229AE">
            <w:pPr>
              <w:spacing w:before="142" w:after="0" w:line="223" w:lineRule="auto"/>
              <w:jc w:val="center"/>
              <w:rPr>
                <w:rFonts w:ascii="Times New Roman" w:eastAsia="Times New Roman" w:hAnsi="Times New Roman" w:cs="Times New Roman"/>
                <w:b/>
                <w:bCs/>
                <w:noProof/>
                <w:sz w:val="19"/>
                <w:szCs w:val="19"/>
              </w:rPr>
            </w:pPr>
            <w:r>
              <w:rPr>
                <w:rFonts w:ascii="Times New Roman" w:hAnsi="Times New Roman"/>
                <w:b/>
                <w:noProof/>
                <w:sz w:val="19"/>
              </w:rPr>
              <w:t>Trimestru</w:t>
            </w:r>
          </w:p>
        </w:tc>
        <w:tc>
          <w:tcPr>
            <w:tcW w:w="762" w:type="dxa"/>
            <w:shd w:val="clear" w:color="auto" w:fill="C5D9F0"/>
            <w:tcMar>
              <w:left w:w="57" w:type="dxa"/>
              <w:right w:w="57" w:type="dxa"/>
            </w:tcMar>
            <w:vAlign w:val="center"/>
          </w:tcPr>
          <w:p w14:paraId="62F88B86" w14:textId="2DED95B1" w:rsidR="009F596F" w:rsidRPr="000A27B3" w:rsidRDefault="009F596F" w:rsidP="008229AE">
            <w:pPr>
              <w:spacing w:before="142" w:after="0" w:line="223" w:lineRule="auto"/>
              <w:jc w:val="center"/>
              <w:rPr>
                <w:rFonts w:ascii="Times New Roman" w:eastAsia="Times New Roman" w:hAnsi="Times New Roman" w:cs="Times New Roman"/>
                <w:b/>
                <w:bCs/>
                <w:noProof/>
                <w:sz w:val="19"/>
                <w:szCs w:val="19"/>
              </w:rPr>
            </w:pPr>
            <w:r>
              <w:rPr>
                <w:rFonts w:ascii="Times New Roman" w:hAnsi="Times New Roman"/>
                <w:b/>
                <w:noProof/>
                <w:sz w:val="19"/>
              </w:rPr>
              <w:t>An</w:t>
            </w:r>
          </w:p>
        </w:tc>
        <w:tc>
          <w:tcPr>
            <w:tcW w:w="2346" w:type="dxa"/>
            <w:vMerge/>
            <w:tcMar>
              <w:left w:w="57" w:type="dxa"/>
              <w:right w:w="57" w:type="dxa"/>
            </w:tcMar>
            <w:vAlign w:val="center"/>
          </w:tcPr>
          <w:p w14:paraId="740D7250" w14:textId="77777777" w:rsidR="009F596F" w:rsidRPr="000A27B3" w:rsidRDefault="009F596F">
            <w:pPr>
              <w:rPr>
                <w:rFonts w:ascii="Times New Roman" w:hAnsi="Times New Roman" w:cs="Times New Roman"/>
                <w:noProof/>
                <w:sz w:val="19"/>
                <w:szCs w:val="19"/>
                <w:lang w:val="en-GB"/>
              </w:rPr>
            </w:pPr>
          </w:p>
        </w:tc>
      </w:tr>
      <w:tr w:rsidR="00D1375D" w:rsidRPr="000A27B3" w14:paraId="3E46A365" w14:textId="77777777" w:rsidTr="00B479F4">
        <w:trPr>
          <w:trHeight w:val="406"/>
        </w:trPr>
        <w:tc>
          <w:tcPr>
            <w:tcW w:w="1208" w:type="dxa"/>
            <w:shd w:val="clear" w:color="auto" w:fill="C5EECE"/>
            <w:tcMar>
              <w:left w:w="57" w:type="dxa"/>
              <w:right w:w="57" w:type="dxa"/>
            </w:tcMar>
          </w:tcPr>
          <w:p w14:paraId="3F103474" w14:textId="5BDEDCCC" w:rsidR="009F596F" w:rsidRPr="000A27B3" w:rsidRDefault="00AE0E36" w:rsidP="00AE0E36">
            <w:pPr>
              <w:spacing w:after="0"/>
              <w:jc w:val="center"/>
              <w:rPr>
                <w:rFonts w:ascii="Times New Roman" w:eastAsia="Times New Roman" w:hAnsi="Times New Roman" w:cs="Times New Roman"/>
                <w:noProof/>
                <w:sz w:val="24"/>
                <w:szCs w:val="32"/>
              </w:rPr>
            </w:pPr>
            <w:r>
              <w:rPr>
                <w:rFonts w:ascii="Times New Roman" w:hAnsi="Times New Roman"/>
                <w:noProof/>
                <w:sz w:val="24"/>
              </w:rPr>
              <w:t>523</w:t>
            </w:r>
          </w:p>
        </w:tc>
        <w:tc>
          <w:tcPr>
            <w:tcW w:w="2151" w:type="dxa"/>
            <w:shd w:val="clear" w:color="auto" w:fill="C5EECE"/>
            <w:tcMar>
              <w:left w:w="57" w:type="dxa"/>
              <w:right w:w="57" w:type="dxa"/>
            </w:tcMar>
          </w:tcPr>
          <w:p w14:paraId="6BB913EA" w14:textId="7E12D844" w:rsidR="009F596F" w:rsidRPr="000A27B3" w:rsidRDefault="009F596F">
            <w:pPr>
              <w:spacing w:after="0" w:line="245" w:lineRule="auto"/>
              <w:jc w:val="both"/>
              <w:rPr>
                <w:rFonts w:ascii="Times New Roman" w:eastAsia="Times New Roman" w:hAnsi="Times New Roman" w:cs="Times New Roman"/>
                <w:noProof/>
                <w:sz w:val="24"/>
                <w:szCs w:val="32"/>
              </w:rPr>
            </w:pPr>
            <w:r>
              <w:rPr>
                <w:rFonts w:ascii="Times New Roman" w:hAnsi="Times New Roman"/>
                <w:noProof/>
                <w:sz w:val="24"/>
              </w:rPr>
              <w:t>Reforma 2. Înființarea de ghișee unice pentru furnizarea către prosumatori de servicii de consiliere în domeniul energiei pentru renovările ce vizează eficiența energetică și producția de energie din surse regenerabile</w:t>
            </w:r>
          </w:p>
        </w:tc>
        <w:tc>
          <w:tcPr>
            <w:tcW w:w="904" w:type="dxa"/>
            <w:shd w:val="clear" w:color="auto" w:fill="C5EECE"/>
            <w:tcMar>
              <w:left w:w="57" w:type="dxa"/>
              <w:right w:w="57" w:type="dxa"/>
            </w:tcMar>
          </w:tcPr>
          <w:p w14:paraId="363DE6AE"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Jalon</w:t>
            </w:r>
          </w:p>
        </w:tc>
        <w:tc>
          <w:tcPr>
            <w:tcW w:w="1420" w:type="dxa"/>
            <w:shd w:val="clear" w:color="auto" w:fill="C5EECE"/>
            <w:tcMar>
              <w:left w:w="57" w:type="dxa"/>
              <w:right w:w="57" w:type="dxa"/>
            </w:tcMar>
          </w:tcPr>
          <w:p w14:paraId="7FC75F9F"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Intrarea în vigoare a modificărilor legislative pentru înființarea și dezvoltarea birourilor pentru ghișeele unice pentru furnizarea de servicii de consiliere în domeniul energiei</w:t>
            </w:r>
          </w:p>
        </w:tc>
        <w:tc>
          <w:tcPr>
            <w:tcW w:w="1434" w:type="dxa"/>
            <w:shd w:val="clear" w:color="auto" w:fill="C5EECE"/>
            <w:tcMar>
              <w:left w:w="57" w:type="dxa"/>
              <w:right w:w="57" w:type="dxa"/>
            </w:tcMar>
          </w:tcPr>
          <w:p w14:paraId="1EAC62BB"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Dispoziție privind intrarea în vigoare</w:t>
            </w:r>
          </w:p>
        </w:tc>
        <w:tc>
          <w:tcPr>
            <w:tcW w:w="1122" w:type="dxa"/>
            <w:shd w:val="clear" w:color="auto" w:fill="C5EECE"/>
            <w:tcMar>
              <w:left w:w="57" w:type="dxa"/>
              <w:right w:w="57" w:type="dxa"/>
            </w:tcMar>
          </w:tcPr>
          <w:p w14:paraId="56545F19" w14:textId="77777777" w:rsidR="009F596F" w:rsidRPr="000A27B3" w:rsidRDefault="009F596F">
            <w:pPr>
              <w:spacing w:after="0"/>
              <w:jc w:val="both"/>
              <w:rPr>
                <w:rFonts w:ascii="Times New Roman" w:eastAsia="Times New Roman" w:hAnsi="Times New Roman" w:cs="Times New Roman"/>
                <w:noProof/>
                <w:sz w:val="24"/>
                <w:szCs w:val="32"/>
                <w:lang w:val="en-GB"/>
              </w:rPr>
            </w:pPr>
          </w:p>
        </w:tc>
        <w:tc>
          <w:tcPr>
            <w:tcW w:w="1493" w:type="dxa"/>
            <w:shd w:val="clear" w:color="auto" w:fill="C5EECE"/>
            <w:tcMar>
              <w:left w:w="57" w:type="dxa"/>
              <w:right w:w="57" w:type="dxa"/>
            </w:tcMar>
            <w:vAlign w:val="center"/>
          </w:tcPr>
          <w:p w14:paraId="7DD120A3" w14:textId="77777777" w:rsidR="009F596F" w:rsidRPr="000A27B3" w:rsidRDefault="009F596F" w:rsidP="008229AE">
            <w:pPr>
              <w:spacing w:after="0"/>
              <w:jc w:val="center"/>
              <w:rPr>
                <w:rFonts w:ascii="Times New Roman" w:eastAsia="Times New Roman" w:hAnsi="Times New Roman" w:cs="Times New Roman"/>
                <w:noProof/>
                <w:sz w:val="24"/>
                <w:szCs w:val="32"/>
                <w:lang w:val="en-GB"/>
              </w:rPr>
            </w:pPr>
          </w:p>
        </w:tc>
        <w:tc>
          <w:tcPr>
            <w:tcW w:w="923" w:type="dxa"/>
            <w:shd w:val="clear" w:color="auto" w:fill="C5EECE"/>
            <w:tcMar>
              <w:left w:w="57" w:type="dxa"/>
              <w:right w:w="57" w:type="dxa"/>
            </w:tcMar>
          </w:tcPr>
          <w:p w14:paraId="5ADE1642" w14:textId="77777777" w:rsidR="009F596F" w:rsidRPr="000A27B3" w:rsidRDefault="009F596F">
            <w:pPr>
              <w:spacing w:after="0"/>
              <w:jc w:val="both"/>
              <w:rPr>
                <w:rFonts w:ascii="Times New Roman" w:eastAsia="Times New Roman" w:hAnsi="Times New Roman" w:cs="Times New Roman"/>
                <w:noProof/>
                <w:sz w:val="24"/>
                <w:szCs w:val="32"/>
                <w:lang w:val="en-GB"/>
              </w:rPr>
            </w:pPr>
          </w:p>
        </w:tc>
        <w:tc>
          <w:tcPr>
            <w:tcW w:w="1194" w:type="dxa"/>
            <w:shd w:val="clear" w:color="auto" w:fill="C5EECE"/>
            <w:tcMar>
              <w:left w:w="57" w:type="dxa"/>
              <w:right w:w="57" w:type="dxa"/>
            </w:tcMar>
          </w:tcPr>
          <w:p w14:paraId="1508C45C" w14:textId="04CFC41C"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T1</w:t>
            </w:r>
          </w:p>
        </w:tc>
        <w:tc>
          <w:tcPr>
            <w:tcW w:w="762" w:type="dxa"/>
            <w:shd w:val="clear" w:color="auto" w:fill="C5EECE"/>
            <w:tcMar>
              <w:left w:w="57" w:type="dxa"/>
              <w:right w:w="57" w:type="dxa"/>
            </w:tcMar>
          </w:tcPr>
          <w:p w14:paraId="0C61C3DC" w14:textId="31A31AEC"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2024</w:t>
            </w:r>
          </w:p>
        </w:tc>
        <w:tc>
          <w:tcPr>
            <w:tcW w:w="2346" w:type="dxa"/>
            <w:shd w:val="clear" w:color="auto" w:fill="C5EECE"/>
            <w:tcMar>
              <w:left w:w="57" w:type="dxa"/>
              <w:right w:w="57" w:type="dxa"/>
            </w:tcMar>
          </w:tcPr>
          <w:p w14:paraId="1DA37882" w14:textId="325BA6C1" w:rsidR="009F596F" w:rsidRPr="000A27B3" w:rsidRDefault="009F596F" w:rsidP="000E1039">
            <w:pPr>
              <w:spacing w:after="0" w:line="252" w:lineRule="auto"/>
              <w:jc w:val="both"/>
              <w:rPr>
                <w:rFonts w:ascii="Times New Roman" w:hAnsi="Times New Roman" w:cs="Times New Roman"/>
                <w:noProof/>
                <w:sz w:val="24"/>
                <w:szCs w:val="32"/>
              </w:rPr>
            </w:pPr>
            <w:r>
              <w:rPr>
                <w:rFonts w:ascii="Times New Roman" w:hAnsi="Times New Roman"/>
                <w:noProof/>
                <w:sz w:val="24"/>
              </w:rPr>
              <w:t>Legislația care prevede cadrul juridic pentru înființarea și dezvoltarea birourilor ghișeelor unice care oferă servicii de consiliere energetică proprietarilor de locuințe trebuie să fi intrat în vigoare.</w:t>
            </w:r>
          </w:p>
          <w:p w14:paraId="2352E5CD" w14:textId="77777777" w:rsidR="009F596F" w:rsidRPr="000A27B3" w:rsidRDefault="009F596F" w:rsidP="000E1039">
            <w:pPr>
              <w:jc w:val="both"/>
              <w:rPr>
                <w:rFonts w:ascii="Times New Roman" w:hAnsi="Times New Roman" w:cs="Times New Roman"/>
                <w:noProof/>
                <w:sz w:val="24"/>
                <w:szCs w:val="32"/>
              </w:rPr>
            </w:pPr>
            <w:r>
              <w:rPr>
                <w:rFonts w:ascii="Times New Roman" w:hAnsi="Times New Roman"/>
                <w:noProof/>
                <w:sz w:val="24"/>
              </w:rPr>
              <w:t>Aceasta trebuie să conțină dispoziții care să specifice sarcinile, guvernanța și structura de finanțare a ghișeelor unice.</w:t>
            </w:r>
          </w:p>
        </w:tc>
      </w:tr>
      <w:tr w:rsidR="00D1375D" w:rsidRPr="000A27B3" w14:paraId="7120DF06" w14:textId="77777777" w:rsidTr="00B479F4">
        <w:trPr>
          <w:trHeight w:val="406"/>
        </w:trPr>
        <w:tc>
          <w:tcPr>
            <w:tcW w:w="1208" w:type="dxa"/>
            <w:shd w:val="clear" w:color="auto" w:fill="C5EECE"/>
            <w:tcMar>
              <w:left w:w="57" w:type="dxa"/>
              <w:right w:w="57" w:type="dxa"/>
            </w:tcMar>
          </w:tcPr>
          <w:p w14:paraId="36F71CD4" w14:textId="5857B73B" w:rsidR="009F596F" w:rsidRPr="000A27B3" w:rsidRDefault="00AE0E36" w:rsidP="00AE0E36">
            <w:pPr>
              <w:spacing w:after="0"/>
              <w:jc w:val="center"/>
              <w:rPr>
                <w:rFonts w:ascii="Times New Roman" w:eastAsia="Times New Roman" w:hAnsi="Times New Roman" w:cs="Times New Roman"/>
                <w:noProof/>
                <w:sz w:val="24"/>
                <w:szCs w:val="32"/>
              </w:rPr>
            </w:pPr>
            <w:r>
              <w:rPr>
                <w:rFonts w:ascii="Times New Roman" w:hAnsi="Times New Roman"/>
                <w:noProof/>
                <w:sz w:val="24"/>
              </w:rPr>
              <w:t>524</w:t>
            </w:r>
          </w:p>
        </w:tc>
        <w:tc>
          <w:tcPr>
            <w:tcW w:w="2151" w:type="dxa"/>
            <w:shd w:val="clear" w:color="auto" w:fill="C5EECE"/>
            <w:tcMar>
              <w:left w:w="57" w:type="dxa"/>
              <w:right w:w="57" w:type="dxa"/>
            </w:tcMar>
          </w:tcPr>
          <w:p w14:paraId="4119C144" w14:textId="77D71ABC" w:rsidR="009F596F" w:rsidRPr="000A27B3" w:rsidRDefault="009F596F">
            <w:pPr>
              <w:spacing w:after="0" w:line="245" w:lineRule="auto"/>
              <w:jc w:val="both"/>
              <w:rPr>
                <w:rFonts w:ascii="Times New Roman" w:eastAsia="Times New Roman" w:hAnsi="Times New Roman" w:cs="Times New Roman"/>
                <w:noProof/>
                <w:sz w:val="24"/>
                <w:szCs w:val="32"/>
              </w:rPr>
            </w:pPr>
            <w:r>
              <w:rPr>
                <w:rFonts w:ascii="Times New Roman" w:hAnsi="Times New Roman"/>
                <w:noProof/>
                <w:sz w:val="24"/>
              </w:rPr>
              <w:t>Reforma 2. Înființarea de ghișee unice pentru furnizarea către prosumatori de servicii de consiliere în domeniul energiei pentru renovările ce vizează eficiența energetică și producția de energie din surse regenerabile</w:t>
            </w:r>
          </w:p>
        </w:tc>
        <w:tc>
          <w:tcPr>
            <w:tcW w:w="904" w:type="dxa"/>
            <w:shd w:val="clear" w:color="auto" w:fill="C5EECE"/>
            <w:tcMar>
              <w:left w:w="57" w:type="dxa"/>
              <w:right w:w="57" w:type="dxa"/>
            </w:tcMar>
          </w:tcPr>
          <w:p w14:paraId="141815CA"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Țintă</w:t>
            </w:r>
          </w:p>
        </w:tc>
        <w:tc>
          <w:tcPr>
            <w:tcW w:w="1420" w:type="dxa"/>
            <w:shd w:val="clear" w:color="auto" w:fill="C5EECE"/>
            <w:tcMar>
              <w:left w:w="57" w:type="dxa"/>
              <w:right w:w="57" w:type="dxa"/>
            </w:tcMar>
          </w:tcPr>
          <w:p w14:paraId="7B088FD1"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Acțiuni de consolidare a capacităților</w:t>
            </w:r>
          </w:p>
        </w:tc>
        <w:tc>
          <w:tcPr>
            <w:tcW w:w="1434" w:type="dxa"/>
            <w:shd w:val="clear" w:color="auto" w:fill="C5EECE"/>
            <w:tcMar>
              <w:left w:w="57" w:type="dxa"/>
              <w:right w:w="57" w:type="dxa"/>
            </w:tcMar>
          </w:tcPr>
          <w:p w14:paraId="12822FED" w14:textId="77777777" w:rsidR="009F596F" w:rsidRPr="009F1DC7" w:rsidRDefault="009F596F">
            <w:pPr>
              <w:spacing w:after="0" w:line="254" w:lineRule="auto"/>
              <w:jc w:val="both"/>
              <w:rPr>
                <w:rFonts w:ascii="Times New Roman" w:eastAsia="Times New Roman" w:hAnsi="Times New Roman" w:cs="Times New Roman"/>
                <w:noProof/>
                <w:sz w:val="24"/>
                <w:szCs w:val="32"/>
                <w:lang w:val="fr-FR"/>
              </w:rPr>
            </w:pPr>
          </w:p>
        </w:tc>
        <w:tc>
          <w:tcPr>
            <w:tcW w:w="1122" w:type="dxa"/>
            <w:shd w:val="clear" w:color="auto" w:fill="C5EECE"/>
            <w:tcMar>
              <w:left w:w="57" w:type="dxa"/>
              <w:right w:w="57" w:type="dxa"/>
            </w:tcMar>
          </w:tcPr>
          <w:p w14:paraId="27755943"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Număr</w:t>
            </w:r>
          </w:p>
        </w:tc>
        <w:tc>
          <w:tcPr>
            <w:tcW w:w="1493" w:type="dxa"/>
            <w:shd w:val="clear" w:color="auto" w:fill="C5EECE"/>
            <w:tcMar>
              <w:left w:w="57" w:type="dxa"/>
              <w:right w:w="57" w:type="dxa"/>
            </w:tcMar>
          </w:tcPr>
          <w:p w14:paraId="5BEE21BA"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0</w:t>
            </w:r>
          </w:p>
        </w:tc>
        <w:tc>
          <w:tcPr>
            <w:tcW w:w="923" w:type="dxa"/>
            <w:shd w:val="clear" w:color="auto" w:fill="C5EECE"/>
            <w:tcMar>
              <w:left w:w="57" w:type="dxa"/>
              <w:right w:w="57" w:type="dxa"/>
            </w:tcMar>
          </w:tcPr>
          <w:p w14:paraId="5990B3DC"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84</w:t>
            </w:r>
          </w:p>
        </w:tc>
        <w:tc>
          <w:tcPr>
            <w:tcW w:w="1194" w:type="dxa"/>
            <w:shd w:val="clear" w:color="auto" w:fill="C5EECE"/>
            <w:tcMar>
              <w:left w:w="57" w:type="dxa"/>
              <w:right w:w="57" w:type="dxa"/>
            </w:tcMar>
          </w:tcPr>
          <w:p w14:paraId="1F50F037" w14:textId="594CA4C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T1</w:t>
            </w:r>
          </w:p>
        </w:tc>
        <w:tc>
          <w:tcPr>
            <w:tcW w:w="762" w:type="dxa"/>
            <w:shd w:val="clear" w:color="auto" w:fill="C5EECE"/>
            <w:tcMar>
              <w:left w:w="57" w:type="dxa"/>
              <w:right w:w="57" w:type="dxa"/>
            </w:tcMar>
          </w:tcPr>
          <w:p w14:paraId="7F1C3A07" w14:textId="6C5A4659"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2024</w:t>
            </w:r>
          </w:p>
        </w:tc>
        <w:tc>
          <w:tcPr>
            <w:tcW w:w="2346" w:type="dxa"/>
            <w:shd w:val="clear" w:color="auto" w:fill="C5EECE"/>
            <w:tcMar>
              <w:left w:w="57" w:type="dxa"/>
              <w:right w:w="57" w:type="dxa"/>
            </w:tcMar>
          </w:tcPr>
          <w:p w14:paraId="78EB2CC1" w14:textId="5E49BF4A" w:rsidR="009F596F" w:rsidRPr="000A27B3" w:rsidRDefault="009F596F" w:rsidP="000E1039">
            <w:pPr>
              <w:jc w:val="both"/>
              <w:rPr>
                <w:rFonts w:ascii="Times New Roman" w:hAnsi="Times New Roman" w:cs="Times New Roman"/>
                <w:noProof/>
                <w:sz w:val="24"/>
                <w:szCs w:val="24"/>
              </w:rPr>
            </w:pPr>
            <w:r>
              <w:rPr>
                <w:rFonts w:ascii="Times New Roman" w:hAnsi="Times New Roman"/>
                <w:noProof/>
                <w:sz w:val="24"/>
              </w:rPr>
              <w:t>84 de membri ai personalului ghișeelor unice trebuie să fi beneficiat de formare pentru a îndeplini diferite roluri în birourile ghișeelor unice.</w:t>
            </w:r>
          </w:p>
        </w:tc>
      </w:tr>
      <w:tr w:rsidR="00D1375D" w:rsidRPr="000A27B3" w14:paraId="78013D9A" w14:textId="77777777" w:rsidTr="00B479F4">
        <w:trPr>
          <w:trHeight w:val="406"/>
        </w:trPr>
        <w:tc>
          <w:tcPr>
            <w:tcW w:w="1208" w:type="dxa"/>
            <w:shd w:val="clear" w:color="auto" w:fill="C5EECE"/>
            <w:tcMar>
              <w:left w:w="57" w:type="dxa"/>
              <w:right w:w="57" w:type="dxa"/>
            </w:tcMar>
          </w:tcPr>
          <w:p w14:paraId="1518CD36" w14:textId="1AFFB7FF" w:rsidR="009F596F" w:rsidRPr="000A27B3" w:rsidRDefault="00AE0E36" w:rsidP="00AE0E36">
            <w:pPr>
              <w:spacing w:after="0"/>
              <w:jc w:val="center"/>
              <w:rPr>
                <w:rFonts w:ascii="Times New Roman" w:eastAsia="Times New Roman" w:hAnsi="Times New Roman" w:cs="Times New Roman"/>
                <w:noProof/>
                <w:sz w:val="24"/>
                <w:szCs w:val="32"/>
              </w:rPr>
            </w:pPr>
            <w:r>
              <w:rPr>
                <w:rFonts w:ascii="Times New Roman" w:hAnsi="Times New Roman"/>
                <w:noProof/>
                <w:sz w:val="24"/>
              </w:rPr>
              <w:t>525</w:t>
            </w:r>
          </w:p>
        </w:tc>
        <w:tc>
          <w:tcPr>
            <w:tcW w:w="2151" w:type="dxa"/>
            <w:shd w:val="clear" w:color="auto" w:fill="C5EECE"/>
            <w:tcMar>
              <w:left w:w="57" w:type="dxa"/>
              <w:right w:w="57" w:type="dxa"/>
            </w:tcMar>
          </w:tcPr>
          <w:p w14:paraId="738556F9" w14:textId="4E3C5692" w:rsidR="009F596F" w:rsidRPr="000A27B3" w:rsidRDefault="009F596F">
            <w:pPr>
              <w:spacing w:after="0" w:line="245" w:lineRule="auto"/>
              <w:jc w:val="both"/>
              <w:rPr>
                <w:rFonts w:ascii="Times New Roman" w:eastAsia="Times New Roman" w:hAnsi="Times New Roman" w:cs="Times New Roman"/>
                <w:noProof/>
                <w:sz w:val="24"/>
                <w:szCs w:val="32"/>
              </w:rPr>
            </w:pPr>
            <w:r>
              <w:rPr>
                <w:rFonts w:ascii="Times New Roman" w:hAnsi="Times New Roman"/>
                <w:noProof/>
                <w:sz w:val="24"/>
              </w:rPr>
              <w:t>Reforma 2. Înființarea de ghișee unice pentru furnizarea către prosumatori de servicii de consiliere în domeniul energiei pentru renovările ce vizează eficiența energetică și producția de energie din surse regenerabile</w:t>
            </w:r>
          </w:p>
        </w:tc>
        <w:tc>
          <w:tcPr>
            <w:tcW w:w="904" w:type="dxa"/>
            <w:shd w:val="clear" w:color="auto" w:fill="C5EECE"/>
            <w:tcMar>
              <w:left w:w="57" w:type="dxa"/>
              <w:right w:w="57" w:type="dxa"/>
            </w:tcMar>
          </w:tcPr>
          <w:p w14:paraId="5D667DCD"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Țintă</w:t>
            </w:r>
          </w:p>
        </w:tc>
        <w:tc>
          <w:tcPr>
            <w:tcW w:w="1420" w:type="dxa"/>
            <w:shd w:val="clear" w:color="auto" w:fill="C5EECE"/>
            <w:tcMar>
              <w:left w:w="57" w:type="dxa"/>
              <w:right w:w="57" w:type="dxa"/>
            </w:tcMar>
          </w:tcPr>
          <w:p w14:paraId="3FF4F851"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Deschiderea ghișeelor unice fizice</w:t>
            </w:r>
          </w:p>
        </w:tc>
        <w:tc>
          <w:tcPr>
            <w:tcW w:w="1434" w:type="dxa"/>
            <w:shd w:val="clear" w:color="auto" w:fill="C5EECE"/>
            <w:tcMar>
              <w:left w:w="57" w:type="dxa"/>
              <w:right w:w="57" w:type="dxa"/>
            </w:tcMar>
          </w:tcPr>
          <w:p w14:paraId="33E702E9" w14:textId="77777777" w:rsidR="009F596F" w:rsidRPr="000A27B3" w:rsidRDefault="009F596F">
            <w:pPr>
              <w:spacing w:after="0" w:line="254" w:lineRule="auto"/>
              <w:jc w:val="both"/>
              <w:rPr>
                <w:rFonts w:ascii="Times New Roman" w:eastAsia="Times New Roman" w:hAnsi="Times New Roman" w:cs="Times New Roman"/>
                <w:noProof/>
                <w:sz w:val="24"/>
                <w:szCs w:val="32"/>
                <w:lang w:val="en-GB"/>
              </w:rPr>
            </w:pPr>
          </w:p>
        </w:tc>
        <w:tc>
          <w:tcPr>
            <w:tcW w:w="1122" w:type="dxa"/>
            <w:shd w:val="clear" w:color="auto" w:fill="C5EECE"/>
            <w:tcMar>
              <w:left w:w="57" w:type="dxa"/>
              <w:right w:w="57" w:type="dxa"/>
            </w:tcMar>
          </w:tcPr>
          <w:p w14:paraId="4067630F"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Număr</w:t>
            </w:r>
          </w:p>
        </w:tc>
        <w:tc>
          <w:tcPr>
            <w:tcW w:w="1493" w:type="dxa"/>
            <w:shd w:val="clear" w:color="auto" w:fill="C5EECE"/>
            <w:tcMar>
              <w:left w:w="57" w:type="dxa"/>
              <w:right w:w="57" w:type="dxa"/>
            </w:tcMar>
          </w:tcPr>
          <w:p w14:paraId="59501C0D"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0</w:t>
            </w:r>
          </w:p>
        </w:tc>
        <w:tc>
          <w:tcPr>
            <w:tcW w:w="923" w:type="dxa"/>
            <w:shd w:val="clear" w:color="auto" w:fill="C5EECE"/>
            <w:tcMar>
              <w:left w:w="57" w:type="dxa"/>
              <w:right w:w="57" w:type="dxa"/>
            </w:tcMar>
          </w:tcPr>
          <w:p w14:paraId="7151043F"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42</w:t>
            </w:r>
          </w:p>
        </w:tc>
        <w:tc>
          <w:tcPr>
            <w:tcW w:w="1194" w:type="dxa"/>
            <w:shd w:val="clear" w:color="auto" w:fill="C5EECE"/>
            <w:tcMar>
              <w:left w:w="57" w:type="dxa"/>
              <w:right w:w="57" w:type="dxa"/>
            </w:tcMar>
          </w:tcPr>
          <w:p w14:paraId="4C1CE9CF" w14:textId="7BD1ECF6"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T1</w:t>
            </w:r>
          </w:p>
        </w:tc>
        <w:tc>
          <w:tcPr>
            <w:tcW w:w="762" w:type="dxa"/>
            <w:shd w:val="clear" w:color="auto" w:fill="C5EECE"/>
            <w:tcMar>
              <w:left w:w="57" w:type="dxa"/>
              <w:right w:w="57" w:type="dxa"/>
            </w:tcMar>
          </w:tcPr>
          <w:p w14:paraId="0C428D08" w14:textId="3F7C95F9"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2024</w:t>
            </w:r>
          </w:p>
        </w:tc>
        <w:tc>
          <w:tcPr>
            <w:tcW w:w="2346" w:type="dxa"/>
            <w:shd w:val="clear" w:color="auto" w:fill="C5EECE"/>
            <w:tcMar>
              <w:left w:w="57" w:type="dxa"/>
              <w:right w:w="57" w:type="dxa"/>
            </w:tcMar>
          </w:tcPr>
          <w:p w14:paraId="702935C8" w14:textId="32B67A94" w:rsidR="009F596F" w:rsidRPr="000A27B3" w:rsidRDefault="009F596F" w:rsidP="000E1039">
            <w:pPr>
              <w:jc w:val="both"/>
              <w:rPr>
                <w:rFonts w:ascii="Times New Roman" w:hAnsi="Times New Roman" w:cs="Times New Roman"/>
                <w:noProof/>
                <w:sz w:val="24"/>
                <w:szCs w:val="32"/>
              </w:rPr>
            </w:pPr>
            <w:r>
              <w:rPr>
                <w:rFonts w:ascii="Times New Roman" w:hAnsi="Times New Roman"/>
                <w:noProof/>
                <w:sz w:val="24"/>
              </w:rPr>
              <w:t>42 de birouri ale ghișeelor unice fizice sunt operaționale și deschise cetățenilor.</w:t>
            </w:r>
          </w:p>
        </w:tc>
      </w:tr>
      <w:tr w:rsidR="00D1375D" w:rsidRPr="000A27B3" w14:paraId="0F93FDEA" w14:textId="77777777" w:rsidTr="00B479F4">
        <w:trPr>
          <w:trHeight w:val="406"/>
        </w:trPr>
        <w:tc>
          <w:tcPr>
            <w:tcW w:w="1208" w:type="dxa"/>
            <w:shd w:val="clear" w:color="auto" w:fill="C5EECE"/>
            <w:tcMar>
              <w:left w:w="57" w:type="dxa"/>
              <w:right w:w="57" w:type="dxa"/>
            </w:tcMar>
          </w:tcPr>
          <w:p w14:paraId="62A53833" w14:textId="06196691" w:rsidR="009F596F" w:rsidRPr="000A27B3" w:rsidRDefault="00AE0E36" w:rsidP="00AE0E36">
            <w:pPr>
              <w:spacing w:after="0"/>
              <w:jc w:val="center"/>
              <w:rPr>
                <w:rFonts w:ascii="Times New Roman" w:eastAsia="Times New Roman" w:hAnsi="Times New Roman" w:cs="Times New Roman"/>
                <w:noProof/>
                <w:sz w:val="24"/>
                <w:szCs w:val="32"/>
              </w:rPr>
            </w:pPr>
            <w:r>
              <w:rPr>
                <w:rFonts w:ascii="Times New Roman" w:hAnsi="Times New Roman"/>
                <w:noProof/>
                <w:sz w:val="24"/>
              </w:rPr>
              <w:t>526</w:t>
            </w:r>
          </w:p>
        </w:tc>
        <w:tc>
          <w:tcPr>
            <w:tcW w:w="2151" w:type="dxa"/>
            <w:shd w:val="clear" w:color="auto" w:fill="C5EECE"/>
            <w:tcMar>
              <w:left w:w="57" w:type="dxa"/>
              <w:right w:w="57" w:type="dxa"/>
            </w:tcMar>
          </w:tcPr>
          <w:p w14:paraId="7769F515"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Investiția 6. Proiect-pilot pentru instalarea a 20 MW de panouri solare plutitoare pe canalele de irigații</w:t>
            </w:r>
          </w:p>
        </w:tc>
        <w:tc>
          <w:tcPr>
            <w:tcW w:w="904" w:type="dxa"/>
            <w:shd w:val="clear" w:color="auto" w:fill="C5EECE"/>
            <w:tcMar>
              <w:left w:w="57" w:type="dxa"/>
              <w:right w:w="57" w:type="dxa"/>
            </w:tcMar>
          </w:tcPr>
          <w:p w14:paraId="36EC30CC"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Jalon</w:t>
            </w:r>
          </w:p>
        </w:tc>
        <w:tc>
          <w:tcPr>
            <w:tcW w:w="1420" w:type="dxa"/>
            <w:shd w:val="clear" w:color="auto" w:fill="C5EECE"/>
            <w:tcMar>
              <w:left w:w="57" w:type="dxa"/>
              <w:right w:w="57" w:type="dxa"/>
            </w:tcMar>
          </w:tcPr>
          <w:p w14:paraId="1E18D9DA" w14:textId="77777777" w:rsidR="009F596F" w:rsidRPr="000A27B3" w:rsidRDefault="009F596F">
            <w:pPr>
              <w:spacing w:after="0"/>
              <w:rPr>
                <w:rFonts w:ascii="Times New Roman" w:eastAsia="Times New Roman" w:hAnsi="Times New Roman" w:cs="Times New Roman"/>
                <w:noProof/>
                <w:sz w:val="24"/>
                <w:szCs w:val="32"/>
              </w:rPr>
            </w:pPr>
            <w:r>
              <w:rPr>
                <w:rFonts w:ascii="Times New Roman" w:hAnsi="Times New Roman"/>
                <w:noProof/>
                <w:sz w:val="24"/>
              </w:rPr>
              <w:t xml:space="preserve">Semnarea contractului (contractelor) </w:t>
            </w:r>
          </w:p>
        </w:tc>
        <w:tc>
          <w:tcPr>
            <w:tcW w:w="1434" w:type="dxa"/>
            <w:shd w:val="clear" w:color="auto" w:fill="C5EECE"/>
            <w:tcMar>
              <w:left w:w="57" w:type="dxa"/>
              <w:right w:w="57" w:type="dxa"/>
            </w:tcMar>
          </w:tcPr>
          <w:p w14:paraId="3A6A4E92" w14:textId="77777777" w:rsidR="009F596F" w:rsidRPr="000A27B3" w:rsidRDefault="009F596F">
            <w:pPr>
              <w:spacing w:after="0"/>
              <w:rPr>
                <w:rFonts w:ascii="Times New Roman" w:eastAsia="Times New Roman" w:hAnsi="Times New Roman" w:cs="Times New Roman"/>
                <w:noProof/>
                <w:sz w:val="24"/>
                <w:szCs w:val="32"/>
              </w:rPr>
            </w:pPr>
            <w:r>
              <w:rPr>
                <w:rFonts w:ascii="Times New Roman" w:hAnsi="Times New Roman"/>
                <w:noProof/>
                <w:sz w:val="24"/>
              </w:rPr>
              <w:t>Contract(e) semnat(e)</w:t>
            </w:r>
          </w:p>
        </w:tc>
        <w:tc>
          <w:tcPr>
            <w:tcW w:w="1122" w:type="dxa"/>
            <w:shd w:val="clear" w:color="auto" w:fill="C5EECE"/>
            <w:tcMar>
              <w:left w:w="57" w:type="dxa"/>
              <w:right w:w="57" w:type="dxa"/>
            </w:tcMar>
          </w:tcPr>
          <w:p w14:paraId="1B5510BB"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 xml:space="preserve"> </w:t>
            </w:r>
          </w:p>
        </w:tc>
        <w:tc>
          <w:tcPr>
            <w:tcW w:w="1493" w:type="dxa"/>
            <w:shd w:val="clear" w:color="auto" w:fill="C5EECE"/>
            <w:tcMar>
              <w:left w:w="57" w:type="dxa"/>
              <w:right w:w="57" w:type="dxa"/>
            </w:tcMar>
          </w:tcPr>
          <w:p w14:paraId="296F99AC"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 xml:space="preserve"> </w:t>
            </w:r>
          </w:p>
        </w:tc>
        <w:tc>
          <w:tcPr>
            <w:tcW w:w="923" w:type="dxa"/>
            <w:shd w:val="clear" w:color="auto" w:fill="C5EECE"/>
            <w:tcMar>
              <w:left w:w="57" w:type="dxa"/>
              <w:right w:w="57" w:type="dxa"/>
            </w:tcMar>
          </w:tcPr>
          <w:p w14:paraId="396716C1"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 xml:space="preserve"> </w:t>
            </w:r>
          </w:p>
        </w:tc>
        <w:tc>
          <w:tcPr>
            <w:tcW w:w="1194" w:type="dxa"/>
            <w:shd w:val="clear" w:color="auto" w:fill="C5EECE"/>
            <w:tcMar>
              <w:left w:w="57" w:type="dxa"/>
              <w:right w:w="57" w:type="dxa"/>
            </w:tcMar>
          </w:tcPr>
          <w:p w14:paraId="42E0B797"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T2</w:t>
            </w:r>
          </w:p>
        </w:tc>
        <w:tc>
          <w:tcPr>
            <w:tcW w:w="762" w:type="dxa"/>
            <w:shd w:val="clear" w:color="auto" w:fill="C5EECE"/>
            <w:tcMar>
              <w:left w:w="57" w:type="dxa"/>
              <w:right w:w="57" w:type="dxa"/>
            </w:tcMar>
          </w:tcPr>
          <w:p w14:paraId="41EFEEA7"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2024</w:t>
            </w:r>
          </w:p>
        </w:tc>
        <w:tc>
          <w:tcPr>
            <w:tcW w:w="2346" w:type="dxa"/>
            <w:shd w:val="clear" w:color="auto" w:fill="C5EECE"/>
            <w:tcMar>
              <w:left w:w="57" w:type="dxa"/>
              <w:right w:w="57" w:type="dxa"/>
            </w:tcMar>
          </w:tcPr>
          <w:p w14:paraId="2CA34B7E" w14:textId="0652DD9E" w:rsidR="009F596F" w:rsidRPr="000A27B3" w:rsidRDefault="009F596F" w:rsidP="000E1039">
            <w:pPr>
              <w:jc w:val="both"/>
              <w:rPr>
                <w:noProof/>
                <w:sz w:val="24"/>
                <w:szCs w:val="24"/>
              </w:rPr>
            </w:pPr>
            <w:r>
              <w:rPr>
                <w:rFonts w:ascii="Times New Roman" w:hAnsi="Times New Roman"/>
                <w:noProof/>
                <w:sz w:val="24"/>
              </w:rPr>
              <w:t>Contractul (contractele) pentru instalarea a cel puțin 20 MW de panouri solare plutitoare pe canalele de irigații deja reabilitate trebuie să fi fost semnat(e).</w:t>
            </w:r>
          </w:p>
        </w:tc>
      </w:tr>
      <w:tr w:rsidR="00D1375D" w:rsidRPr="000A27B3" w14:paraId="3D628D77" w14:textId="77777777" w:rsidTr="00B479F4">
        <w:trPr>
          <w:trHeight w:val="406"/>
        </w:trPr>
        <w:tc>
          <w:tcPr>
            <w:tcW w:w="1208" w:type="dxa"/>
            <w:shd w:val="clear" w:color="auto" w:fill="C5EECE"/>
            <w:tcMar>
              <w:left w:w="57" w:type="dxa"/>
              <w:right w:w="57" w:type="dxa"/>
            </w:tcMar>
          </w:tcPr>
          <w:p w14:paraId="3B80A504" w14:textId="2BA24BED" w:rsidR="009F596F" w:rsidRPr="000A27B3" w:rsidRDefault="00AE0E36" w:rsidP="00AE0E36">
            <w:pPr>
              <w:spacing w:after="0"/>
              <w:jc w:val="center"/>
              <w:rPr>
                <w:rFonts w:ascii="Times New Roman" w:eastAsia="Times New Roman" w:hAnsi="Times New Roman" w:cs="Times New Roman"/>
                <w:noProof/>
                <w:sz w:val="24"/>
                <w:szCs w:val="24"/>
              </w:rPr>
            </w:pPr>
            <w:r>
              <w:rPr>
                <w:rFonts w:ascii="Times New Roman" w:hAnsi="Times New Roman"/>
                <w:noProof/>
                <w:sz w:val="24"/>
              </w:rPr>
              <w:t>527</w:t>
            </w:r>
          </w:p>
        </w:tc>
        <w:tc>
          <w:tcPr>
            <w:tcW w:w="2151" w:type="dxa"/>
            <w:shd w:val="clear" w:color="auto" w:fill="C5EECE"/>
            <w:tcMar>
              <w:left w:w="57" w:type="dxa"/>
              <w:right w:w="57" w:type="dxa"/>
            </w:tcMar>
          </w:tcPr>
          <w:p w14:paraId="3C609197" w14:textId="4A985A85" w:rsidR="009F596F" w:rsidRPr="000A27B3" w:rsidRDefault="009F596F" w:rsidP="000E39C4">
            <w:pPr>
              <w:spacing w:after="0"/>
              <w:jc w:val="both"/>
              <w:rPr>
                <w:rFonts w:ascii="Times New Roman" w:eastAsia="Times New Roman" w:hAnsi="Times New Roman" w:cs="Times New Roman"/>
                <w:noProof/>
                <w:sz w:val="24"/>
                <w:szCs w:val="24"/>
              </w:rPr>
            </w:pPr>
            <w:r>
              <w:rPr>
                <w:rFonts w:ascii="Times New Roman" w:hAnsi="Times New Roman"/>
                <w:noProof/>
                <w:sz w:val="24"/>
              </w:rPr>
              <w:t>Investiția 6. Proiect-pilot pentru instalarea a 20 MW de panouri solare plutitoare pe canalele de irigații</w:t>
            </w:r>
          </w:p>
        </w:tc>
        <w:tc>
          <w:tcPr>
            <w:tcW w:w="904" w:type="dxa"/>
            <w:shd w:val="clear" w:color="auto" w:fill="C5EECE"/>
            <w:tcMar>
              <w:left w:w="57" w:type="dxa"/>
              <w:right w:w="57" w:type="dxa"/>
            </w:tcMar>
          </w:tcPr>
          <w:p w14:paraId="5FBE181C" w14:textId="77777777" w:rsidR="009F596F" w:rsidRPr="000A27B3" w:rsidRDefault="009F596F">
            <w:pPr>
              <w:spacing w:after="0" w:line="254" w:lineRule="auto"/>
              <w:jc w:val="both"/>
              <w:rPr>
                <w:rFonts w:ascii="Times New Roman" w:eastAsia="Times New Roman" w:hAnsi="Times New Roman" w:cs="Times New Roman"/>
                <w:noProof/>
                <w:sz w:val="24"/>
                <w:szCs w:val="24"/>
              </w:rPr>
            </w:pPr>
            <w:r>
              <w:rPr>
                <w:rFonts w:ascii="Times New Roman" w:hAnsi="Times New Roman"/>
                <w:noProof/>
                <w:sz w:val="24"/>
              </w:rPr>
              <w:t>Țintă</w:t>
            </w:r>
          </w:p>
        </w:tc>
        <w:tc>
          <w:tcPr>
            <w:tcW w:w="1420" w:type="dxa"/>
            <w:shd w:val="clear" w:color="auto" w:fill="C5EECE"/>
            <w:tcMar>
              <w:left w:w="57" w:type="dxa"/>
              <w:right w:w="57" w:type="dxa"/>
            </w:tcMar>
          </w:tcPr>
          <w:p w14:paraId="1AAFC43D" w14:textId="77777777" w:rsidR="009F596F" w:rsidRPr="000A27B3" w:rsidRDefault="009F596F">
            <w:pPr>
              <w:spacing w:after="0" w:line="254" w:lineRule="auto"/>
              <w:jc w:val="both"/>
              <w:rPr>
                <w:rFonts w:ascii="Times New Roman" w:eastAsia="Times New Roman" w:hAnsi="Times New Roman" w:cs="Times New Roman"/>
                <w:noProof/>
                <w:sz w:val="24"/>
                <w:szCs w:val="24"/>
              </w:rPr>
            </w:pPr>
            <w:r>
              <w:rPr>
                <w:rFonts w:ascii="Times New Roman" w:hAnsi="Times New Roman"/>
                <w:noProof/>
                <w:sz w:val="24"/>
              </w:rPr>
              <w:t>20 MW de capacitate instalată de panouri solare plutitoare sunt puse în funcțiune și conectate la rețea</w:t>
            </w:r>
          </w:p>
        </w:tc>
        <w:tc>
          <w:tcPr>
            <w:tcW w:w="1434" w:type="dxa"/>
            <w:shd w:val="clear" w:color="auto" w:fill="C5EECE"/>
            <w:tcMar>
              <w:left w:w="57" w:type="dxa"/>
              <w:right w:w="57" w:type="dxa"/>
            </w:tcMar>
          </w:tcPr>
          <w:p w14:paraId="6408185F" w14:textId="77777777" w:rsidR="009F596F" w:rsidRPr="009F1DC7" w:rsidRDefault="009F596F">
            <w:pPr>
              <w:spacing w:after="0" w:line="254" w:lineRule="auto"/>
              <w:jc w:val="both"/>
              <w:rPr>
                <w:rFonts w:ascii="Times New Roman" w:eastAsia="Times New Roman" w:hAnsi="Times New Roman" w:cs="Times New Roman"/>
                <w:noProof/>
                <w:sz w:val="24"/>
                <w:szCs w:val="24"/>
                <w:lang w:val="fr-FR"/>
              </w:rPr>
            </w:pPr>
          </w:p>
        </w:tc>
        <w:tc>
          <w:tcPr>
            <w:tcW w:w="1122" w:type="dxa"/>
            <w:shd w:val="clear" w:color="auto" w:fill="C5EECE"/>
            <w:tcMar>
              <w:left w:w="57" w:type="dxa"/>
              <w:right w:w="57" w:type="dxa"/>
            </w:tcMar>
          </w:tcPr>
          <w:p w14:paraId="259BE7E7"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Megawatt (MW)</w:t>
            </w:r>
          </w:p>
        </w:tc>
        <w:tc>
          <w:tcPr>
            <w:tcW w:w="1493" w:type="dxa"/>
            <w:shd w:val="clear" w:color="auto" w:fill="C5EECE"/>
            <w:tcMar>
              <w:left w:w="57" w:type="dxa"/>
              <w:right w:w="57" w:type="dxa"/>
            </w:tcMar>
          </w:tcPr>
          <w:p w14:paraId="691C5844"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0</w:t>
            </w:r>
          </w:p>
        </w:tc>
        <w:tc>
          <w:tcPr>
            <w:tcW w:w="923" w:type="dxa"/>
            <w:shd w:val="clear" w:color="auto" w:fill="C5EECE"/>
            <w:tcMar>
              <w:left w:w="57" w:type="dxa"/>
              <w:right w:w="57" w:type="dxa"/>
            </w:tcMar>
          </w:tcPr>
          <w:p w14:paraId="7F731040"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20</w:t>
            </w:r>
          </w:p>
        </w:tc>
        <w:tc>
          <w:tcPr>
            <w:tcW w:w="1194" w:type="dxa"/>
            <w:shd w:val="clear" w:color="auto" w:fill="C5EECE"/>
            <w:tcMar>
              <w:left w:w="57" w:type="dxa"/>
              <w:right w:w="57" w:type="dxa"/>
            </w:tcMar>
          </w:tcPr>
          <w:p w14:paraId="7C43687F"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T4</w:t>
            </w:r>
          </w:p>
        </w:tc>
        <w:tc>
          <w:tcPr>
            <w:tcW w:w="762" w:type="dxa"/>
            <w:shd w:val="clear" w:color="auto" w:fill="C5EECE"/>
            <w:tcMar>
              <w:left w:w="57" w:type="dxa"/>
              <w:right w:w="57" w:type="dxa"/>
            </w:tcMar>
          </w:tcPr>
          <w:p w14:paraId="410CDD14"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2025</w:t>
            </w:r>
          </w:p>
        </w:tc>
        <w:tc>
          <w:tcPr>
            <w:tcW w:w="2346" w:type="dxa"/>
            <w:shd w:val="clear" w:color="auto" w:fill="C5EECE"/>
            <w:tcMar>
              <w:left w:w="57" w:type="dxa"/>
              <w:right w:w="57" w:type="dxa"/>
            </w:tcMar>
          </w:tcPr>
          <w:p w14:paraId="258A155E" w14:textId="63889CDD" w:rsidR="009F596F" w:rsidRPr="000A27B3" w:rsidRDefault="009F596F" w:rsidP="000E1039">
            <w:pPr>
              <w:jc w:val="both"/>
              <w:rPr>
                <w:noProof/>
                <w:sz w:val="24"/>
                <w:szCs w:val="24"/>
              </w:rPr>
            </w:pPr>
            <w:r>
              <w:rPr>
                <w:rFonts w:ascii="Times New Roman" w:hAnsi="Times New Roman"/>
                <w:noProof/>
                <w:sz w:val="24"/>
              </w:rPr>
              <w:t>Trebuie să fi fost pusă în funcțiune și conectată la rețeaua de energie electrică o capacitate de cel puțin 20 MW de panouri solare plutitoare pe canalele de irigații reabilitate.</w:t>
            </w:r>
          </w:p>
        </w:tc>
      </w:tr>
      <w:tr w:rsidR="00D1375D" w:rsidRPr="000A27B3" w14:paraId="49E9D145" w14:textId="77777777" w:rsidTr="00B479F4">
        <w:trPr>
          <w:trHeight w:val="406"/>
        </w:trPr>
        <w:tc>
          <w:tcPr>
            <w:tcW w:w="1208" w:type="dxa"/>
            <w:shd w:val="clear" w:color="auto" w:fill="C5EECE"/>
            <w:tcMar>
              <w:left w:w="57" w:type="dxa"/>
              <w:right w:w="57" w:type="dxa"/>
            </w:tcMar>
          </w:tcPr>
          <w:p w14:paraId="08D9F1AA" w14:textId="44EF4ED9" w:rsidR="009F596F" w:rsidRPr="000A27B3" w:rsidRDefault="00AE0E36" w:rsidP="00AE0E36">
            <w:pPr>
              <w:spacing w:after="0"/>
              <w:jc w:val="center"/>
              <w:rPr>
                <w:rFonts w:ascii="Times New Roman" w:eastAsia="Times New Roman" w:hAnsi="Times New Roman" w:cs="Times New Roman"/>
                <w:noProof/>
                <w:sz w:val="24"/>
                <w:szCs w:val="24"/>
              </w:rPr>
            </w:pPr>
            <w:r>
              <w:rPr>
                <w:rFonts w:ascii="Times New Roman" w:hAnsi="Times New Roman"/>
                <w:noProof/>
                <w:sz w:val="24"/>
              </w:rPr>
              <w:t>528</w:t>
            </w:r>
          </w:p>
        </w:tc>
        <w:tc>
          <w:tcPr>
            <w:tcW w:w="2151" w:type="dxa"/>
            <w:shd w:val="clear" w:color="auto" w:fill="C5EECE"/>
            <w:tcMar>
              <w:left w:w="57" w:type="dxa"/>
              <w:right w:w="57" w:type="dxa"/>
            </w:tcMar>
          </w:tcPr>
          <w:p w14:paraId="2C18BBA9" w14:textId="77777777" w:rsidR="009F596F" w:rsidRPr="000A27B3" w:rsidRDefault="009F596F">
            <w:pPr>
              <w:spacing w:after="0" w:line="245" w:lineRule="auto"/>
              <w:jc w:val="both"/>
              <w:rPr>
                <w:rFonts w:ascii="Times New Roman" w:eastAsia="Times New Roman" w:hAnsi="Times New Roman" w:cs="Times New Roman"/>
                <w:noProof/>
                <w:sz w:val="24"/>
                <w:szCs w:val="24"/>
              </w:rPr>
            </w:pPr>
            <w:r>
              <w:rPr>
                <w:rFonts w:ascii="Times New Roman" w:hAnsi="Times New Roman"/>
                <w:noProof/>
                <w:sz w:val="24"/>
              </w:rPr>
              <w:t>Investiția 7. Schema de granturi sub formă de bonuri valorice pentru îmbunătățirea eficienței energetice a gospodăriilor</w:t>
            </w:r>
          </w:p>
        </w:tc>
        <w:tc>
          <w:tcPr>
            <w:tcW w:w="904" w:type="dxa"/>
            <w:shd w:val="clear" w:color="auto" w:fill="C5EECE"/>
            <w:tcMar>
              <w:left w:w="57" w:type="dxa"/>
              <w:right w:w="57" w:type="dxa"/>
            </w:tcMar>
          </w:tcPr>
          <w:p w14:paraId="4BE3FF03" w14:textId="77777777" w:rsidR="009F596F" w:rsidRPr="000A27B3" w:rsidRDefault="009F596F">
            <w:pPr>
              <w:spacing w:after="0" w:line="254" w:lineRule="auto"/>
              <w:jc w:val="both"/>
              <w:rPr>
                <w:rFonts w:ascii="Times New Roman" w:eastAsia="Times New Roman" w:hAnsi="Times New Roman" w:cs="Times New Roman"/>
                <w:noProof/>
                <w:sz w:val="24"/>
                <w:szCs w:val="24"/>
              </w:rPr>
            </w:pPr>
            <w:r>
              <w:rPr>
                <w:rFonts w:ascii="Times New Roman" w:hAnsi="Times New Roman"/>
                <w:noProof/>
                <w:sz w:val="24"/>
              </w:rPr>
              <w:t>Jalon</w:t>
            </w:r>
          </w:p>
        </w:tc>
        <w:tc>
          <w:tcPr>
            <w:tcW w:w="1420" w:type="dxa"/>
            <w:shd w:val="clear" w:color="auto" w:fill="C5EECE"/>
            <w:tcMar>
              <w:left w:w="57" w:type="dxa"/>
              <w:right w:w="57" w:type="dxa"/>
            </w:tcMar>
          </w:tcPr>
          <w:p w14:paraId="04BAEDE9" w14:textId="0BBA43C1" w:rsidR="009F596F" w:rsidRPr="000A27B3" w:rsidRDefault="009F596F">
            <w:pPr>
              <w:spacing w:after="0" w:line="254" w:lineRule="auto"/>
              <w:jc w:val="both"/>
              <w:rPr>
                <w:rFonts w:ascii="Times New Roman" w:eastAsia="Times New Roman" w:hAnsi="Times New Roman" w:cs="Times New Roman"/>
                <w:noProof/>
                <w:sz w:val="24"/>
                <w:szCs w:val="24"/>
              </w:rPr>
            </w:pPr>
            <w:r>
              <w:rPr>
                <w:rFonts w:ascii="Times New Roman" w:hAnsi="Times New Roman"/>
                <w:noProof/>
                <w:sz w:val="24"/>
              </w:rPr>
              <w:t>Lansarea cererilor de proiecte</w:t>
            </w:r>
          </w:p>
        </w:tc>
        <w:tc>
          <w:tcPr>
            <w:tcW w:w="1434" w:type="dxa"/>
            <w:shd w:val="clear" w:color="auto" w:fill="C5EECE"/>
            <w:tcMar>
              <w:left w:w="57" w:type="dxa"/>
              <w:right w:w="57" w:type="dxa"/>
            </w:tcMar>
          </w:tcPr>
          <w:p w14:paraId="1245B2A1" w14:textId="77777777" w:rsidR="009F596F" w:rsidRPr="000A27B3" w:rsidRDefault="009F596F">
            <w:pPr>
              <w:spacing w:after="0" w:line="254" w:lineRule="auto"/>
              <w:jc w:val="both"/>
              <w:rPr>
                <w:rFonts w:ascii="Times New Roman" w:eastAsia="Times New Roman" w:hAnsi="Times New Roman" w:cs="Times New Roman"/>
                <w:noProof/>
                <w:sz w:val="24"/>
                <w:szCs w:val="24"/>
              </w:rPr>
            </w:pPr>
            <w:r>
              <w:rPr>
                <w:rFonts w:ascii="Times New Roman" w:hAnsi="Times New Roman"/>
                <w:noProof/>
                <w:sz w:val="24"/>
              </w:rPr>
              <w:t>Publicarea specificațiilor cererii de proiecte</w:t>
            </w:r>
          </w:p>
        </w:tc>
        <w:tc>
          <w:tcPr>
            <w:tcW w:w="1122" w:type="dxa"/>
            <w:shd w:val="clear" w:color="auto" w:fill="C5EECE"/>
            <w:tcMar>
              <w:left w:w="57" w:type="dxa"/>
              <w:right w:w="57" w:type="dxa"/>
            </w:tcMar>
          </w:tcPr>
          <w:p w14:paraId="16E279B2"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1493" w:type="dxa"/>
            <w:shd w:val="clear" w:color="auto" w:fill="C5EECE"/>
            <w:tcMar>
              <w:left w:w="57" w:type="dxa"/>
              <w:right w:w="57" w:type="dxa"/>
            </w:tcMar>
          </w:tcPr>
          <w:p w14:paraId="096365C7"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 xml:space="preserve"> </w:t>
            </w:r>
          </w:p>
        </w:tc>
        <w:tc>
          <w:tcPr>
            <w:tcW w:w="923" w:type="dxa"/>
            <w:shd w:val="clear" w:color="auto" w:fill="C5EECE"/>
            <w:tcMar>
              <w:left w:w="57" w:type="dxa"/>
              <w:right w:w="57" w:type="dxa"/>
            </w:tcMar>
          </w:tcPr>
          <w:p w14:paraId="45443B0A" w14:textId="77777777" w:rsidR="009F596F" w:rsidRPr="000A27B3" w:rsidRDefault="009F596F">
            <w:pPr>
              <w:spacing w:after="0"/>
              <w:jc w:val="both"/>
              <w:rPr>
                <w:rFonts w:ascii="Times New Roman" w:eastAsia="Times New Roman" w:hAnsi="Times New Roman" w:cs="Times New Roman"/>
                <w:noProof/>
                <w:sz w:val="24"/>
                <w:szCs w:val="24"/>
                <w:lang w:val="en-GB"/>
              </w:rPr>
            </w:pPr>
          </w:p>
        </w:tc>
        <w:tc>
          <w:tcPr>
            <w:tcW w:w="1194" w:type="dxa"/>
            <w:shd w:val="clear" w:color="auto" w:fill="C5EECE"/>
            <w:tcMar>
              <w:left w:w="57" w:type="dxa"/>
              <w:right w:w="57" w:type="dxa"/>
            </w:tcMar>
          </w:tcPr>
          <w:p w14:paraId="6599CDDD" w14:textId="29924DFF"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T2</w:t>
            </w:r>
          </w:p>
        </w:tc>
        <w:tc>
          <w:tcPr>
            <w:tcW w:w="762" w:type="dxa"/>
            <w:shd w:val="clear" w:color="auto" w:fill="C5EECE"/>
            <w:tcMar>
              <w:left w:w="57" w:type="dxa"/>
              <w:right w:w="57" w:type="dxa"/>
            </w:tcMar>
          </w:tcPr>
          <w:p w14:paraId="587B9251" w14:textId="77777777" w:rsidR="009F596F" w:rsidRPr="000A27B3" w:rsidRDefault="009F596F">
            <w:pPr>
              <w:spacing w:after="0"/>
              <w:jc w:val="both"/>
              <w:rPr>
                <w:rFonts w:ascii="Times New Roman" w:eastAsia="Times New Roman" w:hAnsi="Times New Roman" w:cs="Times New Roman"/>
                <w:noProof/>
                <w:sz w:val="24"/>
                <w:szCs w:val="24"/>
              </w:rPr>
            </w:pPr>
            <w:r>
              <w:rPr>
                <w:rFonts w:ascii="Times New Roman" w:hAnsi="Times New Roman"/>
                <w:noProof/>
                <w:sz w:val="24"/>
              </w:rPr>
              <w:t>2024</w:t>
            </w:r>
          </w:p>
        </w:tc>
        <w:tc>
          <w:tcPr>
            <w:tcW w:w="2346" w:type="dxa"/>
            <w:shd w:val="clear" w:color="auto" w:fill="C5EECE"/>
            <w:tcMar>
              <w:left w:w="57" w:type="dxa"/>
              <w:right w:w="57" w:type="dxa"/>
            </w:tcMar>
          </w:tcPr>
          <w:p w14:paraId="17A91102" w14:textId="77777777" w:rsidR="009F596F" w:rsidRPr="000A27B3" w:rsidRDefault="009F596F" w:rsidP="000E1039">
            <w:pPr>
              <w:spacing w:after="0" w:line="264" w:lineRule="auto"/>
              <w:jc w:val="both"/>
              <w:rPr>
                <w:rFonts w:ascii="Times New Roman" w:eastAsia="Times New Roman" w:hAnsi="Times New Roman" w:cs="Times New Roman"/>
                <w:noProof/>
                <w:sz w:val="24"/>
                <w:szCs w:val="24"/>
              </w:rPr>
            </w:pPr>
            <w:r>
              <w:rPr>
                <w:rFonts w:ascii="Times New Roman" w:hAnsi="Times New Roman"/>
                <w:noProof/>
                <w:sz w:val="24"/>
              </w:rPr>
              <w:t>Cererile de proiecte pentru bonurile valorice care urmează să fie utilizate pentru renovările locuințelor ce vizează eficiența energetică trebuie să fi fost publicate online.</w:t>
            </w:r>
          </w:p>
          <w:p w14:paraId="757299E8" w14:textId="79A2D9DB" w:rsidR="00DA135C" w:rsidRPr="000A27B3" w:rsidRDefault="009F596F" w:rsidP="000E1039">
            <w:pPr>
              <w:spacing w:after="0" w:line="264" w:lineRule="auto"/>
              <w:ind w:left="360"/>
              <w:jc w:val="both"/>
              <w:rPr>
                <w:rFonts w:ascii="Times New Roman" w:eastAsia="Times New Roman" w:hAnsi="Times New Roman" w:cs="Times New Roman"/>
                <w:noProof/>
                <w:sz w:val="24"/>
                <w:szCs w:val="24"/>
              </w:rPr>
            </w:pPr>
            <w:r>
              <w:rPr>
                <w:rFonts w:ascii="Times New Roman" w:hAnsi="Times New Roman"/>
                <w:noProof/>
                <w:sz w:val="24"/>
              </w:rPr>
              <w:t xml:space="preserve">Bonurile valorice fac obiectul unor criterii de selecție care prevăd că prin fiecare renovare trebuie să se obțină economii de energie primară de cel puțin 30 % față de starea anterioară renovării. Numai clădirile din categoriile de eficiență energetică G, F, E și D sunt eligibile. </w:t>
            </w:r>
          </w:p>
          <w:p w14:paraId="73663B0C" w14:textId="77777777" w:rsidR="009F596F" w:rsidRPr="000A27B3" w:rsidRDefault="009F596F" w:rsidP="000E1039">
            <w:pPr>
              <w:spacing w:after="0" w:line="264" w:lineRule="auto"/>
              <w:jc w:val="both"/>
              <w:rPr>
                <w:rFonts w:ascii="Times New Roman" w:eastAsia="Times New Roman" w:hAnsi="Times New Roman" w:cs="Times New Roman"/>
                <w:noProof/>
                <w:sz w:val="24"/>
                <w:szCs w:val="24"/>
              </w:rPr>
            </w:pPr>
            <w:r>
              <w:rPr>
                <w:rFonts w:ascii="Times New Roman" w:hAnsi="Times New Roman"/>
                <w:noProof/>
                <w:sz w:val="24"/>
              </w:rPr>
              <w:t>Investiția se va efectua de a lungul a două axe:</w:t>
            </w:r>
          </w:p>
          <w:p w14:paraId="33F43A4A" w14:textId="6CC6EFA0" w:rsidR="009F596F" w:rsidRPr="000A27B3" w:rsidRDefault="009F596F" w:rsidP="000E1039">
            <w:pPr>
              <w:pStyle w:val="ListParagraph"/>
              <w:numPr>
                <w:ilvl w:val="0"/>
                <w:numId w:val="129"/>
              </w:numPr>
              <w:spacing w:after="0" w:line="264" w:lineRule="auto"/>
              <w:jc w:val="both"/>
              <w:rPr>
                <w:rFonts w:ascii="Times New Roman" w:eastAsia="Times New Roman" w:hAnsi="Times New Roman" w:cs="Times New Roman"/>
                <w:noProof/>
                <w:sz w:val="24"/>
                <w:szCs w:val="24"/>
              </w:rPr>
            </w:pPr>
            <w:r>
              <w:rPr>
                <w:rFonts w:ascii="Times New Roman" w:hAnsi="Times New Roman"/>
                <w:noProof/>
                <w:sz w:val="24"/>
              </w:rPr>
              <w:t xml:space="preserve">axa I – în cadrul căreia sunt eligibile numai gospodăriile sărace din punct de vedere energetic și consumatorii de energie vulnerabili. În cadrul acestei axe, investiția le oferă proprietarilor de locuințe, prin intermediul bonurilor valorice, granturi pentru o renovare combinată ce vizează eficiența energetică și instalarea de panouri solare pe clădirile rezidențiale unifamiliale. </w:t>
            </w:r>
          </w:p>
          <w:p w14:paraId="3B6CF755" w14:textId="745B397B" w:rsidR="009F596F" w:rsidRPr="000A27B3" w:rsidRDefault="009F596F" w:rsidP="000E1039">
            <w:pPr>
              <w:spacing w:after="0" w:line="264" w:lineRule="auto"/>
              <w:ind w:left="360"/>
              <w:jc w:val="both"/>
              <w:rPr>
                <w:rFonts w:ascii="Times New Roman" w:eastAsia="Times New Roman" w:hAnsi="Times New Roman" w:cs="Times New Roman"/>
                <w:noProof/>
                <w:sz w:val="24"/>
                <w:szCs w:val="24"/>
              </w:rPr>
            </w:pPr>
            <w:r>
              <w:rPr>
                <w:rFonts w:ascii="Times New Roman" w:hAnsi="Times New Roman"/>
                <w:noProof/>
                <w:sz w:val="24"/>
              </w:rPr>
              <w:t>În cadrul axei I, fiecare renovare ce vizează eficiența energetică este completată de instalarea de panouri solare cu o capacitate netă de cel puțin 3 kW.</w:t>
            </w:r>
          </w:p>
          <w:p w14:paraId="24A665C0" w14:textId="42F5EA20" w:rsidR="009F596F" w:rsidRPr="000A27B3" w:rsidRDefault="009F596F" w:rsidP="000E1039">
            <w:pPr>
              <w:pStyle w:val="ListParagraph"/>
              <w:numPr>
                <w:ilvl w:val="0"/>
                <w:numId w:val="129"/>
              </w:numPr>
              <w:spacing w:after="0" w:line="264" w:lineRule="auto"/>
              <w:jc w:val="both"/>
              <w:rPr>
                <w:rFonts w:ascii="Times New Roman" w:eastAsia="Times New Roman" w:hAnsi="Times New Roman" w:cs="Times New Roman"/>
                <w:noProof/>
                <w:sz w:val="24"/>
                <w:szCs w:val="24"/>
              </w:rPr>
            </w:pPr>
            <w:r>
              <w:rPr>
                <w:rFonts w:ascii="Times New Roman" w:hAnsi="Times New Roman"/>
                <w:noProof/>
                <w:sz w:val="24"/>
              </w:rPr>
              <w:t>axa II – este deschisă tuturor gospodăriilor. În cadrul acestei axe, investiția le oferă proprietarilor de locuințe, prin intermediul bonurilor valorice, granturi pentru renovări ce vizează eficiența energetică a clădirilor rezidențiale unifamiliale.</w:t>
            </w:r>
          </w:p>
          <w:p w14:paraId="1C8C16A6" w14:textId="77777777" w:rsidR="009F596F" w:rsidRPr="000A27B3" w:rsidRDefault="009F596F" w:rsidP="000E1039">
            <w:pPr>
              <w:spacing w:after="0" w:line="264" w:lineRule="auto"/>
              <w:jc w:val="both"/>
              <w:rPr>
                <w:rFonts w:ascii="Times New Roman" w:eastAsia="Times New Roman" w:hAnsi="Times New Roman" w:cs="Times New Roman"/>
                <w:noProof/>
                <w:sz w:val="24"/>
                <w:szCs w:val="24"/>
              </w:rPr>
            </w:pPr>
            <w:r>
              <w:rPr>
                <w:rFonts w:ascii="Times New Roman" w:hAnsi="Times New Roman"/>
                <w:noProof/>
                <w:sz w:val="24"/>
              </w:rPr>
              <w:t xml:space="preserve">Cererile de proiecte din cadrul axei II sunt lansate după cele din cadrul axei I. </w:t>
            </w:r>
          </w:p>
          <w:p w14:paraId="454D9C7F" w14:textId="77777777" w:rsidR="009F596F" w:rsidRPr="000A27B3" w:rsidRDefault="009F596F" w:rsidP="000E1039">
            <w:pPr>
              <w:spacing w:after="0" w:line="264" w:lineRule="auto"/>
              <w:jc w:val="both"/>
              <w:rPr>
                <w:rFonts w:ascii="Times New Roman" w:eastAsia="Times New Roman" w:hAnsi="Times New Roman" w:cs="Times New Roman"/>
                <w:noProof/>
                <w:sz w:val="24"/>
                <w:szCs w:val="24"/>
              </w:rPr>
            </w:pPr>
            <w:r>
              <w:rPr>
                <w:rFonts w:ascii="Times New Roman" w:hAnsi="Times New Roman"/>
                <w:noProof/>
                <w:sz w:val="24"/>
              </w:rPr>
              <w:t>Cel puțin 50 % din bugetul măsurii se alocă axei I.</w:t>
            </w:r>
          </w:p>
          <w:p w14:paraId="4D7984D6" w14:textId="77777777" w:rsidR="009F596F" w:rsidRPr="000A27B3" w:rsidRDefault="009F596F" w:rsidP="000E1039">
            <w:pPr>
              <w:jc w:val="both"/>
              <w:rPr>
                <w:rFonts w:ascii="Times New Roman" w:eastAsia="Times New Roman" w:hAnsi="Times New Roman" w:cs="Times New Roman"/>
                <w:noProof/>
                <w:sz w:val="24"/>
                <w:szCs w:val="24"/>
              </w:rPr>
            </w:pPr>
            <w:r>
              <w:rPr>
                <w:rFonts w:ascii="Times New Roman" w:hAnsi="Times New Roman"/>
                <w:noProof/>
                <w:sz w:val="24"/>
              </w:rPr>
              <w:t xml:space="preserve">Locuințele clasificate în clasele de risc seismic RsI și RsII sunt excluse de la finanțarea intervențiilor în materie de eficiență energetică. </w:t>
            </w:r>
          </w:p>
        </w:tc>
      </w:tr>
      <w:tr w:rsidR="00D1375D" w:rsidRPr="000A27B3" w14:paraId="7B1702E8" w14:textId="77777777" w:rsidTr="00B479F4">
        <w:trPr>
          <w:trHeight w:val="406"/>
        </w:trPr>
        <w:tc>
          <w:tcPr>
            <w:tcW w:w="1208" w:type="dxa"/>
            <w:shd w:val="clear" w:color="auto" w:fill="C5EECE"/>
            <w:tcMar>
              <w:left w:w="57" w:type="dxa"/>
              <w:right w:w="57" w:type="dxa"/>
            </w:tcMar>
          </w:tcPr>
          <w:p w14:paraId="2A0E2181" w14:textId="052C18CB" w:rsidR="009F596F" w:rsidRPr="000A27B3" w:rsidRDefault="00AE0E36" w:rsidP="00AE0E36">
            <w:pPr>
              <w:spacing w:after="0"/>
              <w:jc w:val="center"/>
              <w:rPr>
                <w:rFonts w:ascii="Times New Roman" w:eastAsia="Times New Roman" w:hAnsi="Times New Roman" w:cs="Times New Roman"/>
                <w:noProof/>
                <w:sz w:val="24"/>
                <w:szCs w:val="32"/>
              </w:rPr>
            </w:pPr>
            <w:r>
              <w:rPr>
                <w:rFonts w:ascii="Times New Roman" w:hAnsi="Times New Roman"/>
                <w:noProof/>
                <w:sz w:val="24"/>
              </w:rPr>
              <w:t>529</w:t>
            </w:r>
          </w:p>
        </w:tc>
        <w:tc>
          <w:tcPr>
            <w:tcW w:w="2151" w:type="dxa"/>
            <w:shd w:val="clear" w:color="auto" w:fill="C5EECE"/>
            <w:tcMar>
              <w:left w:w="57" w:type="dxa"/>
              <w:right w:w="57" w:type="dxa"/>
            </w:tcMar>
          </w:tcPr>
          <w:p w14:paraId="7B2818BE" w14:textId="17651E45" w:rsidR="009F596F" w:rsidRPr="000A27B3" w:rsidRDefault="009F596F">
            <w:pPr>
              <w:spacing w:after="0" w:line="245" w:lineRule="auto"/>
              <w:jc w:val="both"/>
              <w:rPr>
                <w:rFonts w:ascii="Times New Roman" w:eastAsia="Times New Roman" w:hAnsi="Times New Roman" w:cs="Times New Roman"/>
                <w:noProof/>
                <w:sz w:val="24"/>
                <w:szCs w:val="32"/>
              </w:rPr>
            </w:pPr>
            <w:r>
              <w:rPr>
                <w:rFonts w:ascii="Times New Roman" w:hAnsi="Times New Roman"/>
                <w:noProof/>
                <w:sz w:val="24"/>
              </w:rPr>
              <w:t>Investiția 7. Schema de granturi sub formă de bonuri valorice pentru îmbunătățirea eficienței energetice a gospodăriilor</w:t>
            </w:r>
          </w:p>
        </w:tc>
        <w:tc>
          <w:tcPr>
            <w:tcW w:w="904" w:type="dxa"/>
            <w:shd w:val="clear" w:color="auto" w:fill="C5EECE"/>
            <w:tcMar>
              <w:left w:w="57" w:type="dxa"/>
              <w:right w:w="57" w:type="dxa"/>
            </w:tcMar>
          </w:tcPr>
          <w:p w14:paraId="4C4A2AC8" w14:textId="77777777"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Țintă</w:t>
            </w:r>
          </w:p>
        </w:tc>
        <w:tc>
          <w:tcPr>
            <w:tcW w:w="1420" w:type="dxa"/>
            <w:shd w:val="clear" w:color="auto" w:fill="C5EECE"/>
            <w:tcMar>
              <w:left w:w="57" w:type="dxa"/>
              <w:right w:w="57" w:type="dxa"/>
            </w:tcMar>
          </w:tcPr>
          <w:p w14:paraId="54581AF0" w14:textId="073B5B76" w:rsidR="009F596F" w:rsidRPr="000A27B3" w:rsidRDefault="009F596F">
            <w:pPr>
              <w:spacing w:after="0" w:line="254" w:lineRule="auto"/>
              <w:jc w:val="both"/>
              <w:rPr>
                <w:rFonts w:ascii="Times New Roman" w:eastAsia="Times New Roman" w:hAnsi="Times New Roman" w:cs="Times New Roman"/>
                <w:noProof/>
                <w:sz w:val="24"/>
                <w:szCs w:val="32"/>
              </w:rPr>
            </w:pPr>
            <w:r>
              <w:rPr>
                <w:rFonts w:ascii="Times New Roman" w:hAnsi="Times New Roman"/>
                <w:noProof/>
                <w:sz w:val="24"/>
              </w:rPr>
              <w:t>Finalizarea renovării energetice a locuințelor</w:t>
            </w:r>
          </w:p>
        </w:tc>
        <w:tc>
          <w:tcPr>
            <w:tcW w:w="1434" w:type="dxa"/>
            <w:shd w:val="clear" w:color="auto" w:fill="C5EECE"/>
            <w:tcMar>
              <w:left w:w="57" w:type="dxa"/>
              <w:right w:w="57" w:type="dxa"/>
            </w:tcMar>
          </w:tcPr>
          <w:p w14:paraId="530E52B0" w14:textId="77777777" w:rsidR="009F596F" w:rsidRPr="000A27B3" w:rsidRDefault="009F596F">
            <w:pPr>
              <w:spacing w:after="0" w:line="254" w:lineRule="auto"/>
              <w:jc w:val="both"/>
              <w:rPr>
                <w:rFonts w:ascii="Times New Roman" w:eastAsia="Times New Roman" w:hAnsi="Times New Roman" w:cs="Times New Roman"/>
                <w:noProof/>
                <w:sz w:val="24"/>
                <w:szCs w:val="32"/>
                <w:lang w:val="en-GB"/>
              </w:rPr>
            </w:pPr>
          </w:p>
        </w:tc>
        <w:tc>
          <w:tcPr>
            <w:tcW w:w="1122" w:type="dxa"/>
            <w:shd w:val="clear" w:color="auto" w:fill="C5EECE"/>
            <w:tcMar>
              <w:left w:w="57" w:type="dxa"/>
              <w:right w:w="57" w:type="dxa"/>
            </w:tcMar>
          </w:tcPr>
          <w:p w14:paraId="6786FA2F"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 xml:space="preserve">Număr (locuințe) </w:t>
            </w:r>
          </w:p>
        </w:tc>
        <w:tc>
          <w:tcPr>
            <w:tcW w:w="1493" w:type="dxa"/>
            <w:shd w:val="clear" w:color="auto" w:fill="C5EECE"/>
            <w:tcMar>
              <w:left w:w="57" w:type="dxa"/>
              <w:right w:w="57" w:type="dxa"/>
            </w:tcMar>
          </w:tcPr>
          <w:p w14:paraId="4038CB85"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 xml:space="preserve">0 </w:t>
            </w:r>
          </w:p>
        </w:tc>
        <w:tc>
          <w:tcPr>
            <w:tcW w:w="923" w:type="dxa"/>
            <w:shd w:val="clear" w:color="auto" w:fill="C5EECE"/>
            <w:tcMar>
              <w:left w:w="57" w:type="dxa"/>
              <w:right w:w="57" w:type="dxa"/>
            </w:tcMar>
          </w:tcPr>
          <w:p w14:paraId="5DE47D1D" w14:textId="5F674CE3" w:rsidR="009F596F" w:rsidRPr="000A27B3" w:rsidRDefault="00067D3B">
            <w:pPr>
              <w:spacing w:after="0"/>
              <w:jc w:val="both"/>
              <w:rPr>
                <w:rFonts w:ascii="Times New Roman" w:eastAsia="Times New Roman" w:hAnsi="Times New Roman" w:cs="Times New Roman"/>
                <w:noProof/>
                <w:sz w:val="24"/>
                <w:szCs w:val="32"/>
              </w:rPr>
            </w:pPr>
            <w:r>
              <w:rPr>
                <w:rFonts w:ascii="Times New Roman" w:hAnsi="Times New Roman"/>
                <w:noProof/>
                <w:sz w:val="24"/>
              </w:rPr>
              <w:t>33 000</w:t>
            </w:r>
          </w:p>
        </w:tc>
        <w:tc>
          <w:tcPr>
            <w:tcW w:w="1194" w:type="dxa"/>
            <w:shd w:val="clear" w:color="auto" w:fill="C5EECE"/>
            <w:tcMar>
              <w:left w:w="57" w:type="dxa"/>
              <w:right w:w="57" w:type="dxa"/>
            </w:tcMar>
          </w:tcPr>
          <w:p w14:paraId="21A0AC89"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T3</w:t>
            </w:r>
          </w:p>
        </w:tc>
        <w:tc>
          <w:tcPr>
            <w:tcW w:w="762" w:type="dxa"/>
            <w:shd w:val="clear" w:color="auto" w:fill="C5EECE"/>
            <w:tcMar>
              <w:left w:w="57" w:type="dxa"/>
              <w:right w:w="57" w:type="dxa"/>
            </w:tcMar>
          </w:tcPr>
          <w:p w14:paraId="2C07C5EF" w14:textId="77777777" w:rsidR="009F596F" w:rsidRPr="000A27B3" w:rsidRDefault="009F596F">
            <w:pPr>
              <w:spacing w:after="0"/>
              <w:jc w:val="both"/>
              <w:rPr>
                <w:rFonts w:ascii="Times New Roman" w:eastAsia="Times New Roman" w:hAnsi="Times New Roman" w:cs="Times New Roman"/>
                <w:noProof/>
                <w:sz w:val="24"/>
                <w:szCs w:val="32"/>
              </w:rPr>
            </w:pPr>
            <w:r>
              <w:rPr>
                <w:rFonts w:ascii="Times New Roman" w:hAnsi="Times New Roman"/>
                <w:noProof/>
                <w:sz w:val="24"/>
              </w:rPr>
              <w:t>2026</w:t>
            </w:r>
          </w:p>
        </w:tc>
        <w:tc>
          <w:tcPr>
            <w:tcW w:w="2346" w:type="dxa"/>
            <w:shd w:val="clear" w:color="auto" w:fill="C5EECE"/>
            <w:tcMar>
              <w:left w:w="57" w:type="dxa"/>
              <w:right w:w="57" w:type="dxa"/>
            </w:tcMar>
          </w:tcPr>
          <w:p w14:paraId="41412436" w14:textId="7F4A914F" w:rsidR="009F596F" w:rsidRPr="000A27B3" w:rsidRDefault="009F596F" w:rsidP="000E1039">
            <w:pPr>
              <w:jc w:val="both"/>
              <w:rPr>
                <w:noProof/>
                <w:sz w:val="24"/>
                <w:szCs w:val="32"/>
              </w:rPr>
            </w:pPr>
            <w:r>
              <w:rPr>
                <w:rFonts w:ascii="Times New Roman" w:hAnsi="Times New Roman"/>
                <w:noProof/>
                <w:sz w:val="24"/>
              </w:rPr>
              <w:t>Cel puțin 33 000 de locuințe trebuie să fi fost renovate în conformitate cu cerințele stabilite la jalonul 528.</w:t>
            </w:r>
          </w:p>
        </w:tc>
      </w:tr>
    </w:tbl>
    <w:p w14:paraId="3CD76F93" w14:textId="77777777" w:rsidR="009F596F" w:rsidRPr="009F1DC7" w:rsidRDefault="009F596F">
      <w:pPr>
        <w:spacing w:before="120" w:after="120" w:line="240" w:lineRule="auto"/>
        <w:jc w:val="both"/>
        <w:rPr>
          <w:rFonts w:ascii="Times New Roman" w:eastAsia="Times New Roman" w:hAnsi="Times New Roman" w:cs="Times New Roman"/>
          <w:b/>
          <w:noProof/>
          <w:u w:val="single"/>
          <w:lang w:val="fr-FR"/>
        </w:rPr>
      </w:pPr>
    </w:p>
    <w:p w14:paraId="38561C78" w14:textId="77777777" w:rsidR="009B30FE" w:rsidRPr="009F1DC7" w:rsidRDefault="009B30FE">
      <w:pPr>
        <w:rPr>
          <w:noProof/>
          <w:lang w:val="fr-FR"/>
        </w:rPr>
        <w:sectPr w:rsidR="009B30FE" w:rsidRPr="009F1DC7">
          <w:headerReference w:type="even" r:id="rId343"/>
          <w:headerReference w:type="default" r:id="rId344"/>
          <w:footerReference w:type="even" r:id="rId345"/>
          <w:footerReference w:type="default" r:id="rId346"/>
          <w:headerReference w:type="first" r:id="rId347"/>
          <w:footerReference w:type="first" r:id="rId348"/>
          <w:pgSz w:w="15840" w:h="12240" w:orient="landscape" w:code="1"/>
          <w:pgMar w:top="1440" w:right="1440" w:bottom="1440" w:left="1440" w:header="720" w:footer="720" w:gutter="0"/>
          <w:cols w:space="720"/>
          <w:docGrid w:linePitch="360"/>
        </w:sectPr>
      </w:pPr>
    </w:p>
    <w:p w14:paraId="5F0086D4" w14:textId="77777777" w:rsidR="00981F92" w:rsidRPr="000A27B3" w:rsidRDefault="00981F92">
      <w:pPr>
        <w:pStyle w:val="Heading2"/>
        <w:rPr>
          <w:b w:val="0"/>
          <w:noProof/>
        </w:rPr>
      </w:pPr>
      <w:r>
        <w:rPr>
          <w:noProof/>
        </w:rPr>
        <w:t xml:space="preserve">Costurile totale estimate ale planului de redresare și reziliență </w:t>
      </w:r>
    </w:p>
    <w:p w14:paraId="32416C53" w14:textId="7E83BA0D" w:rsidR="00981F92" w:rsidRPr="000A27B3" w:rsidRDefault="00981F92">
      <w:pPr>
        <w:spacing w:before="120" w:after="120" w:line="240" w:lineRule="auto"/>
        <w:ind w:left="850"/>
        <w:jc w:val="both"/>
        <w:rPr>
          <w:rFonts w:ascii="Times New Roman" w:hAnsi="Times New Roman" w:cs="Times New Roman"/>
          <w:noProof/>
          <w:sz w:val="24"/>
        </w:rPr>
      </w:pPr>
      <w:r>
        <w:rPr>
          <w:rFonts w:ascii="Times New Roman" w:hAnsi="Times New Roman"/>
          <w:noProof/>
          <w:sz w:val="24"/>
        </w:rPr>
        <w:t xml:space="preserve">Costurile totale estimate ale Planului de redresare și reziliență al României sunt de 28 511 575 217 EUR. </w:t>
      </w:r>
    </w:p>
    <w:p w14:paraId="12E588EB" w14:textId="77777777" w:rsidR="00981F92" w:rsidRPr="000A27B3" w:rsidRDefault="00981F92">
      <w:pPr>
        <w:pStyle w:val="Heading1"/>
        <w:rPr>
          <w:b w:val="0"/>
          <w:smallCaps w:val="0"/>
          <w:noProof/>
        </w:rPr>
      </w:pPr>
      <w:r>
        <w:rPr>
          <w:noProof/>
        </w:rPr>
        <w:t xml:space="preserve">SECȚIUNEA 2: SPRIJIN FINANCIAR </w:t>
      </w:r>
    </w:p>
    <w:p w14:paraId="0AC24DE8" w14:textId="77777777" w:rsidR="00981F92" w:rsidRPr="000A27B3" w:rsidRDefault="00981F92">
      <w:pPr>
        <w:pStyle w:val="Heading2"/>
        <w:rPr>
          <w:b w:val="0"/>
          <w:noProof/>
        </w:rPr>
      </w:pPr>
      <w:r>
        <w:rPr>
          <w:noProof/>
        </w:rPr>
        <w:t xml:space="preserve">Contribuția financiară </w:t>
      </w:r>
    </w:p>
    <w:p w14:paraId="5B33690A" w14:textId="77777777" w:rsidR="00981F92" w:rsidRPr="000A27B3" w:rsidRDefault="00981F92">
      <w:pPr>
        <w:spacing w:before="120" w:after="120" w:line="240" w:lineRule="auto"/>
        <w:ind w:left="850"/>
        <w:jc w:val="both"/>
        <w:rPr>
          <w:rFonts w:ascii="Times New Roman" w:hAnsi="Times New Roman" w:cs="Times New Roman"/>
          <w:noProof/>
          <w:sz w:val="24"/>
        </w:rPr>
      </w:pPr>
      <w:r>
        <w:rPr>
          <w:rFonts w:ascii="Times New Roman" w:hAnsi="Times New Roman"/>
          <w:noProof/>
          <w:sz w:val="24"/>
        </w:rPr>
        <w:t>Tranșele menționate la articolul 2 alineatul (2) se organizează după cum urmează:</w:t>
      </w:r>
    </w:p>
    <w:p w14:paraId="5E518178" w14:textId="77777777" w:rsidR="00981F92" w:rsidRPr="000A27B3" w:rsidRDefault="00981F92">
      <w:pPr>
        <w:pStyle w:val="Heading3"/>
        <w:rPr>
          <w:noProof/>
          <w:szCs w:val="24"/>
        </w:rPr>
      </w:pPr>
      <w:r>
        <w:rPr>
          <w:noProof/>
        </w:rPr>
        <w:t xml:space="preserve">Prima tranșă (sprijin nerambursabil): </w:t>
      </w:r>
    </w:p>
    <w:tbl>
      <w:tblPr>
        <w:tblW w:w="9404" w:type="dxa"/>
        <w:tblInd w:w="113" w:type="dxa"/>
        <w:tblLook w:val="04A0" w:firstRow="1" w:lastRow="0" w:firstColumn="1" w:lastColumn="0" w:noHBand="0" w:noVBand="1"/>
      </w:tblPr>
      <w:tblGrid>
        <w:gridCol w:w="1297"/>
        <w:gridCol w:w="3660"/>
        <w:gridCol w:w="1231"/>
        <w:gridCol w:w="3455"/>
      </w:tblGrid>
      <w:tr w:rsidR="00981F92" w:rsidRPr="000A27B3" w14:paraId="7B6480BD" w14:textId="77777777">
        <w:trPr>
          <w:trHeight w:val="906"/>
          <w:tblHeader/>
        </w:trPr>
        <w:tc>
          <w:tcPr>
            <w:tcW w:w="1297"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7E0B47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660"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277BA8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463AC42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992"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783C51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55"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752DDC2C"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AAAB750" w14:textId="77777777">
        <w:trPr>
          <w:trHeight w:val="509"/>
          <w:tblHeader/>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59ABBD22" w14:textId="77777777" w:rsidR="00981F92" w:rsidRPr="000A27B3" w:rsidRDefault="00981F92">
            <w:pPr>
              <w:spacing w:after="0"/>
              <w:jc w:val="center"/>
              <w:rPr>
                <w:rFonts w:eastAsia="Times New Roman"/>
                <w:b/>
                <w:bCs/>
                <w:noProof/>
                <w:szCs w:val="24"/>
                <w:lang w:eastAsia="en-GB"/>
              </w:rPr>
            </w:pPr>
          </w:p>
        </w:tc>
        <w:tc>
          <w:tcPr>
            <w:tcW w:w="3660" w:type="dxa"/>
            <w:vMerge/>
            <w:tcBorders>
              <w:top w:val="single" w:sz="4" w:space="0" w:color="auto"/>
              <w:left w:val="single" w:sz="4" w:space="0" w:color="auto"/>
              <w:bottom w:val="single" w:sz="4" w:space="0" w:color="000000"/>
              <w:right w:val="single" w:sz="4" w:space="0" w:color="auto"/>
            </w:tcBorders>
            <w:vAlign w:val="center"/>
            <w:hideMark/>
          </w:tcPr>
          <w:p w14:paraId="2C839F8A" w14:textId="77777777" w:rsidR="00981F92" w:rsidRPr="000A27B3" w:rsidRDefault="00981F92">
            <w:pPr>
              <w:spacing w:after="0"/>
              <w:rPr>
                <w:rFonts w:eastAsia="Times New Roman"/>
                <w:b/>
                <w:bCs/>
                <w:noProof/>
                <w:szCs w:val="24"/>
                <w:lang w:eastAsia="en-GB"/>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08C30F9" w14:textId="77777777" w:rsidR="00981F92" w:rsidRPr="000A27B3" w:rsidRDefault="00981F92">
            <w:pPr>
              <w:spacing w:after="0"/>
              <w:jc w:val="center"/>
              <w:rPr>
                <w:rFonts w:eastAsia="Times New Roman"/>
                <w:b/>
                <w:bCs/>
                <w:noProof/>
                <w:szCs w:val="24"/>
                <w:lang w:eastAsia="en-GB"/>
              </w:rPr>
            </w:pPr>
          </w:p>
        </w:tc>
        <w:tc>
          <w:tcPr>
            <w:tcW w:w="3455" w:type="dxa"/>
            <w:vMerge/>
            <w:tcBorders>
              <w:top w:val="single" w:sz="4" w:space="0" w:color="auto"/>
              <w:left w:val="nil"/>
              <w:bottom w:val="single" w:sz="4" w:space="0" w:color="000000"/>
              <w:right w:val="single" w:sz="4" w:space="0" w:color="auto"/>
            </w:tcBorders>
            <w:vAlign w:val="center"/>
            <w:hideMark/>
          </w:tcPr>
          <w:p w14:paraId="2D3F9102" w14:textId="77777777" w:rsidR="00981F92" w:rsidRPr="000A27B3" w:rsidRDefault="00981F92">
            <w:pPr>
              <w:spacing w:after="0"/>
              <w:jc w:val="both"/>
              <w:rPr>
                <w:rFonts w:eastAsia="Times New Roman"/>
                <w:b/>
                <w:bCs/>
                <w:noProof/>
                <w:szCs w:val="24"/>
                <w:lang w:eastAsia="en-GB"/>
              </w:rPr>
            </w:pPr>
          </w:p>
        </w:tc>
      </w:tr>
      <w:tr w:rsidR="00981F92" w:rsidRPr="000A27B3" w14:paraId="5E76A4D4"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0247841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146</w:t>
            </w:r>
          </w:p>
        </w:tc>
        <w:tc>
          <w:tcPr>
            <w:tcW w:w="3660" w:type="dxa"/>
            <w:tcBorders>
              <w:top w:val="nil"/>
              <w:left w:val="nil"/>
              <w:bottom w:val="single" w:sz="4" w:space="0" w:color="auto"/>
              <w:right w:val="single" w:sz="4" w:space="0" w:color="auto"/>
            </w:tcBorders>
            <w:shd w:val="clear" w:color="auto" w:fill="C6EFCE"/>
            <w:noWrap/>
          </w:tcPr>
          <w:p w14:paraId="0CA3C60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C7.R2</w:t>
            </w:r>
          </w:p>
          <w:p w14:paraId="01F068DE" w14:textId="4DB00B0A"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Tranziția către atingerea obiectivelor de conectivitate UE 2025 și stimularea investițiilor private pentru dezvoltarea rețelelor de foarte mare capacitate </w:t>
            </w:r>
          </w:p>
        </w:tc>
        <w:tc>
          <w:tcPr>
            <w:tcW w:w="992" w:type="dxa"/>
            <w:tcBorders>
              <w:top w:val="nil"/>
              <w:left w:val="nil"/>
              <w:bottom w:val="single" w:sz="4" w:space="0" w:color="auto"/>
              <w:right w:val="single" w:sz="4" w:space="0" w:color="auto"/>
            </w:tcBorders>
            <w:shd w:val="clear" w:color="auto" w:fill="C6EFCE"/>
            <w:noWrap/>
          </w:tcPr>
          <w:p w14:paraId="7EF3B5D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66943308" w14:textId="6224C1B6"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privind securitatea rețelelor 5G</w:t>
            </w:r>
            <w:r w:rsidR="004C4C72">
              <w:rPr>
                <w:rFonts w:ascii="Times New Roman" w:hAnsi="Times New Roman"/>
                <w:noProof/>
              </w:rPr>
              <w:t xml:space="preserve"> </w:t>
            </w:r>
          </w:p>
        </w:tc>
      </w:tr>
      <w:tr w:rsidR="00981F92" w:rsidRPr="000A27B3" w14:paraId="522BA8FC"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hideMark/>
          </w:tcPr>
          <w:p w14:paraId="089E3A9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69</w:t>
            </w:r>
          </w:p>
        </w:tc>
        <w:tc>
          <w:tcPr>
            <w:tcW w:w="3660" w:type="dxa"/>
            <w:tcBorders>
              <w:top w:val="nil"/>
              <w:left w:val="nil"/>
              <w:bottom w:val="single" w:sz="4" w:space="0" w:color="auto"/>
              <w:right w:val="single" w:sz="4" w:space="0" w:color="auto"/>
            </w:tcBorders>
            <w:shd w:val="clear" w:color="auto" w:fill="C6EFCE"/>
            <w:noWrap/>
            <w:hideMark/>
          </w:tcPr>
          <w:p w14:paraId="3939DFE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p>
          <w:p w14:paraId="7C4FC48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Transport sustenabil, decarbonizare și siguranță rutieră / </w:t>
            </w:r>
            <w:r>
              <w:rPr>
                <w:rFonts w:ascii="Times New Roman" w:hAnsi="Times New Roman"/>
                <w:noProof/>
              </w:rPr>
              <w:br/>
              <w:t>Dezvoltarea infrastructurii feroviare și managementul traficului feroviar</w:t>
            </w:r>
          </w:p>
        </w:tc>
        <w:tc>
          <w:tcPr>
            <w:tcW w:w="992" w:type="dxa"/>
            <w:tcBorders>
              <w:top w:val="nil"/>
              <w:left w:val="nil"/>
              <w:bottom w:val="single" w:sz="4" w:space="0" w:color="auto"/>
              <w:right w:val="single" w:sz="4" w:space="0" w:color="auto"/>
            </w:tcBorders>
            <w:shd w:val="clear" w:color="auto" w:fill="C6EFCE"/>
            <w:noWrap/>
            <w:hideMark/>
          </w:tcPr>
          <w:p w14:paraId="1B3496C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hideMark/>
          </w:tcPr>
          <w:p w14:paraId="4B88979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strategiei de dezvoltare a infrastructurii feroviare 2021-2025 și aplicarea planului de acțiune</w:t>
            </w:r>
          </w:p>
        </w:tc>
      </w:tr>
      <w:tr w:rsidR="00981F92" w:rsidRPr="000A27B3" w14:paraId="5F6BE29A"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hideMark/>
          </w:tcPr>
          <w:p w14:paraId="6FFEA96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113</w:t>
            </w:r>
          </w:p>
        </w:tc>
        <w:tc>
          <w:tcPr>
            <w:tcW w:w="3660" w:type="dxa"/>
            <w:tcBorders>
              <w:top w:val="nil"/>
              <w:left w:val="nil"/>
              <w:bottom w:val="single" w:sz="4" w:space="0" w:color="auto"/>
              <w:right w:val="single" w:sz="4" w:space="0" w:color="auto"/>
            </w:tcBorders>
            <w:shd w:val="clear" w:color="auto" w:fill="C6EFCE"/>
            <w:noWrap/>
            <w:hideMark/>
          </w:tcPr>
          <w:p w14:paraId="17B6D1A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C6.R1</w:t>
            </w:r>
          </w:p>
          <w:p w14:paraId="5B95D4B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992" w:type="dxa"/>
            <w:tcBorders>
              <w:top w:val="nil"/>
              <w:left w:val="nil"/>
              <w:bottom w:val="single" w:sz="4" w:space="0" w:color="auto"/>
              <w:right w:val="single" w:sz="4" w:space="0" w:color="auto"/>
            </w:tcBorders>
            <w:shd w:val="clear" w:color="auto" w:fill="C6EFCE"/>
            <w:noWrap/>
            <w:hideMark/>
          </w:tcPr>
          <w:p w14:paraId="1E0DB97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55" w:type="dxa"/>
            <w:tcBorders>
              <w:top w:val="nil"/>
              <w:left w:val="nil"/>
              <w:bottom w:val="single" w:sz="4" w:space="0" w:color="auto"/>
              <w:right w:val="single" w:sz="4" w:space="0" w:color="auto"/>
            </w:tcBorders>
            <w:shd w:val="clear" w:color="auto" w:fill="C6EFCE"/>
            <w:noWrap/>
            <w:hideMark/>
          </w:tcPr>
          <w:p w14:paraId="0F91977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Dezafectarea capacității de producție de energie electrică pe bază de cărbune </w:t>
            </w:r>
          </w:p>
        </w:tc>
      </w:tr>
      <w:tr w:rsidR="00981F92" w:rsidRPr="000A27B3" w14:paraId="34835702"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48E1274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142</w:t>
            </w:r>
          </w:p>
        </w:tc>
        <w:tc>
          <w:tcPr>
            <w:tcW w:w="3660" w:type="dxa"/>
            <w:tcBorders>
              <w:top w:val="nil"/>
              <w:left w:val="nil"/>
              <w:bottom w:val="single" w:sz="4" w:space="0" w:color="auto"/>
              <w:right w:val="single" w:sz="4" w:space="0" w:color="auto"/>
            </w:tcBorders>
            <w:shd w:val="clear" w:color="auto" w:fill="C6EFCE"/>
            <w:noWrap/>
          </w:tcPr>
          <w:p w14:paraId="00ABC56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C7.R1 </w:t>
            </w:r>
          </w:p>
          <w:p w14:paraId="58BFC8C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Dezvoltarea unui cadru unitar pentru definirea arhitecturii unui sistem de tip cloud guvernamental</w:t>
            </w:r>
          </w:p>
        </w:tc>
        <w:tc>
          <w:tcPr>
            <w:tcW w:w="992" w:type="dxa"/>
            <w:tcBorders>
              <w:top w:val="nil"/>
              <w:left w:val="nil"/>
              <w:bottom w:val="single" w:sz="4" w:space="0" w:color="auto"/>
              <w:right w:val="single" w:sz="4" w:space="0" w:color="auto"/>
            </w:tcBorders>
            <w:shd w:val="clear" w:color="auto" w:fill="C6EFCE"/>
            <w:noWrap/>
          </w:tcPr>
          <w:p w14:paraId="5085FFB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3FAEEB3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 fost instituit și este operațional grupul operativ pentru implementarea și monitorizarea reformelor și investițiilor privind transformarea digitală</w:t>
            </w:r>
          </w:p>
        </w:tc>
      </w:tr>
      <w:tr w:rsidR="00981F92" w:rsidRPr="000A27B3" w14:paraId="0950257E"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2DADA50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150</w:t>
            </w:r>
          </w:p>
        </w:tc>
        <w:tc>
          <w:tcPr>
            <w:tcW w:w="3660" w:type="dxa"/>
            <w:tcBorders>
              <w:top w:val="nil"/>
              <w:left w:val="nil"/>
              <w:bottom w:val="single" w:sz="4" w:space="0" w:color="auto"/>
              <w:right w:val="single" w:sz="4" w:space="0" w:color="auto"/>
            </w:tcBorders>
            <w:shd w:val="clear" w:color="auto" w:fill="C6EFCE"/>
            <w:noWrap/>
          </w:tcPr>
          <w:p w14:paraId="79A07A9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C7.R3</w:t>
            </w:r>
            <w:r>
              <w:rPr>
                <w:rFonts w:ascii="Times New Roman" w:hAnsi="Times New Roman"/>
                <w:noProof/>
              </w:rPr>
              <w:br/>
              <w:t xml:space="preserve">Asigurarea securității cibernetice a entităților publice și private care dețin infrastructuri cu valențe critice </w:t>
            </w:r>
          </w:p>
        </w:tc>
        <w:tc>
          <w:tcPr>
            <w:tcW w:w="992" w:type="dxa"/>
            <w:tcBorders>
              <w:top w:val="nil"/>
              <w:left w:val="nil"/>
              <w:bottom w:val="single" w:sz="4" w:space="0" w:color="auto"/>
              <w:right w:val="single" w:sz="4" w:space="0" w:color="auto"/>
            </w:tcBorders>
            <w:shd w:val="clear" w:color="auto" w:fill="C6EFCE"/>
            <w:noWrap/>
          </w:tcPr>
          <w:p w14:paraId="1C8CFC6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67BAEE2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Strategiei naționale privind securitatea cibernetică 2021-2026</w:t>
            </w:r>
          </w:p>
        </w:tc>
      </w:tr>
      <w:tr w:rsidR="00981F92" w:rsidRPr="000A27B3" w14:paraId="4550F1F9"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62BB10E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211</w:t>
            </w:r>
          </w:p>
        </w:tc>
        <w:tc>
          <w:tcPr>
            <w:tcW w:w="3660" w:type="dxa"/>
            <w:tcBorders>
              <w:top w:val="nil"/>
              <w:left w:val="nil"/>
              <w:bottom w:val="single" w:sz="4" w:space="0" w:color="auto"/>
              <w:right w:val="single" w:sz="4" w:space="0" w:color="auto"/>
            </w:tcBorders>
            <w:shd w:val="clear" w:color="auto" w:fill="C6EFCE"/>
            <w:noWrap/>
          </w:tcPr>
          <w:p w14:paraId="3D83C48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C8.R6</w:t>
            </w:r>
          </w:p>
          <w:p w14:paraId="0318719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sistemului public de pensii</w:t>
            </w:r>
          </w:p>
        </w:tc>
        <w:tc>
          <w:tcPr>
            <w:tcW w:w="992" w:type="dxa"/>
            <w:tcBorders>
              <w:top w:val="nil"/>
              <w:left w:val="nil"/>
              <w:bottom w:val="single" w:sz="4" w:space="0" w:color="auto"/>
              <w:right w:val="single" w:sz="4" w:space="0" w:color="auto"/>
            </w:tcBorders>
            <w:shd w:val="clear" w:color="auto" w:fill="C6EFCE"/>
            <w:noWrap/>
          </w:tcPr>
          <w:p w14:paraId="5BCAD7A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0FBF9F5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Asistență tehnică contractuală furnizată de o entitate care va fi selectată în conformitate cu legislația națională privind achizițiile publice </w:t>
            </w:r>
          </w:p>
        </w:tc>
      </w:tr>
      <w:tr w:rsidR="00981F92" w:rsidRPr="000A27B3" w14:paraId="6ADE8538"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4D5FB2B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212</w:t>
            </w:r>
          </w:p>
        </w:tc>
        <w:tc>
          <w:tcPr>
            <w:tcW w:w="3660" w:type="dxa"/>
            <w:tcBorders>
              <w:top w:val="nil"/>
              <w:left w:val="nil"/>
              <w:bottom w:val="single" w:sz="4" w:space="0" w:color="auto"/>
              <w:right w:val="single" w:sz="4" w:space="0" w:color="auto"/>
            </w:tcBorders>
            <w:shd w:val="clear" w:color="auto" w:fill="C6EFCE"/>
            <w:noWrap/>
          </w:tcPr>
          <w:p w14:paraId="6B58582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C8.R6 </w:t>
            </w:r>
          </w:p>
          <w:p w14:paraId="373B583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sistemului public de pensii</w:t>
            </w:r>
          </w:p>
        </w:tc>
        <w:tc>
          <w:tcPr>
            <w:tcW w:w="992" w:type="dxa"/>
            <w:tcBorders>
              <w:top w:val="nil"/>
              <w:left w:val="nil"/>
              <w:bottom w:val="single" w:sz="4" w:space="0" w:color="auto"/>
              <w:right w:val="single" w:sz="4" w:space="0" w:color="auto"/>
            </w:tcBorders>
            <w:shd w:val="clear" w:color="auto" w:fill="C6EFCE"/>
            <w:noWrap/>
          </w:tcPr>
          <w:p w14:paraId="7AB413B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6965363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unui ordin al ministrului prin care se instituie un comitet de monitorizare însărcinat cu revizuirea, cu sprijin din partea furnizorului de asistență tehnică, a sistemului de pensii și a intervențiilor la nivel de politici în sistemul de pensii</w:t>
            </w:r>
          </w:p>
        </w:tc>
      </w:tr>
      <w:tr w:rsidR="00981F92" w:rsidRPr="000A27B3" w14:paraId="6E3FD40C"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75A9A4F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220</w:t>
            </w:r>
          </w:p>
        </w:tc>
        <w:tc>
          <w:tcPr>
            <w:tcW w:w="3660" w:type="dxa"/>
            <w:tcBorders>
              <w:top w:val="nil"/>
              <w:left w:val="nil"/>
              <w:bottom w:val="single" w:sz="4" w:space="0" w:color="auto"/>
              <w:right w:val="single" w:sz="4" w:space="0" w:color="auto"/>
            </w:tcBorders>
            <w:shd w:val="clear" w:color="auto" w:fill="C6EFCE"/>
            <w:noWrap/>
          </w:tcPr>
          <w:p w14:paraId="082B4A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C8.I2 </w:t>
            </w:r>
          </w:p>
          <w:p w14:paraId="7FCCC9C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proceselor de administrare a impozitelor și taxelor, inclusiv prin implementarea managementului integrat al riscurilor</w:t>
            </w:r>
          </w:p>
        </w:tc>
        <w:tc>
          <w:tcPr>
            <w:tcW w:w="992" w:type="dxa"/>
            <w:tcBorders>
              <w:top w:val="nil"/>
              <w:left w:val="nil"/>
              <w:bottom w:val="single" w:sz="4" w:space="0" w:color="auto"/>
              <w:right w:val="single" w:sz="4" w:space="0" w:color="auto"/>
            </w:tcBorders>
            <w:shd w:val="clear" w:color="auto" w:fill="C6EFCE"/>
            <w:noWrap/>
          </w:tcPr>
          <w:p w14:paraId="6E659E2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Ț</w:t>
            </w:r>
          </w:p>
        </w:tc>
        <w:tc>
          <w:tcPr>
            <w:tcW w:w="3455" w:type="dxa"/>
            <w:tcBorders>
              <w:top w:val="nil"/>
              <w:left w:val="nil"/>
              <w:bottom w:val="single" w:sz="4" w:space="0" w:color="auto"/>
              <w:right w:val="single" w:sz="4" w:space="0" w:color="auto"/>
            </w:tcBorders>
            <w:shd w:val="clear" w:color="auto" w:fill="C6EFCE"/>
            <w:noWrap/>
          </w:tcPr>
          <w:p w14:paraId="4B71F7E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Numărul de case de marcat conectate la sistemul informatic al Agenției Naționale de Administrare Fiscală </w:t>
            </w:r>
          </w:p>
        </w:tc>
      </w:tr>
      <w:tr w:rsidR="00981F92" w:rsidRPr="000A27B3" w14:paraId="43795C7B"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21B6B19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366</w:t>
            </w:r>
          </w:p>
        </w:tc>
        <w:tc>
          <w:tcPr>
            <w:tcW w:w="3660" w:type="dxa"/>
            <w:tcBorders>
              <w:top w:val="nil"/>
              <w:left w:val="nil"/>
              <w:bottom w:val="single" w:sz="4" w:space="0" w:color="auto"/>
              <w:right w:val="single" w:sz="4" w:space="0" w:color="auto"/>
            </w:tcBorders>
            <w:shd w:val="clear" w:color="auto" w:fill="C6EFCE"/>
            <w:noWrap/>
          </w:tcPr>
          <w:p w14:paraId="78C8CB8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C12.I1</w:t>
            </w:r>
          </w:p>
          <w:p w14:paraId="4A3588D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infrastructurii medicale prespitalicești</w:t>
            </w:r>
          </w:p>
        </w:tc>
        <w:tc>
          <w:tcPr>
            <w:tcW w:w="992" w:type="dxa"/>
            <w:tcBorders>
              <w:top w:val="nil"/>
              <w:left w:val="nil"/>
              <w:bottom w:val="single" w:sz="4" w:space="0" w:color="auto"/>
              <w:right w:val="single" w:sz="4" w:space="0" w:color="auto"/>
            </w:tcBorders>
            <w:shd w:val="clear" w:color="auto" w:fill="C6EFCE"/>
            <w:noWrap/>
          </w:tcPr>
          <w:p w14:paraId="02CF3E9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63A1710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criteriilor de prioritizare a investițiilor în centrele comunitare integrate</w:t>
            </w:r>
          </w:p>
        </w:tc>
      </w:tr>
      <w:tr w:rsidR="00981F92" w:rsidRPr="000A27B3" w14:paraId="67C7F204"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21DDA3B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426</w:t>
            </w:r>
          </w:p>
        </w:tc>
        <w:tc>
          <w:tcPr>
            <w:tcW w:w="3660" w:type="dxa"/>
            <w:tcBorders>
              <w:top w:val="nil"/>
              <w:left w:val="nil"/>
              <w:bottom w:val="single" w:sz="4" w:space="0" w:color="auto"/>
              <w:right w:val="single" w:sz="4" w:space="0" w:color="auto"/>
            </w:tcBorders>
            <w:shd w:val="clear" w:color="auto" w:fill="C6EFCE"/>
            <w:noWrap/>
          </w:tcPr>
          <w:p w14:paraId="4EDF675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C14.R6</w:t>
            </w:r>
          </w:p>
          <w:p w14:paraId="6B8B909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Intensificarea luptei împotriva corupției </w:t>
            </w:r>
          </w:p>
        </w:tc>
        <w:tc>
          <w:tcPr>
            <w:tcW w:w="992" w:type="dxa"/>
            <w:tcBorders>
              <w:top w:val="nil"/>
              <w:left w:val="nil"/>
              <w:bottom w:val="single" w:sz="4" w:space="0" w:color="auto"/>
              <w:right w:val="single" w:sz="4" w:space="0" w:color="auto"/>
            </w:tcBorders>
            <w:shd w:val="clear" w:color="auto" w:fill="C6EFCE"/>
            <w:noWrap/>
          </w:tcPr>
          <w:p w14:paraId="643644C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10FA277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hotărârii de guvern de aprobare a noii Strategii naționale anticorupție </w:t>
            </w:r>
          </w:p>
        </w:tc>
      </w:tr>
      <w:tr w:rsidR="00981F92" w:rsidRPr="000A27B3" w14:paraId="24F61578"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7C9C66B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450</w:t>
            </w:r>
          </w:p>
        </w:tc>
        <w:tc>
          <w:tcPr>
            <w:tcW w:w="3660" w:type="dxa"/>
            <w:tcBorders>
              <w:top w:val="nil"/>
              <w:left w:val="nil"/>
              <w:bottom w:val="single" w:sz="4" w:space="0" w:color="auto"/>
              <w:right w:val="single" w:sz="4" w:space="0" w:color="auto"/>
            </w:tcBorders>
            <w:shd w:val="clear" w:color="auto" w:fill="C6EFCE"/>
            <w:noWrap/>
          </w:tcPr>
          <w:p w14:paraId="171E07A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C14.I5 </w:t>
            </w:r>
          </w:p>
          <w:p w14:paraId="761749F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Monitorizarea și implementarea planului </w:t>
            </w:r>
          </w:p>
        </w:tc>
        <w:tc>
          <w:tcPr>
            <w:tcW w:w="992" w:type="dxa"/>
            <w:tcBorders>
              <w:top w:val="nil"/>
              <w:left w:val="nil"/>
              <w:bottom w:val="single" w:sz="4" w:space="0" w:color="auto"/>
              <w:right w:val="single" w:sz="4" w:space="0" w:color="auto"/>
            </w:tcBorders>
            <w:shd w:val="clear" w:color="auto" w:fill="C6EFCE"/>
            <w:noWrap/>
          </w:tcPr>
          <w:p w14:paraId="767E1F9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5F8FA69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Audit și controale: informații pentru monitorizarea implementării planului de redresare și reziliență</w:t>
            </w:r>
          </w:p>
        </w:tc>
      </w:tr>
      <w:tr w:rsidR="00981F92" w:rsidRPr="000A27B3" w14:paraId="5D93D02A"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0FA25BB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451</w:t>
            </w:r>
          </w:p>
        </w:tc>
        <w:tc>
          <w:tcPr>
            <w:tcW w:w="3660" w:type="dxa"/>
            <w:tcBorders>
              <w:top w:val="nil"/>
              <w:left w:val="nil"/>
              <w:bottom w:val="single" w:sz="4" w:space="0" w:color="auto"/>
              <w:right w:val="single" w:sz="4" w:space="0" w:color="auto"/>
            </w:tcBorders>
            <w:shd w:val="clear" w:color="auto" w:fill="C6EFCE"/>
            <w:noWrap/>
          </w:tcPr>
          <w:p w14:paraId="62A4202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C14.I5 </w:t>
            </w:r>
          </w:p>
          <w:p w14:paraId="4D72D20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Monitorizarea și implementarea planului </w:t>
            </w:r>
          </w:p>
        </w:tc>
        <w:tc>
          <w:tcPr>
            <w:tcW w:w="992" w:type="dxa"/>
            <w:tcBorders>
              <w:top w:val="nil"/>
              <w:left w:val="nil"/>
              <w:bottom w:val="single" w:sz="4" w:space="0" w:color="auto"/>
              <w:right w:val="single" w:sz="4" w:space="0" w:color="auto"/>
            </w:tcBorders>
            <w:shd w:val="clear" w:color="auto" w:fill="C6EFCE"/>
            <w:noWrap/>
          </w:tcPr>
          <w:p w14:paraId="48F16B6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70B1519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unei ordonanțe a guvernului privind stabilirea mandatului legal al Ministerului Investițiilor și Proiectelor Europene (MIPE), al Ministerului Finanțelor și al Autorității de Audit</w:t>
            </w:r>
          </w:p>
        </w:tc>
      </w:tr>
      <w:tr w:rsidR="00981F92" w:rsidRPr="000A27B3" w14:paraId="03F1DB0A"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0AA5D20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462</w:t>
            </w:r>
          </w:p>
        </w:tc>
        <w:tc>
          <w:tcPr>
            <w:tcW w:w="3660" w:type="dxa"/>
            <w:tcBorders>
              <w:top w:val="nil"/>
              <w:left w:val="nil"/>
              <w:bottom w:val="single" w:sz="4" w:space="0" w:color="auto"/>
              <w:right w:val="single" w:sz="4" w:space="0" w:color="auto"/>
            </w:tcBorders>
            <w:shd w:val="clear" w:color="auto" w:fill="C6EFCE"/>
            <w:noWrap/>
          </w:tcPr>
          <w:p w14:paraId="1676DFD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C15.R3</w:t>
            </w:r>
          </w:p>
          <w:p w14:paraId="6975DC4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sistemului de învățământ obligatoriu pentru prevenirea și reducerea părăsirii timpurii a școlii</w:t>
            </w:r>
          </w:p>
        </w:tc>
        <w:tc>
          <w:tcPr>
            <w:tcW w:w="992" w:type="dxa"/>
            <w:tcBorders>
              <w:top w:val="nil"/>
              <w:left w:val="nil"/>
              <w:bottom w:val="single" w:sz="4" w:space="0" w:color="auto"/>
              <w:right w:val="single" w:sz="4" w:space="0" w:color="auto"/>
            </w:tcBorders>
            <w:shd w:val="clear" w:color="auto" w:fill="C6EFCE"/>
            <w:noWrap/>
          </w:tcPr>
          <w:p w14:paraId="69913B5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039EF38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Hotărârii de guvern privind realizarea programului național pentru reducerea abandonului școlar</w:t>
            </w:r>
          </w:p>
        </w:tc>
      </w:tr>
      <w:tr w:rsidR="000A27B3" w:rsidRPr="000A27B3" w14:paraId="689D07D6" w14:textId="77777777">
        <w:trPr>
          <w:trHeight w:val="302"/>
        </w:trPr>
        <w:tc>
          <w:tcPr>
            <w:tcW w:w="1297" w:type="dxa"/>
            <w:tcBorders>
              <w:top w:val="nil"/>
              <w:left w:val="single" w:sz="4" w:space="0" w:color="auto"/>
              <w:bottom w:val="single" w:sz="4" w:space="0" w:color="auto"/>
              <w:right w:val="single" w:sz="4" w:space="0" w:color="auto"/>
            </w:tcBorders>
            <w:shd w:val="clear" w:color="auto" w:fill="C6EFCE"/>
            <w:noWrap/>
          </w:tcPr>
          <w:p w14:paraId="706CC34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464</w:t>
            </w:r>
          </w:p>
        </w:tc>
        <w:tc>
          <w:tcPr>
            <w:tcW w:w="3660" w:type="dxa"/>
            <w:tcBorders>
              <w:top w:val="nil"/>
              <w:left w:val="nil"/>
              <w:bottom w:val="single" w:sz="4" w:space="0" w:color="auto"/>
              <w:right w:val="single" w:sz="4" w:space="0" w:color="auto"/>
            </w:tcBorders>
            <w:shd w:val="clear" w:color="auto" w:fill="C6EFCE"/>
            <w:noWrap/>
          </w:tcPr>
          <w:p w14:paraId="178D7BC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C15.I4</w:t>
            </w:r>
          </w:p>
          <w:p w14:paraId="29D23F4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Sprijinirea unităților de învățământ cu risc ridicat de abandon școlar</w:t>
            </w:r>
          </w:p>
        </w:tc>
        <w:tc>
          <w:tcPr>
            <w:tcW w:w="992" w:type="dxa"/>
            <w:tcBorders>
              <w:top w:val="nil"/>
              <w:left w:val="nil"/>
              <w:bottom w:val="single" w:sz="4" w:space="0" w:color="auto"/>
              <w:right w:val="single" w:sz="4" w:space="0" w:color="auto"/>
            </w:tcBorders>
            <w:shd w:val="clear" w:color="auto" w:fill="C6EFCE"/>
            <w:noWrap/>
          </w:tcPr>
          <w:p w14:paraId="01D1A92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55" w:type="dxa"/>
            <w:tcBorders>
              <w:top w:val="nil"/>
              <w:left w:val="nil"/>
              <w:bottom w:val="single" w:sz="4" w:space="0" w:color="auto"/>
              <w:right w:val="single" w:sz="4" w:space="0" w:color="auto"/>
            </w:tcBorders>
            <w:shd w:val="clear" w:color="auto" w:fill="C6EFCE"/>
            <w:noWrap/>
          </w:tcPr>
          <w:p w14:paraId="6352553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Procedură de ofertare pentru sprijinirea elevilor în vederea asigurării tranziției de la învățământul secundar inferior la cel superior, pe baza a 5 indicatori definiți în Mecanismul de Avertizare Timpurie în Educație</w:t>
            </w:r>
          </w:p>
        </w:tc>
      </w:tr>
      <w:tr w:rsidR="00981F92" w:rsidRPr="000A27B3" w14:paraId="7F3A680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tcPr>
          <w:p w14:paraId="6B428531" w14:textId="77777777" w:rsidR="00981F92" w:rsidRPr="009F1DC7" w:rsidRDefault="00981F92">
            <w:pPr>
              <w:spacing w:after="0"/>
              <w:jc w:val="center"/>
              <w:rPr>
                <w:rFonts w:ascii="Times New Roman" w:eastAsia="Times New Roman" w:hAnsi="Times New Roman" w:cs="Times New Roman"/>
                <w:noProof/>
                <w:lang w:eastAsia="en-GB"/>
              </w:rPr>
            </w:pPr>
          </w:p>
        </w:tc>
        <w:tc>
          <w:tcPr>
            <w:tcW w:w="3660" w:type="dxa"/>
            <w:tcBorders>
              <w:top w:val="single" w:sz="4" w:space="0" w:color="auto"/>
              <w:left w:val="nil"/>
              <w:bottom w:val="single" w:sz="4" w:space="0" w:color="auto"/>
              <w:right w:val="single" w:sz="4" w:space="0" w:color="auto"/>
            </w:tcBorders>
            <w:shd w:val="clear" w:color="auto" w:fill="C6EFCE"/>
            <w:noWrap/>
          </w:tcPr>
          <w:p w14:paraId="71FC8A94" w14:textId="77777777" w:rsidR="00981F92" w:rsidRPr="009F1DC7" w:rsidRDefault="00981F92">
            <w:pPr>
              <w:spacing w:after="0"/>
              <w:jc w:val="both"/>
              <w:rPr>
                <w:rFonts w:ascii="Times New Roman" w:eastAsia="Times New Roman" w:hAnsi="Times New Roman" w:cs="Times New Roman"/>
                <w:noProof/>
                <w:lang w:eastAsia="en-GB"/>
              </w:rPr>
            </w:pPr>
          </w:p>
        </w:tc>
        <w:tc>
          <w:tcPr>
            <w:tcW w:w="992" w:type="dxa"/>
            <w:tcBorders>
              <w:top w:val="single" w:sz="4" w:space="0" w:color="auto"/>
              <w:left w:val="nil"/>
              <w:bottom w:val="single" w:sz="4" w:space="0" w:color="auto"/>
              <w:right w:val="single" w:sz="4" w:space="0" w:color="auto"/>
            </w:tcBorders>
            <w:shd w:val="clear" w:color="auto" w:fill="C6EFCE"/>
            <w:noWrap/>
          </w:tcPr>
          <w:p w14:paraId="005D519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55" w:type="dxa"/>
            <w:tcBorders>
              <w:top w:val="single" w:sz="4" w:space="0" w:color="auto"/>
              <w:left w:val="nil"/>
              <w:bottom w:val="single" w:sz="4" w:space="0" w:color="auto"/>
              <w:right w:val="single" w:sz="4" w:space="0" w:color="auto"/>
            </w:tcBorders>
            <w:shd w:val="clear" w:color="auto" w:fill="C6EFCE"/>
            <w:noWrap/>
            <w:vAlign w:val="center"/>
          </w:tcPr>
          <w:p w14:paraId="1710EC00" w14:textId="77777777"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2 037 146 414 EUR</w:t>
            </w:r>
          </w:p>
        </w:tc>
      </w:tr>
    </w:tbl>
    <w:p w14:paraId="7EB6E829" w14:textId="77777777" w:rsidR="00981F92" w:rsidRPr="000A27B3" w:rsidRDefault="00981F92">
      <w:pPr>
        <w:rPr>
          <w:rFonts w:ascii="Times New Roman" w:hAnsi="Times New Roman" w:cs="Times New Roman"/>
          <w:noProof/>
        </w:rPr>
      </w:pPr>
    </w:p>
    <w:p w14:paraId="49F561B5" w14:textId="77777777" w:rsidR="00981F92" w:rsidRPr="000A27B3" w:rsidRDefault="00981F92">
      <w:pPr>
        <w:rPr>
          <w:rFonts w:ascii="Times New Roman" w:hAnsi="Times New Roman" w:cs="Times New Roman"/>
          <w:noProof/>
        </w:rPr>
      </w:pPr>
      <w:r>
        <w:rPr>
          <w:noProof/>
        </w:rPr>
        <w:br w:type="page"/>
      </w:r>
    </w:p>
    <w:p w14:paraId="65B23D7C" w14:textId="77777777" w:rsidR="00981F92" w:rsidRPr="000A27B3" w:rsidRDefault="00981F92">
      <w:pPr>
        <w:pStyle w:val="Heading3"/>
        <w:rPr>
          <w:noProof/>
          <w:szCs w:val="24"/>
        </w:rPr>
      </w:pPr>
      <w:r>
        <w:rPr>
          <w:noProof/>
        </w:rPr>
        <w:t xml:space="preserve">A doua tranșă (sprijin nerambursabil): </w:t>
      </w:r>
    </w:p>
    <w:tbl>
      <w:tblPr>
        <w:tblW w:w="9634" w:type="dxa"/>
        <w:tblInd w:w="113" w:type="dxa"/>
        <w:tblLook w:val="04A0" w:firstRow="1" w:lastRow="0" w:firstColumn="1" w:lastColumn="0" w:noHBand="0" w:noVBand="1"/>
      </w:tblPr>
      <w:tblGrid>
        <w:gridCol w:w="1356"/>
        <w:gridCol w:w="3633"/>
        <w:gridCol w:w="1243"/>
        <w:gridCol w:w="3402"/>
      </w:tblGrid>
      <w:tr w:rsidR="00981F92" w:rsidRPr="000A27B3" w14:paraId="5D73E7BB" w14:textId="77777777">
        <w:trPr>
          <w:trHeight w:val="906"/>
          <w:tblHeader/>
        </w:trPr>
        <w:tc>
          <w:tcPr>
            <w:tcW w:w="135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1EDAAFF"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63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5C5B029"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5C03DF39"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4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B9785BF"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1EF2A36A"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31FD17E7" w14:textId="77777777">
        <w:trPr>
          <w:trHeight w:val="509"/>
          <w:tblHeader/>
        </w:trPr>
        <w:tc>
          <w:tcPr>
            <w:tcW w:w="1356" w:type="dxa"/>
            <w:vMerge/>
            <w:tcBorders>
              <w:top w:val="single" w:sz="4" w:space="0" w:color="auto"/>
              <w:left w:val="single" w:sz="4" w:space="0" w:color="auto"/>
              <w:bottom w:val="single" w:sz="4" w:space="0" w:color="000000"/>
              <w:right w:val="single" w:sz="4" w:space="0" w:color="auto"/>
            </w:tcBorders>
            <w:vAlign w:val="center"/>
            <w:hideMark/>
          </w:tcPr>
          <w:p w14:paraId="428DE30D"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633" w:type="dxa"/>
            <w:vMerge/>
            <w:tcBorders>
              <w:top w:val="single" w:sz="4" w:space="0" w:color="auto"/>
              <w:left w:val="single" w:sz="4" w:space="0" w:color="auto"/>
              <w:bottom w:val="single" w:sz="4" w:space="0" w:color="000000"/>
              <w:right w:val="single" w:sz="4" w:space="0" w:color="auto"/>
            </w:tcBorders>
            <w:vAlign w:val="center"/>
            <w:hideMark/>
          </w:tcPr>
          <w:p w14:paraId="584C35B3" w14:textId="77777777" w:rsidR="00981F92" w:rsidRPr="000A27B3" w:rsidRDefault="00981F92">
            <w:pPr>
              <w:spacing w:after="0"/>
              <w:rPr>
                <w:rFonts w:ascii="Times New Roman" w:eastAsia="Times New Roman" w:hAnsi="Times New Roman" w:cs="Times New Roman"/>
                <w:b/>
                <w:bCs/>
                <w:noProof/>
                <w:lang w:eastAsia="en-GB"/>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14:paraId="7EB4F4E8"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7F246329"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153850F2"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hideMark/>
          </w:tcPr>
          <w:p w14:paraId="558AC41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124</w:t>
            </w:r>
          </w:p>
        </w:tc>
        <w:tc>
          <w:tcPr>
            <w:tcW w:w="3633" w:type="dxa"/>
            <w:tcBorders>
              <w:top w:val="nil"/>
              <w:left w:val="nil"/>
              <w:bottom w:val="single" w:sz="4" w:space="0" w:color="auto"/>
              <w:right w:val="single" w:sz="4" w:space="0" w:color="auto"/>
            </w:tcBorders>
            <w:shd w:val="clear" w:color="auto" w:fill="C6EFCE"/>
            <w:noWrap/>
            <w:hideMark/>
          </w:tcPr>
          <w:p w14:paraId="4790C7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C6.I1</w:t>
            </w:r>
          </w:p>
          <w:p w14:paraId="18422EA0" w14:textId="77777777" w:rsidR="00981F92" w:rsidRPr="000A27B3" w:rsidRDefault="00981F92">
            <w:pPr>
              <w:spacing w:after="0"/>
              <w:rPr>
                <w:rFonts w:ascii="Times New Roman" w:eastAsia="Times New Roman" w:hAnsi="Times New Roman" w:cs="Times New Roman"/>
                <w:noProof/>
              </w:rPr>
            </w:pPr>
            <w:r>
              <w:rPr>
                <w:rFonts w:ascii="Times New Roman" w:hAnsi="Times New Roman"/>
                <w:noProof/>
              </w:rPr>
              <w:t>Noi capacități de producție de energie electrică din surse regenerabile</w:t>
            </w:r>
          </w:p>
        </w:tc>
        <w:tc>
          <w:tcPr>
            <w:tcW w:w="1243" w:type="dxa"/>
            <w:tcBorders>
              <w:top w:val="nil"/>
              <w:left w:val="nil"/>
              <w:bottom w:val="single" w:sz="4" w:space="0" w:color="auto"/>
              <w:right w:val="single" w:sz="4" w:space="0" w:color="auto"/>
            </w:tcBorders>
            <w:shd w:val="clear" w:color="auto" w:fill="C6EFCE"/>
            <w:noWrap/>
            <w:hideMark/>
          </w:tcPr>
          <w:p w14:paraId="3E0381A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279188C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Lansarea unei proceduri de ofertare pentru proiecte de producție de energie din surse regenerabile (energie eoliană și solară)</w:t>
            </w:r>
          </w:p>
        </w:tc>
      </w:tr>
      <w:tr w:rsidR="00981F92" w:rsidRPr="000A27B3" w14:paraId="3A4A0CF2"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hideMark/>
          </w:tcPr>
          <w:p w14:paraId="2C861EE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143</w:t>
            </w:r>
          </w:p>
        </w:tc>
        <w:tc>
          <w:tcPr>
            <w:tcW w:w="3633" w:type="dxa"/>
            <w:tcBorders>
              <w:top w:val="nil"/>
              <w:left w:val="nil"/>
              <w:bottom w:val="single" w:sz="4" w:space="0" w:color="auto"/>
              <w:right w:val="single" w:sz="4" w:space="0" w:color="auto"/>
            </w:tcBorders>
            <w:shd w:val="clear" w:color="auto" w:fill="C6EFCE"/>
            <w:noWrap/>
            <w:hideMark/>
          </w:tcPr>
          <w:p w14:paraId="305CF065" w14:textId="77777777" w:rsidR="00981F92" w:rsidRPr="000A27B3" w:rsidRDefault="00981F92">
            <w:pPr>
              <w:spacing w:after="0"/>
              <w:rPr>
                <w:rFonts w:ascii="Times New Roman" w:hAnsi="Times New Roman" w:cs="Times New Roman"/>
                <w:noProof/>
              </w:rPr>
            </w:pPr>
            <w:r>
              <w:rPr>
                <w:rFonts w:ascii="Times New Roman" w:hAnsi="Times New Roman"/>
                <w:noProof/>
              </w:rPr>
              <w:t>C7.R1</w:t>
            </w:r>
          </w:p>
          <w:p w14:paraId="787F100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unui cadru unitar pentru definirea arhitecturii unui sistem de tip cloud guvernamental </w:t>
            </w:r>
          </w:p>
        </w:tc>
        <w:tc>
          <w:tcPr>
            <w:tcW w:w="1243" w:type="dxa"/>
            <w:tcBorders>
              <w:top w:val="nil"/>
              <w:left w:val="nil"/>
              <w:bottom w:val="single" w:sz="4" w:space="0" w:color="auto"/>
              <w:right w:val="single" w:sz="4" w:space="0" w:color="auto"/>
            </w:tcBorders>
            <w:shd w:val="clear" w:color="auto" w:fill="C6EFCE"/>
            <w:noWrap/>
            <w:hideMark/>
          </w:tcPr>
          <w:p w14:paraId="3D97E03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0681BD5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Finalizarea analizei opțiunilor privind arhitectura cloud-ului guvernamental </w:t>
            </w:r>
          </w:p>
        </w:tc>
      </w:tr>
      <w:tr w:rsidR="00981F92" w:rsidRPr="000A27B3" w14:paraId="7A5BA845"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5DF854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191</w:t>
            </w:r>
          </w:p>
        </w:tc>
        <w:tc>
          <w:tcPr>
            <w:tcW w:w="3633" w:type="dxa"/>
            <w:tcBorders>
              <w:top w:val="nil"/>
              <w:left w:val="nil"/>
              <w:bottom w:val="single" w:sz="4" w:space="0" w:color="auto"/>
              <w:right w:val="single" w:sz="4" w:space="0" w:color="auto"/>
            </w:tcBorders>
            <w:shd w:val="clear" w:color="auto" w:fill="C6EFCE"/>
            <w:noWrap/>
          </w:tcPr>
          <w:p w14:paraId="2B095EDF" w14:textId="77777777" w:rsidR="00981F92" w:rsidRPr="000A27B3" w:rsidRDefault="00981F92">
            <w:pPr>
              <w:spacing w:after="0"/>
              <w:rPr>
                <w:rFonts w:ascii="Times New Roman" w:hAnsi="Times New Roman" w:cs="Times New Roman"/>
                <w:noProof/>
              </w:rPr>
            </w:pPr>
            <w:r>
              <w:rPr>
                <w:rFonts w:ascii="Times New Roman" w:hAnsi="Times New Roman"/>
                <w:noProof/>
              </w:rPr>
              <w:t>C8.R1</w:t>
            </w:r>
          </w:p>
          <w:p w14:paraId="2189559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Agenției Naționale de Administrare Fiscală (ANAF) prin digitalizare </w:t>
            </w:r>
          </w:p>
        </w:tc>
        <w:tc>
          <w:tcPr>
            <w:tcW w:w="1243" w:type="dxa"/>
            <w:tcBorders>
              <w:top w:val="nil"/>
              <w:left w:val="nil"/>
              <w:bottom w:val="single" w:sz="4" w:space="0" w:color="auto"/>
              <w:right w:val="single" w:sz="4" w:space="0" w:color="auto"/>
            </w:tcBorders>
            <w:shd w:val="clear" w:color="auto" w:fill="C6EFCE"/>
            <w:noWrap/>
          </w:tcPr>
          <w:p w14:paraId="2CA4A39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324EB1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cadrului legal pentru înscrierea contribuabililor persoane juridice în SPV (Spațiul Privat Virtual)</w:t>
            </w:r>
          </w:p>
        </w:tc>
      </w:tr>
      <w:tr w:rsidR="00981F92" w:rsidRPr="000A27B3" w14:paraId="05DDC543"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95353E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195</w:t>
            </w:r>
          </w:p>
        </w:tc>
        <w:tc>
          <w:tcPr>
            <w:tcW w:w="3633" w:type="dxa"/>
            <w:tcBorders>
              <w:top w:val="nil"/>
              <w:left w:val="nil"/>
              <w:bottom w:val="single" w:sz="4" w:space="0" w:color="auto"/>
              <w:right w:val="single" w:sz="4" w:space="0" w:color="auto"/>
            </w:tcBorders>
            <w:shd w:val="clear" w:color="auto" w:fill="C6EFCE"/>
            <w:noWrap/>
          </w:tcPr>
          <w:p w14:paraId="7CC5BF78" w14:textId="77777777" w:rsidR="00981F92" w:rsidRPr="000A27B3" w:rsidRDefault="00981F92">
            <w:pPr>
              <w:spacing w:after="0"/>
              <w:rPr>
                <w:rFonts w:ascii="Times New Roman" w:hAnsi="Times New Roman" w:cs="Times New Roman"/>
                <w:noProof/>
              </w:rPr>
            </w:pPr>
            <w:r>
              <w:rPr>
                <w:rFonts w:ascii="Times New Roman" w:hAnsi="Times New Roman"/>
                <w:noProof/>
              </w:rPr>
              <w:t>C8.R1</w:t>
            </w:r>
          </w:p>
          <w:p w14:paraId="494F4B8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Agenției Naționale de Administrare Fiscală (ANAF) prin digitalizare </w:t>
            </w:r>
          </w:p>
        </w:tc>
        <w:tc>
          <w:tcPr>
            <w:tcW w:w="1243" w:type="dxa"/>
            <w:tcBorders>
              <w:top w:val="nil"/>
              <w:left w:val="nil"/>
              <w:bottom w:val="single" w:sz="4" w:space="0" w:color="auto"/>
              <w:right w:val="single" w:sz="4" w:space="0" w:color="auto"/>
            </w:tcBorders>
            <w:shd w:val="clear" w:color="auto" w:fill="C6EFCE"/>
            <w:noWrap/>
          </w:tcPr>
          <w:p w14:paraId="0211CB2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FAC08E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Operaționalizarea/aprobarea Planului comun de acțiune al Agenției Naționale de Administrare Fiscală și al Inspecției Muncii pentru prevenirea și limitarea fenomenului de evaziune a muncii la gri/la negru</w:t>
            </w:r>
          </w:p>
        </w:tc>
      </w:tr>
      <w:tr w:rsidR="00981F92" w:rsidRPr="000A27B3" w14:paraId="35A0800E"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7E548D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213</w:t>
            </w:r>
          </w:p>
        </w:tc>
        <w:tc>
          <w:tcPr>
            <w:tcW w:w="3633" w:type="dxa"/>
            <w:tcBorders>
              <w:top w:val="nil"/>
              <w:left w:val="nil"/>
              <w:bottom w:val="single" w:sz="4" w:space="0" w:color="auto"/>
              <w:right w:val="single" w:sz="4" w:space="0" w:color="auto"/>
            </w:tcBorders>
            <w:shd w:val="clear" w:color="auto" w:fill="C6EFCE"/>
            <w:noWrap/>
          </w:tcPr>
          <w:p w14:paraId="222783F2" w14:textId="77777777" w:rsidR="00981F92" w:rsidRPr="000A27B3" w:rsidRDefault="00981F92">
            <w:pPr>
              <w:spacing w:after="0"/>
              <w:rPr>
                <w:rFonts w:ascii="Times New Roman" w:hAnsi="Times New Roman" w:cs="Times New Roman"/>
                <w:noProof/>
              </w:rPr>
            </w:pPr>
            <w:r>
              <w:rPr>
                <w:rFonts w:ascii="Times New Roman" w:hAnsi="Times New Roman"/>
                <w:noProof/>
              </w:rPr>
              <w:t>C8.R6</w:t>
            </w:r>
          </w:p>
          <w:p w14:paraId="60FDA4B7" w14:textId="77777777" w:rsidR="00981F92" w:rsidRPr="000A27B3" w:rsidRDefault="00981F92">
            <w:pPr>
              <w:spacing w:after="0"/>
              <w:rPr>
                <w:rFonts w:ascii="Times New Roman" w:hAnsi="Times New Roman" w:cs="Times New Roman"/>
                <w:noProof/>
              </w:rPr>
            </w:pPr>
            <w:r>
              <w:rPr>
                <w:rFonts w:ascii="Times New Roman" w:hAnsi="Times New Roman"/>
                <w:noProof/>
              </w:rPr>
              <w:t>Reforma sistemului public de pensii</w:t>
            </w:r>
          </w:p>
        </w:tc>
        <w:tc>
          <w:tcPr>
            <w:tcW w:w="1243" w:type="dxa"/>
            <w:tcBorders>
              <w:top w:val="nil"/>
              <w:left w:val="nil"/>
              <w:bottom w:val="single" w:sz="4" w:space="0" w:color="auto"/>
              <w:right w:val="single" w:sz="4" w:space="0" w:color="auto"/>
            </w:tcBorders>
            <w:shd w:val="clear" w:color="auto" w:fill="C6EFCE"/>
            <w:noWrap/>
          </w:tcPr>
          <w:p w14:paraId="7DA4FD7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D9C70C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modificărilor aduse cadrului de reglementare pentru a se asigura sustenabilitatea pensiilor din cadrul pilonului 2</w:t>
            </w:r>
          </w:p>
        </w:tc>
      </w:tr>
      <w:tr w:rsidR="00981F92" w:rsidRPr="000A27B3" w14:paraId="7CB50154"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695D5E2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387</w:t>
            </w:r>
          </w:p>
        </w:tc>
        <w:tc>
          <w:tcPr>
            <w:tcW w:w="3633" w:type="dxa"/>
            <w:tcBorders>
              <w:top w:val="nil"/>
              <w:left w:val="nil"/>
              <w:bottom w:val="single" w:sz="4" w:space="0" w:color="auto"/>
              <w:right w:val="single" w:sz="4" w:space="0" w:color="auto"/>
            </w:tcBorders>
            <w:shd w:val="clear" w:color="auto" w:fill="C6EFCE"/>
            <w:noWrap/>
          </w:tcPr>
          <w:p w14:paraId="3DF28398" w14:textId="77777777" w:rsidR="00981F92" w:rsidRPr="000A27B3" w:rsidRDefault="00981F92">
            <w:pPr>
              <w:spacing w:after="0"/>
              <w:rPr>
                <w:rFonts w:ascii="Times New Roman" w:hAnsi="Times New Roman" w:cs="Times New Roman"/>
                <w:noProof/>
              </w:rPr>
            </w:pPr>
            <w:r>
              <w:rPr>
                <w:rFonts w:ascii="Times New Roman" w:hAnsi="Times New Roman"/>
                <w:noProof/>
              </w:rPr>
              <w:t>C13.R4</w:t>
            </w:r>
          </w:p>
          <w:p w14:paraId="1BAF2E3F" w14:textId="77777777" w:rsidR="00981F92" w:rsidRPr="000A27B3" w:rsidRDefault="00981F92">
            <w:pPr>
              <w:spacing w:after="0"/>
              <w:rPr>
                <w:rFonts w:ascii="Times New Roman" w:eastAsia="Times New Roman" w:hAnsi="Times New Roman" w:cs="Times New Roman"/>
                <w:noProof/>
              </w:rPr>
            </w:pPr>
            <w:r>
              <w:rPr>
                <w:rFonts w:ascii="Times New Roman" w:hAnsi="Times New Roman"/>
                <w:noProof/>
              </w:rPr>
              <w:t>Introducerea tichetelor de muncă și formalizarea muncii în domeniul lucrătorilor casnici</w:t>
            </w:r>
          </w:p>
        </w:tc>
        <w:tc>
          <w:tcPr>
            <w:tcW w:w="1243" w:type="dxa"/>
            <w:tcBorders>
              <w:top w:val="nil"/>
              <w:left w:val="nil"/>
              <w:bottom w:val="single" w:sz="4" w:space="0" w:color="auto"/>
              <w:right w:val="single" w:sz="4" w:space="0" w:color="auto"/>
            </w:tcBorders>
            <w:shd w:val="clear" w:color="auto" w:fill="C6EFCE"/>
            <w:noWrap/>
          </w:tcPr>
          <w:p w14:paraId="2A8DDA1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EF373F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legislației și a normelor de aplicare privind sistemul de tichete pentru lucrătorii casnici </w:t>
            </w:r>
          </w:p>
        </w:tc>
      </w:tr>
      <w:tr w:rsidR="00981F92" w:rsidRPr="000A27B3" w14:paraId="2D60F9B9"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700E69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401</w:t>
            </w:r>
          </w:p>
        </w:tc>
        <w:tc>
          <w:tcPr>
            <w:tcW w:w="3633" w:type="dxa"/>
            <w:tcBorders>
              <w:top w:val="nil"/>
              <w:left w:val="nil"/>
              <w:bottom w:val="single" w:sz="4" w:space="0" w:color="auto"/>
              <w:right w:val="single" w:sz="4" w:space="0" w:color="auto"/>
            </w:tcBorders>
            <w:shd w:val="clear" w:color="auto" w:fill="C6EFCE"/>
            <w:noWrap/>
          </w:tcPr>
          <w:p w14:paraId="089BA22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55A85D7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43" w:type="dxa"/>
            <w:tcBorders>
              <w:top w:val="nil"/>
              <w:left w:val="nil"/>
              <w:bottom w:val="single" w:sz="4" w:space="0" w:color="auto"/>
              <w:right w:val="single" w:sz="4" w:space="0" w:color="auto"/>
            </w:tcBorders>
            <w:shd w:val="clear" w:color="auto" w:fill="C6EFCE"/>
            <w:noWrap/>
          </w:tcPr>
          <w:p w14:paraId="3716EAB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537165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metodologiilor și a procedurilor de îmbunătățire a raționamentului în materie de politici publice și a planificării și simplificării administrative</w:t>
            </w:r>
          </w:p>
        </w:tc>
      </w:tr>
      <w:tr w:rsidR="00981F92" w:rsidRPr="000A27B3" w14:paraId="01859885"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C58FA2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404</w:t>
            </w:r>
          </w:p>
        </w:tc>
        <w:tc>
          <w:tcPr>
            <w:tcW w:w="3633" w:type="dxa"/>
            <w:tcBorders>
              <w:top w:val="nil"/>
              <w:left w:val="nil"/>
              <w:bottom w:val="single" w:sz="4" w:space="0" w:color="auto"/>
              <w:right w:val="single" w:sz="4" w:space="0" w:color="auto"/>
            </w:tcBorders>
            <w:shd w:val="clear" w:color="auto" w:fill="C6EFCE"/>
            <w:noWrap/>
          </w:tcPr>
          <w:p w14:paraId="7C82BDF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3EBE349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43" w:type="dxa"/>
            <w:tcBorders>
              <w:top w:val="nil"/>
              <w:left w:val="nil"/>
              <w:bottom w:val="single" w:sz="4" w:space="0" w:color="auto"/>
              <w:right w:val="single" w:sz="4" w:space="0" w:color="auto"/>
            </w:tcBorders>
            <w:shd w:val="clear" w:color="auto" w:fill="C6EFCE"/>
            <w:noWrap/>
          </w:tcPr>
          <w:p w14:paraId="21F4AE4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2CE5AF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unui act legislativ de operaționalizare a unei structuri care să asigure implementarea unui mecanism eficace de control al calității în materie de reglementare</w:t>
            </w:r>
          </w:p>
        </w:tc>
      </w:tr>
      <w:tr w:rsidR="00981F92" w:rsidRPr="000A27B3" w14:paraId="03185F19"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D38DC6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421</w:t>
            </w:r>
          </w:p>
        </w:tc>
        <w:tc>
          <w:tcPr>
            <w:tcW w:w="3633" w:type="dxa"/>
            <w:tcBorders>
              <w:top w:val="nil"/>
              <w:left w:val="nil"/>
              <w:bottom w:val="single" w:sz="4" w:space="0" w:color="auto"/>
              <w:right w:val="single" w:sz="4" w:space="0" w:color="auto"/>
            </w:tcBorders>
            <w:shd w:val="clear" w:color="auto" w:fill="C6EFCE"/>
            <w:noWrap/>
          </w:tcPr>
          <w:p w14:paraId="096CAD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C14.R5</w:t>
            </w:r>
          </w:p>
          <w:p w14:paraId="2957F20D" w14:textId="22C7BA5A"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Garantarea independenței justiției, creșterea calității și eficienței acesteia</w:t>
            </w:r>
            <w:r w:rsidR="004C4C72">
              <w:rPr>
                <w:rFonts w:ascii="Times New Roman" w:hAnsi="Times New Roman"/>
                <w:noProof/>
              </w:rPr>
              <w:t xml:space="preserve"> </w:t>
            </w:r>
          </w:p>
        </w:tc>
        <w:tc>
          <w:tcPr>
            <w:tcW w:w="1243" w:type="dxa"/>
            <w:tcBorders>
              <w:top w:val="nil"/>
              <w:left w:val="nil"/>
              <w:bottom w:val="single" w:sz="4" w:space="0" w:color="auto"/>
              <w:right w:val="single" w:sz="4" w:space="0" w:color="auto"/>
            </w:tcBorders>
            <w:shd w:val="clear" w:color="auto" w:fill="C6EFCE"/>
            <w:noWrap/>
          </w:tcPr>
          <w:p w14:paraId="2DED979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EDE596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hotărârii de guvern de aprobare a Strategiei de dezvoltare a sistemului judiciar 2022-2025 </w:t>
            </w:r>
          </w:p>
        </w:tc>
      </w:tr>
      <w:tr w:rsidR="00981F92" w:rsidRPr="000A27B3" w14:paraId="714988B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5904E8A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430</w:t>
            </w:r>
          </w:p>
        </w:tc>
        <w:tc>
          <w:tcPr>
            <w:tcW w:w="3633" w:type="dxa"/>
            <w:tcBorders>
              <w:top w:val="nil"/>
              <w:left w:val="nil"/>
              <w:bottom w:val="single" w:sz="4" w:space="0" w:color="auto"/>
              <w:right w:val="single" w:sz="4" w:space="0" w:color="auto"/>
            </w:tcBorders>
            <w:shd w:val="clear" w:color="auto" w:fill="C6EFCE"/>
            <w:noWrap/>
          </w:tcPr>
          <w:p w14:paraId="2C5ED6D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C14.R6</w:t>
            </w:r>
          </w:p>
          <w:p w14:paraId="4D65DEF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Intensificarea luptei împotriva corupției </w:t>
            </w:r>
          </w:p>
        </w:tc>
        <w:tc>
          <w:tcPr>
            <w:tcW w:w="1243" w:type="dxa"/>
            <w:tcBorders>
              <w:top w:val="nil"/>
              <w:left w:val="nil"/>
              <w:bottom w:val="single" w:sz="4" w:space="0" w:color="auto"/>
              <w:right w:val="single" w:sz="4" w:space="0" w:color="auto"/>
            </w:tcBorders>
            <w:shd w:val="clear" w:color="auto" w:fill="C6EFCE"/>
            <w:noWrap/>
          </w:tcPr>
          <w:p w14:paraId="582754D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7ED9A6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de transpunere a directivei privind protecția avertizorilor de integritate</w:t>
            </w:r>
          </w:p>
        </w:tc>
      </w:tr>
      <w:tr w:rsidR="00981F92" w:rsidRPr="000A27B3" w14:paraId="0E438B8D"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D0F5F0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433</w:t>
            </w:r>
          </w:p>
        </w:tc>
        <w:tc>
          <w:tcPr>
            <w:tcW w:w="3633" w:type="dxa"/>
            <w:tcBorders>
              <w:top w:val="nil"/>
              <w:left w:val="nil"/>
              <w:bottom w:val="single" w:sz="4" w:space="0" w:color="auto"/>
              <w:right w:val="single" w:sz="4" w:space="0" w:color="auto"/>
            </w:tcBorders>
            <w:shd w:val="clear" w:color="auto" w:fill="C6EFCE"/>
            <w:noWrap/>
          </w:tcPr>
          <w:p w14:paraId="41BC609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C14.R8</w:t>
            </w:r>
          </w:p>
          <w:p w14:paraId="72D22F4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Reformarea sistemului național de achiziții publice</w:t>
            </w:r>
          </w:p>
        </w:tc>
        <w:tc>
          <w:tcPr>
            <w:tcW w:w="1243" w:type="dxa"/>
            <w:tcBorders>
              <w:top w:val="nil"/>
              <w:left w:val="nil"/>
              <w:bottom w:val="single" w:sz="4" w:space="0" w:color="auto"/>
              <w:right w:val="single" w:sz="4" w:space="0" w:color="auto"/>
            </w:tcBorders>
            <w:shd w:val="clear" w:color="auto" w:fill="C6EFCE"/>
            <w:noWrap/>
          </w:tcPr>
          <w:p w14:paraId="046DDB3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57FAE0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modificării legislației naționale privind căile de atac (Legea nr. 101/2016) </w:t>
            </w:r>
          </w:p>
        </w:tc>
      </w:tr>
      <w:tr w:rsidR="00981F92" w:rsidRPr="000A27B3" w14:paraId="62C48340"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504D474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465</w:t>
            </w:r>
          </w:p>
        </w:tc>
        <w:tc>
          <w:tcPr>
            <w:tcW w:w="3633" w:type="dxa"/>
            <w:tcBorders>
              <w:top w:val="nil"/>
              <w:left w:val="nil"/>
              <w:bottom w:val="single" w:sz="4" w:space="0" w:color="auto"/>
              <w:right w:val="single" w:sz="4" w:space="0" w:color="auto"/>
            </w:tcBorders>
            <w:shd w:val="clear" w:color="auto" w:fill="C6EFCE"/>
            <w:noWrap/>
          </w:tcPr>
          <w:p w14:paraId="3FB3A12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C15.I4</w:t>
            </w:r>
          </w:p>
          <w:p w14:paraId="693AC19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Sprijinirea unităților de învățământ cu risc ridicat de abandon școlar</w:t>
            </w:r>
          </w:p>
        </w:tc>
        <w:tc>
          <w:tcPr>
            <w:tcW w:w="1243" w:type="dxa"/>
            <w:tcBorders>
              <w:top w:val="nil"/>
              <w:left w:val="nil"/>
              <w:bottom w:val="single" w:sz="4" w:space="0" w:color="auto"/>
              <w:right w:val="single" w:sz="4" w:space="0" w:color="auto"/>
            </w:tcBorders>
            <w:shd w:val="clear" w:color="auto" w:fill="C6EFCE"/>
            <w:noWrap/>
          </w:tcPr>
          <w:p w14:paraId="0E20B47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7B7019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Unități de învățământ cărora li s-a acordat un grant (lotul 1)</w:t>
            </w:r>
          </w:p>
        </w:tc>
      </w:tr>
      <w:tr w:rsidR="00981F92" w:rsidRPr="000A27B3" w14:paraId="4F6CCA8E"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7EC0B1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477</w:t>
            </w:r>
          </w:p>
        </w:tc>
        <w:tc>
          <w:tcPr>
            <w:tcW w:w="3633" w:type="dxa"/>
            <w:tcBorders>
              <w:top w:val="nil"/>
              <w:left w:val="nil"/>
              <w:bottom w:val="single" w:sz="4" w:space="0" w:color="auto"/>
              <w:right w:val="single" w:sz="4" w:space="0" w:color="auto"/>
            </w:tcBorders>
            <w:shd w:val="clear" w:color="auto" w:fill="C6EFCE"/>
            <w:noWrap/>
          </w:tcPr>
          <w:p w14:paraId="257226D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C15.R5</w:t>
            </w:r>
          </w:p>
          <w:p w14:paraId="27496D9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cadrului legislativ pentru digitalizarea educației</w:t>
            </w:r>
          </w:p>
        </w:tc>
        <w:tc>
          <w:tcPr>
            <w:tcW w:w="1243" w:type="dxa"/>
            <w:tcBorders>
              <w:top w:val="nil"/>
              <w:left w:val="nil"/>
              <w:bottom w:val="single" w:sz="4" w:space="0" w:color="auto"/>
              <w:right w:val="single" w:sz="4" w:space="0" w:color="auto"/>
            </w:tcBorders>
            <w:shd w:val="clear" w:color="auto" w:fill="C6EFCE"/>
            <w:noWrap/>
          </w:tcPr>
          <w:p w14:paraId="46FCE42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EC9D13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Ordinului ministerial pentru asigurarea unor standarde de echipare a școlilor cu echipamente tehnologice și resurse pentru scop educațional online și pentru asigurarea unui impact durabil al investițiilor propuse</w:t>
            </w:r>
          </w:p>
        </w:tc>
      </w:tr>
      <w:tr w:rsidR="00981F92" w:rsidRPr="000A27B3" w14:paraId="5462C804"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1BA388D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494</w:t>
            </w:r>
          </w:p>
        </w:tc>
        <w:tc>
          <w:tcPr>
            <w:tcW w:w="3633" w:type="dxa"/>
            <w:tcBorders>
              <w:top w:val="nil"/>
              <w:left w:val="nil"/>
              <w:bottom w:val="single" w:sz="4" w:space="0" w:color="auto"/>
              <w:right w:val="single" w:sz="4" w:space="0" w:color="auto"/>
            </w:tcBorders>
            <w:shd w:val="clear" w:color="auto" w:fill="C6EFCE"/>
            <w:noWrap/>
          </w:tcPr>
          <w:p w14:paraId="6BC4B4F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C15.R7</w:t>
            </w:r>
          </w:p>
          <w:p w14:paraId="745EFE9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guvernanței sistemului de învățământ preuniversitar și profesionalizarea managementului</w:t>
            </w:r>
          </w:p>
        </w:tc>
        <w:tc>
          <w:tcPr>
            <w:tcW w:w="1243" w:type="dxa"/>
            <w:tcBorders>
              <w:top w:val="nil"/>
              <w:left w:val="nil"/>
              <w:bottom w:val="single" w:sz="4" w:space="0" w:color="auto"/>
              <w:right w:val="single" w:sz="4" w:space="0" w:color="auto"/>
            </w:tcBorders>
            <w:shd w:val="clear" w:color="auto" w:fill="C6EFCE"/>
            <w:noWrap/>
          </w:tcPr>
          <w:p w14:paraId="7B59836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412E83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contractului de asistență tehnică pentru elaborarea Planului de măsuri de reformare a guvernanței, inclusiv a programului de formare și îndrumare pentru manageri și inspectori</w:t>
            </w:r>
          </w:p>
        </w:tc>
      </w:tr>
      <w:tr w:rsidR="00981F92" w:rsidRPr="000A27B3" w14:paraId="388F9B07"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6CA012F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65</w:t>
            </w:r>
          </w:p>
        </w:tc>
        <w:tc>
          <w:tcPr>
            <w:tcW w:w="3633" w:type="dxa"/>
            <w:tcBorders>
              <w:top w:val="nil"/>
              <w:left w:val="nil"/>
              <w:bottom w:val="single" w:sz="4" w:space="0" w:color="auto"/>
              <w:right w:val="single" w:sz="4" w:space="0" w:color="auto"/>
            </w:tcBorders>
            <w:shd w:val="clear" w:color="auto" w:fill="C6EFCE"/>
            <w:noWrap/>
          </w:tcPr>
          <w:p w14:paraId="5404CC46" w14:textId="77777777" w:rsidR="00981F92" w:rsidRPr="000A27B3" w:rsidRDefault="00981F92">
            <w:pPr>
              <w:spacing w:after="0"/>
              <w:rPr>
                <w:rFonts w:ascii="Times New Roman" w:hAnsi="Times New Roman" w:cs="Times New Roman"/>
                <w:noProof/>
              </w:rPr>
            </w:pPr>
            <w:r>
              <w:rPr>
                <w:rFonts w:ascii="Times New Roman" w:hAnsi="Times New Roman"/>
                <w:noProof/>
              </w:rPr>
              <w:t>C4.R1</w:t>
            </w:r>
          </w:p>
          <w:p w14:paraId="571D6FF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Transport sustenabil, decarbonizare și siguranță rutieră / Siguranță rutieră</w:t>
            </w:r>
          </w:p>
        </w:tc>
        <w:tc>
          <w:tcPr>
            <w:tcW w:w="1243" w:type="dxa"/>
            <w:tcBorders>
              <w:top w:val="nil"/>
              <w:left w:val="nil"/>
              <w:bottom w:val="single" w:sz="4" w:space="0" w:color="auto"/>
              <w:right w:val="single" w:sz="4" w:space="0" w:color="auto"/>
            </w:tcBorders>
            <w:shd w:val="clear" w:color="auto" w:fill="C6EFCE"/>
            <w:noWrap/>
          </w:tcPr>
          <w:p w14:paraId="1F5D756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F6ECBD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strategiei naționale privind siguranța rutieră</w:t>
            </w:r>
          </w:p>
        </w:tc>
      </w:tr>
      <w:tr w:rsidR="00981F92" w:rsidRPr="000A27B3" w14:paraId="557910D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83B28C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114</w:t>
            </w:r>
          </w:p>
        </w:tc>
        <w:tc>
          <w:tcPr>
            <w:tcW w:w="3633" w:type="dxa"/>
            <w:tcBorders>
              <w:top w:val="nil"/>
              <w:left w:val="nil"/>
              <w:bottom w:val="single" w:sz="4" w:space="0" w:color="auto"/>
              <w:right w:val="single" w:sz="4" w:space="0" w:color="auto"/>
            </w:tcBorders>
            <w:shd w:val="clear" w:color="auto" w:fill="C6EFCE"/>
            <w:noWrap/>
          </w:tcPr>
          <w:p w14:paraId="1098D801" w14:textId="77777777" w:rsidR="00981F92" w:rsidRPr="000A27B3" w:rsidRDefault="00981F92">
            <w:pPr>
              <w:spacing w:after="0"/>
              <w:rPr>
                <w:rFonts w:ascii="Times New Roman" w:hAnsi="Times New Roman" w:cs="Times New Roman"/>
                <w:noProof/>
              </w:rPr>
            </w:pPr>
            <w:r>
              <w:rPr>
                <w:rFonts w:ascii="Times New Roman" w:hAnsi="Times New Roman"/>
                <w:noProof/>
              </w:rPr>
              <w:t>C6.R1</w:t>
            </w:r>
          </w:p>
          <w:p w14:paraId="52A3535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1243" w:type="dxa"/>
            <w:tcBorders>
              <w:top w:val="nil"/>
              <w:left w:val="nil"/>
              <w:bottom w:val="single" w:sz="4" w:space="0" w:color="auto"/>
              <w:right w:val="single" w:sz="4" w:space="0" w:color="auto"/>
            </w:tcBorders>
            <w:shd w:val="clear" w:color="auto" w:fill="C6EFCE"/>
            <w:noWrap/>
          </w:tcPr>
          <w:p w14:paraId="5EC0F43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B64CF7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privind decarbonizarea prin care se adoptă calendarul de eliminare treptată a cărbunelui/lignitului</w:t>
            </w:r>
          </w:p>
        </w:tc>
      </w:tr>
      <w:tr w:rsidR="00981F92" w:rsidRPr="000A27B3" w14:paraId="121DEC2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088739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144</w:t>
            </w:r>
          </w:p>
        </w:tc>
        <w:tc>
          <w:tcPr>
            <w:tcW w:w="3633" w:type="dxa"/>
            <w:tcBorders>
              <w:top w:val="nil"/>
              <w:left w:val="nil"/>
              <w:bottom w:val="single" w:sz="4" w:space="0" w:color="auto"/>
              <w:right w:val="single" w:sz="4" w:space="0" w:color="auto"/>
            </w:tcBorders>
            <w:shd w:val="clear" w:color="auto" w:fill="C6EFCE"/>
            <w:noWrap/>
          </w:tcPr>
          <w:p w14:paraId="2DC7D72E" w14:textId="77777777" w:rsidR="00981F92" w:rsidRPr="000A27B3" w:rsidRDefault="00981F92">
            <w:pPr>
              <w:spacing w:after="0"/>
              <w:rPr>
                <w:rFonts w:ascii="Times New Roman" w:hAnsi="Times New Roman" w:cs="Times New Roman"/>
                <w:noProof/>
              </w:rPr>
            </w:pPr>
            <w:r>
              <w:rPr>
                <w:rFonts w:ascii="Times New Roman" w:hAnsi="Times New Roman"/>
                <w:noProof/>
              </w:rPr>
              <w:t>C7.R1</w:t>
            </w:r>
          </w:p>
          <w:p w14:paraId="6696B95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unui cadru unitar pentru definirea arhitecturii unui sistem de tip cloud guvernamental </w:t>
            </w:r>
          </w:p>
        </w:tc>
        <w:tc>
          <w:tcPr>
            <w:tcW w:w="1243" w:type="dxa"/>
            <w:tcBorders>
              <w:top w:val="nil"/>
              <w:left w:val="nil"/>
              <w:bottom w:val="single" w:sz="4" w:space="0" w:color="auto"/>
              <w:right w:val="single" w:sz="4" w:space="0" w:color="auto"/>
            </w:tcBorders>
            <w:shd w:val="clear" w:color="auto" w:fill="C6EFCE"/>
            <w:noWrap/>
          </w:tcPr>
          <w:p w14:paraId="3F50BF8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7CF989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privind guvernanța serviciilor de cloud pentru administrația publică</w:t>
            </w:r>
          </w:p>
        </w:tc>
      </w:tr>
      <w:tr w:rsidR="00981F92" w:rsidRPr="000A27B3" w14:paraId="038FD21A"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0F9E52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145</w:t>
            </w:r>
          </w:p>
        </w:tc>
        <w:tc>
          <w:tcPr>
            <w:tcW w:w="3633" w:type="dxa"/>
            <w:tcBorders>
              <w:top w:val="nil"/>
              <w:left w:val="nil"/>
              <w:bottom w:val="single" w:sz="4" w:space="0" w:color="auto"/>
              <w:right w:val="single" w:sz="4" w:space="0" w:color="auto"/>
            </w:tcBorders>
            <w:shd w:val="clear" w:color="auto" w:fill="C6EFCE"/>
            <w:noWrap/>
          </w:tcPr>
          <w:p w14:paraId="2DD886C6" w14:textId="77777777" w:rsidR="00981F92" w:rsidRPr="000A27B3" w:rsidRDefault="00981F92">
            <w:pPr>
              <w:spacing w:after="0"/>
              <w:rPr>
                <w:rFonts w:ascii="Times New Roman" w:hAnsi="Times New Roman" w:cs="Times New Roman"/>
                <w:noProof/>
              </w:rPr>
            </w:pPr>
            <w:r>
              <w:rPr>
                <w:rFonts w:ascii="Times New Roman" w:hAnsi="Times New Roman"/>
                <w:noProof/>
              </w:rPr>
              <w:t>C7.R1</w:t>
            </w:r>
          </w:p>
          <w:p w14:paraId="66B7149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unui cadru unitar pentru definirea arhitecturii unui sistem de tip cloud guvernamental </w:t>
            </w:r>
          </w:p>
        </w:tc>
        <w:tc>
          <w:tcPr>
            <w:tcW w:w="1243" w:type="dxa"/>
            <w:tcBorders>
              <w:top w:val="nil"/>
              <w:left w:val="nil"/>
              <w:bottom w:val="single" w:sz="4" w:space="0" w:color="auto"/>
              <w:right w:val="single" w:sz="4" w:space="0" w:color="auto"/>
            </w:tcBorders>
            <w:shd w:val="clear" w:color="auto" w:fill="C6EFCE"/>
            <w:noWrap/>
          </w:tcPr>
          <w:p w14:paraId="189E140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373910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noii legi privind interoperabilitatea</w:t>
            </w:r>
          </w:p>
        </w:tc>
      </w:tr>
      <w:tr w:rsidR="00981F92" w:rsidRPr="000A27B3" w14:paraId="5E781F6C"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3F7BDC0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153</w:t>
            </w:r>
          </w:p>
        </w:tc>
        <w:tc>
          <w:tcPr>
            <w:tcW w:w="3633" w:type="dxa"/>
            <w:tcBorders>
              <w:top w:val="nil"/>
              <w:left w:val="nil"/>
              <w:bottom w:val="single" w:sz="4" w:space="0" w:color="auto"/>
              <w:right w:val="single" w:sz="4" w:space="0" w:color="auto"/>
            </w:tcBorders>
            <w:shd w:val="clear" w:color="auto" w:fill="C6EFCE"/>
            <w:noWrap/>
          </w:tcPr>
          <w:p w14:paraId="0DB4D54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C7.I1</w:t>
            </w:r>
            <w:r>
              <w:rPr>
                <w:rFonts w:ascii="Times New Roman" w:hAnsi="Times New Roman"/>
                <w:noProof/>
              </w:rPr>
              <w:br/>
              <w:t xml:space="preserve">Implementarea infrastructurii de cloud guvernamental </w:t>
            </w:r>
          </w:p>
        </w:tc>
        <w:tc>
          <w:tcPr>
            <w:tcW w:w="1243" w:type="dxa"/>
            <w:tcBorders>
              <w:top w:val="nil"/>
              <w:left w:val="nil"/>
              <w:bottom w:val="single" w:sz="4" w:space="0" w:color="auto"/>
              <w:right w:val="single" w:sz="4" w:space="0" w:color="auto"/>
            </w:tcBorders>
            <w:shd w:val="clear" w:color="auto" w:fill="C6EFCE"/>
            <w:noWrap/>
          </w:tcPr>
          <w:p w14:paraId="6D67E63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5F8378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contractului de implementare a investiției pe baza procedurii de ofertare pentru implementarea investiției</w:t>
            </w:r>
          </w:p>
        </w:tc>
      </w:tr>
      <w:tr w:rsidR="00981F92" w:rsidRPr="000A27B3" w14:paraId="567EC62C"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15A4E1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147</w:t>
            </w:r>
          </w:p>
        </w:tc>
        <w:tc>
          <w:tcPr>
            <w:tcW w:w="3633" w:type="dxa"/>
            <w:tcBorders>
              <w:top w:val="nil"/>
              <w:left w:val="nil"/>
              <w:bottom w:val="single" w:sz="4" w:space="0" w:color="auto"/>
              <w:right w:val="single" w:sz="4" w:space="0" w:color="auto"/>
            </w:tcBorders>
            <w:shd w:val="clear" w:color="auto" w:fill="C6EFCE"/>
            <w:noWrap/>
          </w:tcPr>
          <w:p w14:paraId="4072E315" w14:textId="3B00940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C7.R2</w:t>
            </w:r>
            <w:r>
              <w:rPr>
                <w:rFonts w:ascii="Times New Roman" w:hAnsi="Times New Roman"/>
                <w:noProof/>
              </w:rPr>
              <w:br/>
              <w:t xml:space="preserve">Tranziția către atingerea obiectivelor de conectivitate UE 2025 și stimularea investițiilor private pentru dezvoltarea rețelelor de foarte mare capacitate </w:t>
            </w:r>
          </w:p>
        </w:tc>
        <w:tc>
          <w:tcPr>
            <w:tcW w:w="1243" w:type="dxa"/>
            <w:tcBorders>
              <w:top w:val="nil"/>
              <w:left w:val="nil"/>
              <w:bottom w:val="single" w:sz="4" w:space="0" w:color="auto"/>
              <w:right w:val="single" w:sz="4" w:space="0" w:color="auto"/>
            </w:tcBorders>
            <w:shd w:val="clear" w:color="auto" w:fill="C6EFCE"/>
            <w:noWrap/>
          </w:tcPr>
          <w:p w14:paraId="127E79D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9150573" w14:textId="2877EC24"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Publicarea cererii de ofertă pentru autorizarea operatorilor de telecomunicații să acorde licențe 5G </w:t>
            </w:r>
          </w:p>
        </w:tc>
      </w:tr>
      <w:tr w:rsidR="00981F92" w:rsidRPr="000A27B3" w14:paraId="4394EACC"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5885651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200</w:t>
            </w:r>
          </w:p>
        </w:tc>
        <w:tc>
          <w:tcPr>
            <w:tcW w:w="3633" w:type="dxa"/>
            <w:tcBorders>
              <w:top w:val="nil"/>
              <w:left w:val="nil"/>
              <w:bottom w:val="single" w:sz="4" w:space="0" w:color="auto"/>
              <w:right w:val="single" w:sz="4" w:space="0" w:color="auto"/>
            </w:tcBorders>
            <w:shd w:val="clear" w:color="auto" w:fill="C6EFCE"/>
            <w:noWrap/>
          </w:tcPr>
          <w:p w14:paraId="10832A46" w14:textId="77777777" w:rsidR="00981F92" w:rsidRPr="000A27B3" w:rsidRDefault="00981F92">
            <w:pPr>
              <w:spacing w:after="0"/>
              <w:rPr>
                <w:rFonts w:ascii="Times New Roman" w:hAnsi="Times New Roman" w:cs="Times New Roman"/>
                <w:noProof/>
              </w:rPr>
            </w:pPr>
            <w:r>
              <w:rPr>
                <w:rFonts w:ascii="Times New Roman" w:hAnsi="Times New Roman"/>
                <w:noProof/>
              </w:rPr>
              <w:t>C8.R3</w:t>
            </w:r>
          </w:p>
          <w:p w14:paraId="12F984E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mecanismului de programare bugetară </w:t>
            </w:r>
          </w:p>
        </w:tc>
        <w:tc>
          <w:tcPr>
            <w:tcW w:w="1243" w:type="dxa"/>
            <w:tcBorders>
              <w:top w:val="nil"/>
              <w:left w:val="nil"/>
              <w:bottom w:val="single" w:sz="4" w:space="0" w:color="auto"/>
              <w:right w:val="single" w:sz="4" w:space="0" w:color="auto"/>
            </w:tcBorders>
            <w:shd w:val="clear" w:color="auto" w:fill="C6EFCE"/>
            <w:noWrap/>
          </w:tcPr>
          <w:p w14:paraId="096BE0E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AA052C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hotărârii de guvern de aprobare a metodologiei de elaborare, monitorizare și raportare a programelor bugetare</w:t>
            </w:r>
          </w:p>
        </w:tc>
      </w:tr>
      <w:tr w:rsidR="00981F92" w:rsidRPr="000A27B3" w14:paraId="7454C939"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3005EA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355</w:t>
            </w:r>
          </w:p>
        </w:tc>
        <w:tc>
          <w:tcPr>
            <w:tcW w:w="3633" w:type="dxa"/>
            <w:tcBorders>
              <w:top w:val="nil"/>
              <w:left w:val="nil"/>
              <w:bottom w:val="single" w:sz="4" w:space="0" w:color="auto"/>
              <w:right w:val="single" w:sz="4" w:space="0" w:color="auto"/>
            </w:tcBorders>
            <w:shd w:val="clear" w:color="auto" w:fill="C6EFCE"/>
            <w:noWrap/>
          </w:tcPr>
          <w:p w14:paraId="003C6F56" w14:textId="77777777" w:rsidR="00981F92" w:rsidRPr="000A27B3" w:rsidRDefault="00981F92">
            <w:pPr>
              <w:spacing w:after="0"/>
              <w:rPr>
                <w:rFonts w:ascii="Times New Roman" w:hAnsi="Times New Roman" w:cs="Times New Roman"/>
                <w:noProof/>
              </w:rPr>
            </w:pPr>
            <w:r>
              <w:rPr>
                <w:rFonts w:ascii="Times New Roman" w:hAnsi="Times New Roman"/>
                <w:noProof/>
              </w:rPr>
              <w:t>C12.R2</w:t>
            </w:r>
          </w:p>
          <w:p w14:paraId="2987E5F9" w14:textId="09071F72"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capacității de investiții în infrastructura sanitară </w:t>
            </w:r>
          </w:p>
        </w:tc>
        <w:tc>
          <w:tcPr>
            <w:tcW w:w="1243" w:type="dxa"/>
            <w:tcBorders>
              <w:top w:val="nil"/>
              <w:left w:val="nil"/>
              <w:bottom w:val="single" w:sz="4" w:space="0" w:color="auto"/>
              <w:right w:val="single" w:sz="4" w:space="0" w:color="auto"/>
            </w:tcBorders>
            <w:shd w:val="clear" w:color="auto" w:fill="C6EFCE"/>
            <w:noWrap/>
          </w:tcPr>
          <w:p w14:paraId="5D8E4FF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79F463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cadrului legislativ de instituire a Agenției Naționale pentru Dezvoltarea Infrastructurii în Sănătate (ANDIS) </w:t>
            </w:r>
          </w:p>
        </w:tc>
      </w:tr>
      <w:tr w:rsidR="00981F92" w:rsidRPr="000A27B3" w14:paraId="49E99C8E"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3B8807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356</w:t>
            </w:r>
          </w:p>
        </w:tc>
        <w:tc>
          <w:tcPr>
            <w:tcW w:w="3633" w:type="dxa"/>
            <w:tcBorders>
              <w:top w:val="nil"/>
              <w:left w:val="nil"/>
              <w:bottom w:val="single" w:sz="4" w:space="0" w:color="auto"/>
              <w:right w:val="single" w:sz="4" w:space="0" w:color="auto"/>
            </w:tcBorders>
            <w:shd w:val="clear" w:color="auto" w:fill="C6EFCE"/>
            <w:noWrap/>
          </w:tcPr>
          <w:p w14:paraId="08258A0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C12.R3</w:t>
            </w:r>
          </w:p>
          <w:p w14:paraId="232D3A49" w14:textId="581A134B"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43" w:type="dxa"/>
            <w:tcBorders>
              <w:top w:val="nil"/>
              <w:left w:val="nil"/>
              <w:bottom w:val="single" w:sz="4" w:space="0" w:color="auto"/>
              <w:right w:val="single" w:sz="4" w:space="0" w:color="auto"/>
            </w:tcBorders>
            <w:shd w:val="clear" w:color="auto" w:fill="C6EFCE"/>
            <w:noWrap/>
          </w:tcPr>
          <w:p w14:paraId="1921D32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1ADF70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cadrului legislativ privind dezvoltarea capacității pentru managementul serviciilor de sănătate și managementul resurselor umane din sănătate </w:t>
            </w:r>
          </w:p>
        </w:tc>
      </w:tr>
      <w:tr w:rsidR="00981F92" w:rsidRPr="000A27B3" w14:paraId="47E3FB0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227E07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357</w:t>
            </w:r>
          </w:p>
        </w:tc>
        <w:tc>
          <w:tcPr>
            <w:tcW w:w="3633" w:type="dxa"/>
            <w:tcBorders>
              <w:top w:val="nil"/>
              <w:left w:val="nil"/>
              <w:bottom w:val="single" w:sz="4" w:space="0" w:color="auto"/>
              <w:right w:val="single" w:sz="4" w:space="0" w:color="auto"/>
            </w:tcBorders>
            <w:shd w:val="clear" w:color="auto" w:fill="C6EFCE"/>
            <w:noWrap/>
          </w:tcPr>
          <w:p w14:paraId="6EDABF6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C12.R3</w:t>
            </w:r>
          </w:p>
          <w:p w14:paraId="58EE60AF" w14:textId="2415B17D"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43" w:type="dxa"/>
            <w:tcBorders>
              <w:top w:val="nil"/>
              <w:left w:val="nil"/>
              <w:bottom w:val="single" w:sz="4" w:space="0" w:color="auto"/>
              <w:right w:val="single" w:sz="4" w:space="0" w:color="auto"/>
            </w:tcBorders>
            <w:shd w:val="clear" w:color="auto" w:fill="C6EFCE"/>
            <w:noWrap/>
          </w:tcPr>
          <w:p w14:paraId="4BFFFA4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6326F48" w14:textId="096EB073"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legislației privind cadrul strategic pentru dezvoltarea resurselor umane din sănătate </w:t>
            </w:r>
          </w:p>
        </w:tc>
      </w:tr>
      <w:tr w:rsidR="00981F92" w:rsidRPr="000A27B3" w14:paraId="66A0DF7D"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10229F5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413</w:t>
            </w:r>
          </w:p>
        </w:tc>
        <w:tc>
          <w:tcPr>
            <w:tcW w:w="3633" w:type="dxa"/>
            <w:tcBorders>
              <w:top w:val="nil"/>
              <w:left w:val="nil"/>
              <w:bottom w:val="single" w:sz="4" w:space="0" w:color="auto"/>
              <w:right w:val="single" w:sz="4" w:space="0" w:color="auto"/>
            </w:tcBorders>
            <w:shd w:val="clear" w:color="auto" w:fill="C6EFCE"/>
            <w:noWrap/>
          </w:tcPr>
          <w:p w14:paraId="1B47143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C14.R2</w:t>
            </w:r>
          </w:p>
          <w:p w14:paraId="10DE318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Întărirea coordonării la nivelul central al guvernului printr-o abordare integrată și coerentă a inițiativelor în domeniul schimbărilor climatice și al dezvoltării durabile</w:t>
            </w:r>
          </w:p>
        </w:tc>
        <w:tc>
          <w:tcPr>
            <w:tcW w:w="1243" w:type="dxa"/>
            <w:tcBorders>
              <w:top w:val="nil"/>
              <w:left w:val="nil"/>
              <w:bottom w:val="single" w:sz="4" w:space="0" w:color="auto"/>
              <w:right w:val="single" w:sz="4" w:space="0" w:color="auto"/>
            </w:tcBorders>
            <w:shd w:val="clear" w:color="auto" w:fill="C6EFCE"/>
            <w:noWrap/>
          </w:tcPr>
          <w:p w14:paraId="371EFBC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AAF000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Operaționalizarea unui comitet interinstituțional privind schimbările climatice </w:t>
            </w:r>
          </w:p>
        </w:tc>
      </w:tr>
      <w:tr w:rsidR="00981F92" w:rsidRPr="000A27B3" w14:paraId="559EEC56"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4AA9B2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422</w:t>
            </w:r>
          </w:p>
        </w:tc>
        <w:tc>
          <w:tcPr>
            <w:tcW w:w="3633" w:type="dxa"/>
            <w:tcBorders>
              <w:top w:val="nil"/>
              <w:left w:val="nil"/>
              <w:bottom w:val="single" w:sz="4" w:space="0" w:color="auto"/>
              <w:right w:val="single" w:sz="4" w:space="0" w:color="auto"/>
            </w:tcBorders>
            <w:shd w:val="clear" w:color="auto" w:fill="C6EFCE"/>
            <w:noWrap/>
          </w:tcPr>
          <w:p w14:paraId="600FBBE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C14.R5</w:t>
            </w:r>
          </w:p>
          <w:p w14:paraId="56A778DC" w14:textId="62F61FD5"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Garantarea independenței justiției, creșterea calității și eficienței acesteia</w:t>
            </w:r>
            <w:r w:rsidR="004C4C72">
              <w:rPr>
                <w:rFonts w:ascii="Times New Roman" w:hAnsi="Times New Roman"/>
                <w:noProof/>
              </w:rPr>
              <w:t xml:space="preserve"> </w:t>
            </w:r>
          </w:p>
        </w:tc>
        <w:tc>
          <w:tcPr>
            <w:tcW w:w="1243" w:type="dxa"/>
            <w:tcBorders>
              <w:top w:val="nil"/>
              <w:left w:val="nil"/>
              <w:bottom w:val="single" w:sz="4" w:space="0" w:color="auto"/>
              <w:right w:val="single" w:sz="4" w:space="0" w:color="auto"/>
            </w:tcBorders>
            <w:shd w:val="clear" w:color="auto" w:fill="C6EFCE"/>
            <w:noWrap/>
          </w:tcPr>
          <w:p w14:paraId="71D46CC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D5D2A5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de modificare a atribuțiilor Agenției Naționale de Administrare a Bunurilor Indisponibilizate</w:t>
            </w:r>
          </w:p>
          <w:p w14:paraId="7A2E19C1" w14:textId="77777777" w:rsidR="00981F92" w:rsidRPr="000A27B3" w:rsidRDefault="00981F92">
            <w:pPr>
              <w:spacing w:after="0"/>
              <w:jc w:val="both"/>
              <w:rPr>
                <w:rFonts w:ascii="Times New Roman" w:eastAsia="Times New Roman" w:hAnsi="Times New Roman" w:cs="Times New Roman"/>
                <w:noProof/>
                <w:lang w:val="en-IE" w:eastAsia="en-GB"/>
              </w:rPr>
            </w:pPr>
          </w:p>
        </w:tc>
      </w:tr>
      <w:tr w:rsidR="00981F92" w:rsidRPr="000A27B3" w14:paraId="1E3510D1"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4CDD766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456</w:t>
            </w:r>
          </w:p>
        </w:tc>
        <w:tc>
          <w:tcPr>
            <w:tcW w:w="3633" w:type="dxa"/>
            <w:tcBorders>
              <w:top w:val="nil"/>
              <w:left w:val="nil"/>
              <w:bottom w:val="single" w:sz="4" w:space="0" w:color="auto"/>
              <w:right w:val="single" w:sz="4" w:space="0" w:color="auto"/>
            </w:tcBorders>
            <w:shd w:val="clear" w:color="auto" w:fill="C6EFCE"/>
            <w:noWrap/>
          </w:tcPr>
          <w:p w14:paraId="671370F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w:t>
            </w:r>
          </w:p>
          <w:p w14:paraId="6FE13B4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echiparea și operaționalizarea a 110 creșe</w:t>
            </w:r>
          </w:p>
        </w:tc>
        <w:tc>
          <w:tcPr>
            <w:tcW w:w="1243" w:type="dxa"/>
            <w:tcBorders>
              <w:top w:val="nil"/>
              <w:left w:val="nil"/>
              <w:bottom w:val="single" w:sz="4" w:space="0" w:color="auto"/>
              <w:right w:val="single" w:sz="4" w:space="0" w:color="auto"/>
            </w:tcBorders>
            <w:shd w:val="clear" w:color="auto" w:fill="C6EFCE"/>
            <w:noWrap/>
          </w:tcPr>
          <w:p w14:paraId="2EACB9B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35D528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contractelor cu operatorii publici (municipalități) pentru construirea, echiparea și operaționalizarea a 110 creșe</w:t>
            </w:r>
          </w:p>
        </w:tc>
      </w:tr>
      <w:tr w:rsidR="00981F92" w:rsidRPr="000A27B3" w14:paraId="335A22F7"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74D2E5B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478</w:t>
            </w:r>
          </w:p>
        </w:tc>
        <w:tc>
          <w:tcPr>
            <w:tcW w:w="3633" w:type="dxa"/>
            <w:tcBorders>
              <w:top w:val="nil"/>
              <w:left w:val="nil"/>
              <w:bottom w:val="single" w:sz="4" w:space="0" w:color="auto"/>
              <w:right w:val="single" w:sz="4" w:space="0" w:color="auto"/>
            </w:tcBorders>
            <w:shd w:val="clear" w:color="auto" w:fill="C6EFCE"/>
            <w:noWrap/>
          </w:tcPr>
          <w:p w14:paraId="59C445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C15.R5 </w:t>
            </w:r>
          </w:p>
          <w:p w14:paraId="59BA51E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Adoptarea cadrului legislativ pentru digitalizarea educației</w:t>
            </w:r>
          </w:p>
        </w:tc>
        <w:tc>
          <w:tcPr>
            <w:tcW w:w="1243" w:type="dxa"/>
            <w:tcBorders>
              <w:top w:val="nil"/>
              <w:left w:val="nil"/>
              <w:bottom w:val="single" w:sz="4" w:space="0" w:color="auto"/>
              <w:right w:val="single" w:sz="4" w:space="0" w:color="auto"/>
            </w:tcBorders>
            <w:shd w:val="clear" w:color="auto" w:fill="C6EFCE"/>
            <w:noWrap/>
          </w:tcPr>
          <w:p w14:paraId="5BE52AD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1A85F3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care stabilește profilul viitorului cadru didactic privind competențele digitale și modalitatea de evaluare a competențelor digitale în cadrul examenelor de grad didactic</w:t>
            </w:r>
          </w:p>
        </w:tc>
      </w:tr>
      <w:tr w:rsidR="000A27B3" w:rsidRPr="000A27B3" w14:paraId="59D1798B" w14:textId="77777777">
        <w:trPr>
          <w:trHeight w:val="302"/>
        </w:trPr>
        <w:tc>
          <w:tcPr>
            <w:tcW w:w="1356" w:type="dxa"/>
            <w:tcBorders>
              <w:top w:val="nil"/>
              <w:left w:val="single" w:sz="4" w:space="0" w:color="auto"/>
              <w:bottom w:val="single" w:sz="4" w:space="0" w:color="auto"/>
              <w:right w:val="single" w:sz="4" w:space="0" w:color="auto"/>
            </w:tcBorders>
            <w:shd w:val="clear" w:color="auto" w:fill="C6EFCE"/>
            <w:noWrap/>
          </w:tcPr>
          <w:p w14:paraId="23FC30F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485</w:t>
            </w:r>
          </w:p>
        </w:tc>
        <w:tc>
          <w:tcPr>
            <w:tcW w:w="3633" w:type="dxa"/>
            <w:tcBorders>
              <w:top w:val="nil"/>
              <w:left w:val="nil"/>
              <w:bottom w:val="single" w:sz="4" w:space="0" w:color="auto"/>
              <w:right w:val="single" w:sz="4" w:space="0" w:color="auto"/>
            </w:tcBorders>
            <w:shd w:val="clear" w:color="auto" w:fill="C6EFCE"/>
            <w:noWrap/>
          </w:tcPr>
          <w:p w14:paraId="1CEFC49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C15.R6 </w:t>
            </w:r>
            <w:r>
              <w:rPr>
                <w:rFonts w:ascii="Times New Roman" w:hAnsi="Times New Roman"/>
                <w:noProof/>
              </w:rPr>
              <w:br/>
              <w:t>Actualizarea cadrului legislativ pentru a asigura standarde ecologice de proiectare, construcție și dotare în sistemul de învățământ preuniversitar</w:t>
            </w:r>
          </w:p>
        </w:tc>
        <w:tc>
          <w:tcPr>
            <w:tcW w:w="1243" w:type="dxa"/>
            <w:tcBorders>
              <w:top w:val="nil"/>
              <w:left w:val="nil"/>
              <w:bottom w:val="single" w:sz="4" w:space="0" w:color="auto"/>
              <w:right w:val="single" w:sz="4" w:space="0" w:color="auto"/>
            </w:tcBorders>
            <w:shd w:val="clear" w:color="auto" w:fill="C6EFCE"/>
            <w:noWrap/>
          </w:tcPr>
          <w:p w14:paraId="3555CE4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7D74DD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modificărilor cadrului legislativ privind sporirea calității mediilor de învățare </w:t>
            </w:r>
          </w:p>
        </w:tc>
      </w:tr>
      <w:tr w:rsidR="00981F92" w:rsidRPr="000A27B3" w14:paraId="5F85D285" w14:textId="77777777">
        <w:trPr>
          <w:trHeight w:val="302"/>
        </w:trPr>
        <w:tc>
          <w:tcPr>
            <w:tcW w:w="1356" w:type="dxa"/>
            <w:tcBorders>
              <w:top w:val="single" w:sz="4" w:space="0" w:color="auto"/>
              <w:left w:val="single" w:sz="4" w:space="0" w:color="auto"/>
              <w:bottom w:val="single" w:sz="4" w:space="0" w:color="auto"/>
              <w:right w:val="single" w:sz="4" w:space="0" w:color="auto"/>
            </w:tcBorders>
            <w:shd w:val="clear" w:color="auto" w:fill="C6EFCE"/>
            <w:noWrap/>
          </w:tcPr>
          <w:p w14:paraId="5430C294" w14:textId="77777777" w:rsidR="00981F92" w:rsidRPr="000A27B3" w:rsidRDefault="00981F92">
            <w:pPr>
              <w:spacing w:after="0"/>
              <w:jc w:val="center"/>
              <w:rPr>
                <w:rFonts w:ascii="Times New Roman" w:eastAsia="Times New Roman" w:hAnsi="Times New Roman" w:cs="Times New Roman"/>
                <w:noProof/>
                <w:lang w:val="en-IE" w:eastAsia="en-GB"/>
              </w:rPr>
            </w:pPr>
          </w:p>
        </w:tc>
        <w:tc>
          <w:tcPr>
            <w:tcW w:w="3633" w:type="dxa"/>
            <w:tcBorders>
              <w:top w:val="single" w:sz="4" w:space="0" w:color="auto"/>
              <w:left w:val="nil"/>
              <w:bottom w:val="single" w:sz="4" w:space="0" w:color="auto"/>
              <w:right w:val="single" w:sz="4" w:space="0" w:color="auto"/>
            </w:tcBorders>
            <w:shd w:val="clear" w:color="auto" w:fill="C6EFCE"/>
            <w:noWrap/>
          </w:tcPr>
          <w:p w14:paraId="6DA595FC" w14:textId="77777777" w:rsidR="00981F92" w:rsidRPr="000A27B3" w:rsidRDefault="00981F92">
            <w:pPr>
              <w:spacing w:after="0"/>
              <w:rPr>
                <w:rFonts w:ascii="Times New Roman" w:eastAsia="Times New Roman" w:hAnsi="Times New Roman" w:cs="Times New Roman"/>
                <w:noProof/>
                <w:lang w:val="en-IE" w:eastAsia="en-GB"/>
              </w:rPr>
            </w:pPr>
          </w:p>
        </w:tc>
        <w:tc>
          <w:tcPr>
            <w:tcW w:w="1243" w:type="dxa"/>
            <w:tcBorders>
              <w:top w:val="single" w:sz="4" w:space="0" w:color="auto"/>
              <w:left w:val="nil"/>
              <w:bottom w:val="single" w:sz="4" w:space="0" w:color="auto"/>
              <w:right w:val="single" w:sz="4" w:space="0" w:color="auto"/>
            </w:tcBorders>
            <w:shd w:val="clear" w:color="auto" w:fill="C6EFCE"/>
            <w:noWrap/>
          </w:tcPr>
          <w:p w14:paraId="0477C5C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tranșelor</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01EC40FD" w14:textId="77777777"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2 147 491 242 EUR</w:t>
            </w:r>
          </w:p>
        </w:tc>
      </w:tr>
    </w:tbl>
    <w:p w14:paraId="2BEA2365" w14:textId="77777777" w:rsidR="00981F92" w:rsidRPr="000A27B3" w:rsidRDefault="00981F92">
      <w:pPr>
        <w:rPr>
          <w:rFonts w:ascii="Times New Roman" w:hAnsi="Times New Roman" w:cs="Times New Roman"/>
          <w:noProof/>
        </w:rPr>
      </w:pPr>
    </w:p>
    <w:p w14:paraId="505C9376" w14:textId="77777777" w:rsidR="00981F92" w:rsidRPr="000A27B3" w:rsidRDefault="00981F92">
      <w:pPr>
        <w:pStyle w:val="Heading3"/>
        <w:rPr>
          <w:noProof/>
          <w:szCs w:val="24"/>
        </w:rPr>
      </w:pPr>
      <w:r>
        <w:rPr>
          <w:noProof/>
        </w:rPr>
        <w:t xml:space="preserve">A treia tranșă (sprijin nerambursabil):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35B5CE6C"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A91F16F"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BE7E17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29C0E679"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85686CC"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5A7E2DF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51C6A37"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ABCC47A"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56CA3B7C"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758E29C"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17FA36FE"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4E8E3C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5E23A5C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w:t>
            </w:r>
          </w:p>
        </w:tc>
        <w:tc>
          <w:tcPr>
            <w:tcW w:w="3544" w:type="dxa"/>
            <w:tcBorders>
              <w:top w:val="nil"/>
              <w:left w:val="nil"/>
              <w:bottom w:val="single" w:sz="4" w:space="0" w:color="auto"/>
              <w:right w:val="single" w:sz="4" w:space="0" w:color="auto"/>
            </w:tcBorders>
            <w:shd w:val="clear" w:color="auto" w:fill="C6EFCE"/>
            <w:noWrap/>
            <w:hideMark/>
          </w:tcPr>
          <w:p w14:paraId="189CCA5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C2.R1</w:t>
            </w:r>
          </w:p>
          <w:p w14:paraId="520B6B2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sistemului de management și a celui privind guvernanța în domeniul forestier prin dezvoltarea unei noi Strategii forestiere naționale și a legislației subsecvente </w:t>
            </w:r>
          </w:p>
        </w:tc>
        <w:tc>
          <w:tcPr>
            <w:tcW w:w="1275" w:type="dxa"/>
            <w:tcBorders>
              <w:top w:val="nil"/>
              <w:left w:val="nil"/>
              <w:bottom w:val="single" w:sz="4" w:space="0" w:color="auto"/>
              <w:right w:val="single" w:sz="4" w:space="0" w:color="auto"/>
            </w:tcBorders>
            <w:shd w:val="clear" w:color="auto" w:fill="C6EFCE"/>
            <w:noWrap/>
            <w:hideMark/>
          </w:tcPr>
          <w:p w14:paraId="1B19D70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495B4C6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Strategiei forestiere naționale 2020-2030</w:t>
            </w:r>
          </w:p>
        </w:tc>
      </w:tr>
      <w:tr w:rsidR="00981F92" w:rsidRPr="000A27B3" w14:paraId="571FB0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1C0096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23</w:t>
            </w:r>
          </w:p>
        </w:tc>
        <w:tc>
          <w:tcPr>
            <w:tcW w:w="3544" w:type="dxa"/>
            <w:tcBorders>
              <w:top w:val="nil"/>
              <w:left w:val="nil"/>
              <w:bottom w:val="single" w:sz="4" w:space="0" w:color="auto"/>
              <w:right w:val="single" w:sz="4" w:space="0" w:color="auto"/>
            </w:tcBorders>
            <w:shd w:val="clear" w:color="auto" w:fill="C6EFCE"/>
            <w:noWrap/>
            <w:hideMark/>
          </w:tcPr>
          <w:p w14:paraId="7F346D7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C2.R1 </w:t>
            </w:r>
          </w:p>
          <w:p w14:paraId="1958FE1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sistemului de management și a celui privind guvernanța în domeniul forestier prin dezvoltarea unei noi Strategii forestiere naționale și a legislației subsecvente </w:t>
            </w:r>
          </w:p>
        </w:tc>
        <w:tc>
          <w:tcPr>
            <w:tcW w:w="1275" w:type="dxa"/>
            <w:tcBorders>
              <w:top w:val="nil"/>
              <w:left w:val="nil"/>
              <w:bottom w:val="single" w:sz="4" w:space="0" w:color="auto"/>
              <w:right w:val="single" w:sz="4" w:space="0" w:color="auto"/>
            </w:tcBorders>
            <w:shd w:val="clear" w:color="auto" w:fill="C6EFCE"/>
            <w:noWrap/>
            <w:hideMark/>
          </w:tcPr>
          <w:p w14:paraId="0617D21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5AE3256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ordonanțelor ministeriale modificate de stabilire a normelor obligatorii privind împădurirea și reîmpădurirea prevăzute în Strategia forestieră națională 2020-2030</w:t>
            </w:r>
          </w:p>
        </w:tc>
      </w:tr>
      <w:tr w:rsidR="00981F92" w:rsidRPr="000A27B3" w14:paraId="611F64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5C1DEA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148</w:t>
            </w:r>
          </w:p>
        </w:tc>
        <w:tc>
          <w:tcPr>
            <w:tcW w:w="3544" w:type="dxa"/>
            <w:tcBorders>
              <w:top w:val="nil"/>
              <w:left w:val="nil"/>
              <w:bottom w:val="single" w:sz="4" w:space="0" w:color="auto"/>
              <w:right w:val="single" w:sz="4" w:space="0" w:color="auto"/>
            </w:tcBorders>
            <w:shd w:val="clear" w:color="auto" w:fill="C6EFCE"/>
            <w:noWrap/>
            <w:hideMark/>
          </w:tcPr>
          <w:p w14:paraId="2988B96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C7.R2</w:t>
            </w:r>
          </w:p>
          <w:p w14:paraId="7D3DE940" w14:textId="71A4CB55"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Tranziția către atingerea obiectivelor de conectivitate UE 2025 și stimularea investițiilor private pentru dezvoltarea rețelelor de foarte mare capacitate </w:t>
            </w:r>
          </w:p>
        </w:tc>
        <w:tc>
          <w:tcPr>
            <w:tcW w:w="1275" w:type="dxa"/>
            <w:tcBorders>
              <w:top w:val="nil"/>
              <w:left w:val="nil"/>
              <w:bottom w:val="single" w:sz="4" w:space="0" w:color="auto"/>
              <w:right w:val="single" w:sz="4" w:space="0" w:color="auto"/>
            </w:tcBorders>
            <w:shd w:val="clear" w:color="auto" w:fill="C6EFCE"/>
            <w:noWrap/>
            <w:hideMark/>
          </w:tcPr>
          <w:p w14:paraId="4B2A42F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2F5814B6" w14:textId="1C69DE05"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Recomandările prevăzute în setul de instrumente al UE privind conectivitatea sunt implementate </w:t>
            </w:r>
          </w:p>
        </w:tc>
      </w:tr>
      <w:tr w:rsidR="00981F92" w:rsidRPr="000A27B3" w14:paraId="32E885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531F4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149</w:t>
            </w:r>
          </w:p>
        </w:tc>
        <w:tc>
          <w:tcPr>
            <w:tcW w:w="3544" w:type="dxa"/>
            <w:tcBorders>
              <w:top w:val="nil"/>
              <w:left w:val="nil"/>
              <w:bottom w:val="single" w:sz="4" w:space="0" w:color="auto"/>
              <w:right w:val="single" w:sz="4" w:space="0" w:color="auto"/>
            </w:tcBorders>
            <w:shd w:val="clear" w:color="auto" w:fill="C6EFCE"/>
            <w:noWrap/>
          </w:tcPr>
          <w:p w14:paraId="6BE426E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C7.R2</w:t>
            </w:r>
          </w:p>
          <w:p w14:paraId="2AB587FF" w14:textId="09C9F022"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Tranziția către atingerea obiectivelor de conectivitate UE-2025 și stimularea investițiilor private pentru dezvoltarea rețelelor de foarte mare capacitate </w:t>
            </w:r>
          </w:p>
        </w:tc>
        <w:tc>
          <w:tcPr>
            <w:tcW w:w="1275" w:type="dxa"/>
            <w:tcBorders>
              <w:top w:val="nil"/>
              <w:left w:val="nil"/>
              <w:bottom w:val="single" w:sz="4" w:space="0" w:color="auto"/>
              <w:right w:val="single" w:sz="4" w:space="0" w:color="auto"/>
            </w:tcBorders>
            <w:shd w:val="clear" w:color="auto" w:fill="C6EFCE"/>
            <w:noWrap/>
          </w:tcPr>
          <w:p w14:paraId="112F02E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38F136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Alocarea drepturilor de utilizare a spectrului de frecvențe radio</w:t>
            </w:r>
          </w:p>
        </w:tc>
      </w:tr>
      <w:tr w:rsidR="00981F92" w:rsidRPr="000A27B3" w14:paraId="183D8E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D57527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152</w:t>
            </w:r>
          </w:p>
        </w:tc>
        <w:tc>
          <w:tcPr>
            <w:tcW w:w="3544" w:type="dxa"/>
            <w:tcBorders>
              <w:top w:val="nil"/>
              <w:left w:val="nil"/>
              <w:bottom w:val="single" w:sz="4" w:space="0" w:color="auto"/>
              <w:right w:val="single" w:sz="4" w:space="0" w:color="auto"/>
            </w:tcBorders>
            <w:shd w:val="clear" w:color="auto" w:fill="C6EFCE"/>
            <w:noWrap/>
          </w:tcPr>
          <w:p w14:paraId="3A03E24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C7.R4</w:t>
            </w:r>
          </w:p>
          <w:p w14:paraId="420C43A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Creșterea competențelor digitale pentru exercitarea funcției publice și educație digitală pe parcursul vieții pentru cetățeni</w:t>
            </w:r>
          </w:p>
        </w:tc>
        <w:tc>
          <w:tcPr>
            <w:tcW w:w="1275" w:type="dxa"/>
            <w:tcBorders>
              <w:top w:val="nil"/>
              <w:left w:val="nil"/>
              <w:bottom w:val="single" w:sz="4" w:space="0" w:color="auto"/>
              <w:right w:val="single" w:sz="4" w:space="0" w:color="auto"/>
            </w:tcBorders>
            <w:shd w:val="clear" w:color="auto" w:fill="C6EFCE"/>
            <w:noWrap/>
          </w:tcPr>
          <w:p w14:paraId="6B8BA47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73285A2" w14:textId="6DB04116"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Ordinului ministerial al ministrului muncii și al președintelui Institutului Național de Statistică pentru definirea ocupațiilor noi digitale în clasificarea ocupațiilor (COR) </w:t>
            </w:r>
          </w:p>
        </w:tc>
      </w:tr>
      <w:tr w:rsidR="00981F92" w:rsidRPr="000A27B3" w14:paraId="32482D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8F335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384</w:t>
            </w:r>
          </w:p>
        </w:tc>
        <w:tc>
          <w:tcPr>
            <w:tcW w:w="3544" w:type="dxa"/>
            <w:tcBorders>
              <w:top w:val="nil"/>
              <w:left w:val="nil"/>
              <w:bottom w:val="single" w:sz="4" w:space="0" w:color="auto"/>
              <w:right w:val="single" w:sz="4" w:space="0" w:color="auto"/>
            </w:tcBorders>
            <w:shd w:val="clear" w:color="auto" w:fill="C6EFCE"/>
            <w:noWrap/>
          </w:tcPr>
          <w:p w14:paraId="6CB053D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C13.R3</w:t>
            </w:r>
          </w:p>
          <w:p w14:paraId="438E09E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Implementarea venitului minim de incluziune (VMI)</w:t>
            </w:r>
          </w:p>
        </w:tc>
        <w:tc>
          <w:tcPr>
            <w:tcW w:w="1275" w:type="dxa"/>
            <w:tcBorders>
              <w:top w:val="nil"/>
              <w:left w:val="nil"/>
              <w:bottom w:val="single" w:sz="4" w:space="0" w:color="auto"/>
              <w:right w:val="single" w:sz="4" w:space="0" w:color="auto"/>
            </w:tcBorders>
            <w:shd w:val="clear" w:color="auto" w:fill="C6EFCE"/>
            <w:noWrap/>
          </w:tcPr>
          <w:p w14:paraId="3B1F64E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E6E8DF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de aprobare a normelor de aplicare a VMI</w:t>
            </w:r>
          </w:p>
        </w:tc>
      </w:tr>
      <w:tr w:rsidR="00981F92" w:rsidRPr="000A27B3" w14:paraId="37637C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13826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410</w:t>
            </w:r>
          </w:p>
        </w:tc>
        <w:tc>
          <w:tcPr>
            <w:tcW w:w="3544" w:type="dxa"/>
            <w:tcBorders>
              <w:top w:val="nil"/>
              <w:left w:val="nil"/>
              <w:bottom w:val="single" w:sz="4" w:space="0" w:color="auto"/>
              <w:right w:val="single" w:sz="4" w:space="0" w:color="auto"/>
            </w:tcBorders>
            <w:shd w:val="clear" w:color="auto" w:fill="C6EFCE"/>
            <w:noWrap/>
          </w:tcPr>
          <w:p w14:paraId="057E4F1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59ADA6A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75" w:type="dxa"/>
            <w:tcBorders>
              <w:top w:val="nil"/>
              <w:left w:val="nil"/>
              <w:bottom w:val="single" w:sz="4" w:space="0" w:color="auto"/>
              <w:right w:val="single" w:sz="4" w:space="0" w:color="auto"/>
            </w:tcBorders>
            <w:shd w:val="clear" w:color="auto" w:fill="C6EFCE"/>
            <w:noWrap/>
          </w:tcPr>
          <w:p w14:paraId="75DF71C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81D4EC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orientărilor pentru utilizarea și asigurarea respectării corespunzătoare a Registrului Unic al Transparenței a Intereselor (RUTI)</w:t>
            </w:r>
          </w:p>
        </w:tc>
      </w:tr>
      <w:tr w:rsidR="00981F92" w:rsidRPr="000A27B3" w14:paraId="41011A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EB60A3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411</w:t>
            </w:r>
          </w:p>
        </w:tc>
        <w:tc>
          <w:tcPr>
            <w:tcW w:w="3544" w:type="dxa"/>
            <w:tcBorders>
              <w:top w:val="nil"/>
              <w:left w:val="nil"/>
              <w:bottom w:val="single" w:sz="4" w:space="0" w:color="auto"/>
              <w:right w:val="single" w:sz="4" w:space="0" w:color="auto"/>
            </w:tcBorders>
            <w:shd w:val="clear" w:color="auto" w:fill="C6EFCE"/>
            <w:noWrap/>
          </w:tcPr>
          <w:p w14:paraId="28B30E3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78342D6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75" w:type="dxa"/>
            <w:tcBorders>
              <w:top w:val="nil"/>
              <w:left w:val="nil"/>
              <w:bottom w:val="single" w:sz="4" w:space="0" w:color="auto"/>
              <w:right w:val="single" w:sz="4" w:space="0" w:color="auto"/>
            </w:tcBorders>
            <w:shd w:val="clear" w:color="auto" w:fill="C6EFCE"/>
            <w:noWrap/>
          </w:tcPr>
          <w:p w14:paraId="04BF1D8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2DC1AE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metodologiei de utilizare a ordonanțelor de urgență</w:t>
            </w:r>
          </w:p>
        </w:tc>
      </w:tr>
      <w:tr w:rsidR="00981F92" w:rsidRPr="000A27B3" w14:paraId="36B921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6F547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412</w:t>
            </w:r>
          </w:p>
        </w:tc>
        <w:tc>
          <w:tcPr>
            <w:tcW w:w="3544" w:type="dxa"/>
            <w:tcBorders>
              <w:top w:val="nil"/>
              <w:left w:val="nil"/>
              <w:bottom w:val="single" w:sz="4" w:space="0" w:color="auto"/>
              <w:right w:val="single" w:sz="4" w:space="0" w:color="auto"/>
            </w:tcBorders>
            <w:shd w:val="clear" w:color="auto" w:fill="C6EFCE"/>
            <w:noWrap/>
          </w:tcPr>
          <w:p w14:paraId="64073E9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04F8913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75" w:type="dxa"/>
            <w:tcBorders>
              <w:top w:val="nil"/>
              <w:left w:val="nil"/>
              <w:bottom w:val="single" w:sz="4" w:space="0" w:color="auto"/>
              <w:right w:val="single" w:sz="4" w:space="0" w:color="auto"/>
            </w:tcBorders>
            <w:shd w:val="clear" w:color="auto" w:fill="C6EFCE"/>
            <w:noWrap/>
          </w:tcPr>
          <w:p w14:paraId="4EE73EC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860055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modificărilor legislative menite să asigure publicarea textului integral al legilor după ce au fost modificate</w:t>
            </w:r>
          </w:p>
        </w:tc>
      </w:tr>
      <w:tr w:rsidR="00981F92" w:rsidRPr="000A27B3" w14:paraId="3C4778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741A8F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470</w:t>
            </w:r>
          </w:p>
        </w:tc>
        <w:tc>
          <w:tcPr>
            <w:tcW w:w="3544" w:type="dxa"/>
            <w:tcBorders>
              <w:top w:val="nil"/>
              <w:left w:val="nil"/>
              <w:bottom w:val="single" w:sz="4" w:space="0" w:color="auto"/>
              <w:right w:val="single" w:sz="4" w:space="0" w:color="auto"/>
            </w:tcBorders>
            <w:shd w:val="clear" w:color="auto" w:fill="C6EFCE"/>
            <w:noWrap/>
          </w:tcPr>
          <w:p w14:paraId="2CFB6D0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C15.R4</w:t>
            </w:r>
          </w:p>
          <w:p w14:paraId="4491D3F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Crearea unei rute profesionale complete pentru învățământul tehnic superior</w:t>
            </w:r>
          </w:p>
        </w:tc>
        <w:tc>
          <w:tcPr>
            <w:tcW w:w="1275" w:type="dxa"/>
            <w:tcBorders>
              <w:top w:val="nil"/>
              <w:left w:val="nil"/>
              <w:bottom w:val="single" w:sz="4" w:space="0" w:color="auto"/>
              <w:right w:val="single" w:sz="4" w:space="0" w:color="auto"/>
            </w:tcBorders>
            <w:shd w:val="clear" w:color="auto" w:fill="C6EFCE"/>
            <w:noWrap/>
          </w:tcPr>
          <w:p w14:paraId="297CCC2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3B184F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Hotărârii de guvern de aprobare a Metodologiei de organizare a rutei duale complete și a noilor calificări rezultate din ruta duală completă</w:t>
            </w:r>
          </w:p>
        </w:tc>
      </w:tr>
      <w:tr w:rsidR="00981F92" w:rsidRPr="000A27B3" w14:paraId="7D8B37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E9DF7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489</w:t>
            </w:r>
          </w:p>
        </w:tc>
        <w:tc>
          <w:tcPr>
            <w:tcW w:w="3544" w:type="dxa"/>
            <w:tcBorders>
              <w:top w:val="nil"/>
              <w:left w:val="nil"/>
              <w:bottom w:val="single" w:sz="4" w:space="0" w:color="auto"/>
              <w:right w:val="single" w:sz="4" w:space="0" w:color="auto"/>
            </w:tcBorders>
            <w:shd w:val="clear" w:color="auto" w:fill="C6EFCE"/>
            <w:noWrap/>
          </w:tcPr>
          <w:p w14:paraId="532DE0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C15.I11</w:t>
            </w:r>
          </w:p>
          <w:p w14:paraId="2215B76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Asigurarea dotărilor sălilor de clasă și a laboratoarelor/atelierelor școlare din sistemul preuniversitar</w:t>
            </w:r>
          </w:p>
        </w:tc>
        <w:tc>
          <w:tcPr>
            <w:tcW w:w="1275" w:type="dxa"/>
            <w:tcBorders>
              <w:top w:val="nil"/>
              <w:left w:val="nil"/>
              <w:bottom w:val="single" w:sz="4" w:space="0" w:color="auto"/>
              <w:right w:val="single" w:sz="4" w:space="0" w:color="auto"/>
            </w:tcBorders>
            <w:shd w:val="clear" w:color="auto" w:fill="C6EFCE"/>
            <w:noWrap/>
          </w:tcPr>
          <w:p w14:paraId="362A5E6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273BFA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Lansarea unei proceduri de ofertare pentru echiparea sălilor de clasă cu mobilier</w:t>
            </w:r>
          </w:p>
        </w:tc>
      </w:tr>
      <w:tr w:rsidR="00981F92" w:rsidRPr="000A27B3" w14:paraId="3DEC2F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E811F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490</w:t>
            </w:r>
          </w:p>
        </w:tc>
        <w:tc>
          <w:tcPr>
            <w:tcW w:w="3544" w:type="dxa"/>
            <w:tcBorders>
              <w:top w:val="nil"/>
              <w:left w:val="nil"/>
              <w:bottom w:val="single" w:sz="4" w:space="0" w:color="auto"/>
              <w:right w:val="single" w:sz="4" w:space="0" w:color="auto"/>
            </w:tcBorders>
            <w:shd w:val="clear" w:color="auto" w:fill="C6EFCE"/>
            <w:noWrap/>
          </w:tcPr>
          <w:p w14:paraId="42069CA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C15.I11</w:t>
            </w:r>
          </w:p>
          <w:p w14:paraId="12B5988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Asigurarea dotărilor sălilor de clasă și a laboratoarelor/atelierelor școlare din sistemul preuniversitar</w:t>
            </w:r>
          </w:p>
        </w:tc>
        <w:tc>
          <w:tcPr>
            <w:tcW w:w="1275" w:type="dxa"/>
            <w:tcBorders>
              <w:top w:val="nil"/>
              <w:left w:val="nil"/>
              <w:bottom w:val="single" w:sz="4" w:space="0" w:color="auto"/>
              <w:right w:val="single" w:sz="4" w:space="0" w:color="auto"/>
            </w:tcBorders>
            <w:shd w:val="clear" w:color="auto" w:fill="C6EFCE"/>
            <w:noWrap/>
          </w:tcPr>
          <w:p w14:paraId="5BA93A4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62E6BD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Lansarea unei proceduri de ofertare pentru echiparea laboratoarelor/cabinetelor de știință </w:t>
            </w:r>
          </w:p>
        </w:tc>
      </w:tr>
      <w:tr w:rsidR="00981F92" w:rsidRPr="000A27B3" w14:paraId="6AF630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8E499B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66</w:t>
            </w:r>
          </w:p>
        </w:tc>
        <w:tc>
          <w:tcPr>
            <w:tcW w:w="3544" w:type="dxa"/>
            <w:tcBorders>
              <w:top w:val="nil"/>
              <w:left w:val="nil"/>
              <w:bottom w:val="single" w:sz="4" w:space="0" w:color="auto"/>
              <w:right w:val="single" w:sz="4" w:space="0" w:color="auto"/>
            </w:tcBorders>
            <w:shd w:val="clear" w:color="auto" w:fill="C6EFCE"/>
            <w:noWrap/>
          </w:tcPr>
          <w:p w14:paraId="64EA5DB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p>
          <w:p w14:paraId="0E19497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Transport sustenabil, decarbonizare și siguranță rutieră / Siguranță rutieră</w:t>
            </w:r>
          </w:p>
        </w:tc>
        <w:tc>
          <w:tcPr>
            <w:tcW w:w="1275" w:type="dxa"/>
            <w:tcBorders>
              <w:top w:val="nil"/>
              <w:left w:val="nil"/>
              <w:bottom w:val="single" w:sz="4" w:space="0" w:color="auto"/>
              <w:right w:val="single" w:sz="4" w:space="0" w:color="auto"/>
            </w:tcBorders>
            <w:shd w:val="clear" w:color="auto" w:fill="C6EFCE"/>
            <w:noWrap/>
          </w:tcPr>
          <w:p w14:paraId="7B23040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95DB50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legislației privind siguranța rutieră – legislația privind monitorizarea, asigurarea respectării și sancțiunile aplicabile pentru încălcarea normele de siguranță rutieră</w:t>
            </w:r>
          </w:p>
        </w:tc>
      </w:tr>
      <w:tr w:rsidR="00981F92" w:rsidRPr="000A27B3" w14:paraId="4F20B7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1B6F92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72</w:t>
            </w:r>
          </w:p>
        </w:tc>
        <w:tc>
          <w:tcPr>
            <w:tcW w:w="3544" w:type="dxa"/>
            <w:tcBorders>
              <w:top w:val="nil"/>
              <w:left w:val="nil"/>
              <w:bottom w:val="single" w:sz="4" w:space="0" w:color="auto"/>
              <w:right w:val="single" w:sz="4" w:space="0" w:color="auto"/>
            </w:tcBorders>
            <w:shd w:val="clear" w:color="auto" w:fill="C6EFCE"/>
            <w:noWrap/>
          </w:tcPr>
          <w:p w14:paraId="6380202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C4.I1.</w:t>
            </w:r>
          </w:p>
          <w:p w14:paraId="455E8F1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Modernizarea și reînnoirea infrastructurii feroviare</w:t>
            </w:r>
          </w:p>
        </w:tc>
        <w:tc>
          <w:tcPr>
            <w:tcW w:w="1275" w:type="dxa"/>
            <w:tcBorders>
              <w:top w:val="nil"/>
              <w:left w:val="nil"/>
              <w:bottom w:val="single" w:sz="4" w:space="0" w:color="auto"/>
              <w:right w:val="single" w:sz="4" w:space="0" w:color="auto"/>
            </w:tcBorders>
            <w:shd w:val="clear" w:color="auto" w:fill="C6EFCE"/>
            <w:noWrap/>
          </w:tcPr>
          <w:p w14:paraId="57A3B60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E89FFA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50 % din lucrările legate de modernizarea și reînnoirea infrastructurii feroviare</w:t>
            </w:r>
          </w:p>
        </w:tc>
      </w:tr>
      <w:tr w:rsidR="00981F92" w:rsidRPr="000A27B3" w14:paraId="67A0D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25E45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115</w:t>
            </w:r>
          </w:p>
        </w:tc>
        <w:tc>
          <w:tcPr>
            <w:tcW w:w="3544" w:type="dxa"/>
            <w:tcBorders>
              <w:top w:val="nil"/>
              <w:left w:val="nil"/>
              <w:bottom w:val="single" w:sz="4" w:space="0" w:color="auto"/>
              <w:right w:val="single" w:sz="4" w:space="0" w:color="auto"/>
            </w:tcBorders>
            <w:shd w:val="clear" w:color="auto" w:fill="C6EFCE"/>
            <w:noWrap/>
          </w:tcPr>
          <w:p w14:paraId="09B49FE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C6.R1</w:t>
            </w:r>
          </w:p>
          <w:p w14:paraId="7166A49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1275" w:type="dxa"/>
            <w:tcBorders>
              <w:top w:val="nil"/>
              <w:left w:val="nil"/>
              <w:bottom w:val="single" w:sz="4" w:space="0" w:color="auto"/>
              <w:right w:val="single" w:sz="4" w:space="0" w:color="auto"/>
            </w:tcBorders>
            <w:shd w:val="clear" w:color="auto" w:fill="C6EFCE"/>
            <w:noWrap/>
          </w:tcPr>
          <w:p w14:paraId="09C5795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7CBFC7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Scoaterea din operare a capacității de producție a energiei electrice pe bază de lignit</w:t>
            </w:r>
          </w:p>
        </w:tc>
      </w:tr>
      <w:tr w:rsidR="00981F92" w:rsidRPr="000A27B3" w14:paraId="148E6C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F6398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121</w:t>
            </w:r>
          </w:p>
        </w:tc>
        <w:tc>
          <w:tcPr>
            <w:tcW w:w="3544" w:type="dxa"/>
            <w:tcBorders>
              <w:top w:val="nil"/>
              <w:left w:val="nil"/>
              <w:bottom w:val="single" w:sz="4" w:space="0" w:color="auto"/>
              <w:right w:val="single" w:sz="4" w:space="0" w:color="auto"/>
            </w:tcBorders>
            <w:shd w:val="clear" w:color="auto" w:fill="C6EFCE"/>
            <w:noWrap/>
          </w:tcPr>
          <w:p w14:paraId="210A724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C6.R3</w:t>
            </w:r>
          </w:p>
          <w:p w14:paraId="28CDB22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guvernanței corporative a întreprinderilor de stat din sectorul energetic</w:t>
            </w:r>
          </w:p>
        </w:tc>
        <w:tc>
          <w:tcPr>
            <w:tcW w:w="1275" w:type="dxa"/>
            <w:tcBorders>
              <w:top w:val="nil"/>
              <w:left w:val="nil"/>
              <w:bottom w:val="single" w:sz="4" w:space="0" w:color="auto"/>
              <w:right w:val="single" w:sz="4" w:space="0" w:color="auto"/>
            </w:tcBorders>
            <w:shd w:val="clear" w:color="auto" w:fill="C6EFCE"/>
            <w:noWrap/>
          </w:tcPr>
          <w:p w14:paraId="763959A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130B4A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guvernanței corporative a companiilor de stat din sectorul energetic</w:t>
            </w:r>
          </w:p>
        </w:tc>
      </w:tr>
      <w:tr w:rsidR="00981F92" w:rsidRPr="000A27B3" w14:paraId="2F3F9B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E1F5E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151</w:t>
            </w:r>
          </w:p>
        </w:tc>
        <w:tc>
          <w:tcPr>
            <w:tcW w:w="3544" w:type="dxa"/>
            <w:tcBorders>
              <w:top w:val="nil"/>
              <w:left w:val="nil"/>
              <w:bottom w:val="single" w:sz="4" w:space="0" w:color="auto"/>
              <w:right w:val="single" w:sz="4" w:space="0" w:color="auto"/>
            </w:tcBorders>
            <w:shd w:val="clear" w:color="auto" w:fill="C6EFCE"/>
            <w:noWrap/>
          </w:tcPr>
          <w:p w14:paraId="15A2644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C7.R3</w:t>
            </w:r>
          </w:p>
          <w:p w14:paraId="11ED995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Asigurarea securității cibernetice a entităților publice și private care dețin infrastructuri cu valențe critice</w:t>
            </w:r>
          </w:p>
        </w:tc>
        <w:tc>
          <w:tcPr>
            <w:tcW w:w="1275" w:type="dxa"/>
            <w:tcBorders>
              <w:top w:val="nil"/>
              <w:left w:val="nil"/>
              <w:bottom w:val="single" w:sz="4" w:space="0" w:color="auto"/>
              <w:right w:val="single" w:sz="4" w:space="0" w:color="auto"/>
            </w:tcBorders>
            <w:shd w:val="clear" w:color="auto" w:fill="C6EFCE"/>
            <w:noWrap/>
          </w:tcPr>
          <w:p w14:paraId="632146A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EA01B2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privind apărarea și securitatea cibernetică a României</w:t>
            </w:r>
          </w:p>
        </w:tc>
      </w:tr>
      <w:tr w:rsidR="00981F92" w:rsidRPr="000A27B3" w14:paraId="3F5F07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3CD3D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192</w:t>
            </w:r>
          </w:p>
        </w:tc>
        <w:tc>
          <w:tcPr>
            <w:tcW w:w="3544" w:type="dxa"/>
            <w:tcBorders>
              <w:top w:val="nil"/>
              <w:left w:val="nil"/>
              <w:bottom w:val="single" w:sz="4" w:space="0" w:color="auto"/>
              <w:right w:val="single" w:sz="4" w:space="0" w:color="auto"/>
            </w:tcBorders>
            <w:shd w:val="clear" w:color="auto" w:fill="C6EFCE"/>
            <w:noWrap/>
          </w:tcPr>
          <w:p w14:paraId="5697B93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C8.R1</w:t>
            </w:r>
          </w:p>
          <w:p w14:paraId="15AA6D1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Agenției Naționale de Administrare Fiscală (ANAF) prin digitalizare </w:t>
            </w:r>
          </w:p>
        </w:tc>
        <w:tc>
          <w:tcPr>
            <w:tcW w:w="1275" w:type="dxa"/>
            <w:tcBorders>
              <w:top w:val="nil"/>
              <w:left w:val="nil"/>
              <w:bottom w:val="single" w:sz="4" w:space="0" w:color="auto"/>
              <w:right w:val="single" w:sz="4" w:space="0" w:color="auto"/>
            </w:tcBorders>
            <w:shd w:val="clear" w:color="auto" w:fill="C6EFCE"/>
            <w:noWrap/>
          </w:tcPr>
          <w:p w14:paraId="4627147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448292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Noi contribuabili persoane juridice înscriși în SPV </w:t>
            </w:r>
          </w:p>
        </w:tc>
      </w:tr>
      <w:tr w:rsidR="00981F92" w:rsidRPr="000A27B3" w14:paraId="4FE940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BB8F0A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193</w:t>
            </w:r>
          </w:p>
        </w:tc>
        <w:tc>
          <w:tcPr>
            <w:tcW w:w="3544" w:type="dxa"/>
            <w:tcBorders>
              <w:top w:val="nil"/>
              <w:left w:val="nil"/>
              <w:bottom w:val="single" w:sz="4" w:space="0" w:color="auto"/>
              <w:right w:val="single" w:sz="4" w:space="0" w:color="auto"/>
            </w:tcBorders>
            <w:shd w:val="clear" w:color="auto" w:fill="C6EFCE"/>
            <w:noWrap/>
          </w:tcPr>
          <w:p w14:paraId="40F5B8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C8.R1</w:t>
            </w:r>
          </w:p>
          <w:p w14:paraId="2DB3BAF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Agenției Naționale de Administrare Fiscală (ANAF) prin digitalizare </w:t>
            </w:r>
          </w:p>
        </w:tc>
        <w:tc>
          <w:tcPr>
            <w:tcW w:w="1275" w:type="dxa"/>
            <w:tcBorders>
              <w:top w:val="nil"/>
              <w:left w:val="nil"/>
              <w:bottom w:val="single" w:sz="4" w:space="0" w:color="auto"/>
              <w:right w:val="single" w:sz="4" w:space="0" w:color="auto"/>
            </w:tcBorders>
            <w:shd w:val="clear" w:color="auto" w:fill="C6EFCE"/>
            <w:noWrap/>
          </w:tcPr>
          <w:p w14:paraId="6317DBC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55884B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cadrului juridic aplicabil care definește criteriile de risc pentru clasificarea contribuabililor. Cadrul legal se aprobă printr-un ordin al președintelui ANAF</w:t>
            </w:r>
          </w:p>
        </w:tc>
      </w:tr>
      <w:tr w:rsidR="00981F92" w:rsidRPr="000A27B3" w14:paraId="2AB3F5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24DA99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194</w:t>
            </w:r>
          </w:p>
        </w:tc>
        <w:tc>
          <w:tcPr>
            <w:tcW w:w="3544" w:type="dxa"/>
            <w:tcBorders>
              <w:top w:val="nil"/>
              <w:left w:val="nil"/>
              <w:bottom w:val="single" w:sz="4" w:space="0" w:color="auto"/>
              <w:right w:val="single" w:sz="4" w:space="0" w:color="auto"/>
            </w:tcBorders>
            <w:shd w:val="clear" w:color="auto" w:fill="C6EFCE"/>
            <w:noWrap/>
          </w:tcPr>
          <w:p w14:paraId="38701F3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C8.R1</w:t>
            </w:r>
          </w:p>
          <w:p w14:paraId="406B13A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Agenției Naționale de Administrare Fiscală (ANAF) prin digitalizare </w:t>
            </w:r>
          </w:p>
        </w:tc>
        <w:tc>
          <w:tcPr>
            <w:tcW w:w="1275" w:type="dxa"/>
            <w:tcBorders>
              <w:top w:val="nil"/>
              <w:left w:val="nil"/>
              <w:bottom w:val="single" w:sz="4" w:space="0" w:color="auto"/>
              <w:right w:val="single" w:sz="4" w:space="0" w:color="auto"/>
            </w:tcBorders>
            <w:shd w:val="clear" w:color="auto" w:fill="C6EFCE"/>
            <w:noWrap/>
          </w:tcPr>
          <w:p w14:paraId="66DE5CE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B9F560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cadrului legal incident domeniului de activitate al structurilor de control fiscal </w:t>
            </w:r>
          </w:p>
        </w:tc>
      </w:tr>
      <w:tr w:rsidR="00981F92" w:rsidRPr="000A27B3" w14:paraId="660918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EE658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199</w:t>
            </w:r>
          </w:p>
        </w:tc>
        <w:tc>
          <w:tcPr>
            <w:tcW w:w="3544" w:type="dxa"/>
            <w:tcBorders>
              <w:top w:val="nil"/>
              <w:left w:val="nil"/>
              <w:bottom w:val="single" w:sz="4" w:space="0" w:color="auto"/>
              <w:right w:val="single" w:sz="4" w:space="0" w:color="auto"/>
            </w:tcBorders>
            <w:shd w:val="clear" w:color="auto" w:fill="C6EFCE"/>
            <w:noWrap/>
          </w:tcPr>
          <w:p w14:paraId="58B9E37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C8.R3</w:t>
            </w:r>
          </w:p>
          <w:p w14:paraId="6E58ADB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mecanismului de programare bugetară </w:t>
            </w:r>
          </w:p>
        </w:tc>
        <w:tc>
          <w:tcPr>
            <w:tcW w:w="1275" w:type="dxa"/>
            <w:tcBorders>
              <w:top w:val="nil"/>
              <w:left w:val="nil"/>
              <w:bottom w:val="single" w:sz="4" w:space="0" w:color="auto"/>
              <w:right w:val="single" w:sz="4" w:space="0" w:color="auto"/>
            </w:tcBorders>
            <w:shd w:val="clear" w:color="auto" w:fill="C6EFCE"/>
            <w:noWrap/>
          </w:tcPr>
          <w:p w14:paraId="5B0C282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C6C691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cadrului de reglementare modificat pentru a asigura planificarea bugetară multianuală pentru proiectele semnificative de investiții publice și efectuarea unei evaluări </w:t>
            </w:r>
            <w:r>
              <w:rPr>
                <w:rFonts w:ascii="Times New Roman" w:hAnsi="Times New Roman"/>
                <w:i/>
                <w:iCs/>
                <w:noProof/>
              </w:rPr>
              <w:t>ex post</w:t>
            </w:r>
            <w:r>
              <w:rPr>
                <w:rFonts w:ascii="Times New Roman" w:hAnsi="Times New Roman"/>
                <w:noProof/>
              </w:rPr>
              <w:t xml:space="preserve"> a analizei cheltuielilor de către Consiliul Fiscal </w:t>
            </w:r>
          </w:p>
        </w:tc>
      </w:tr>
      <w:tr w:rsidR="00981F92" w:rsidRPr="000A27B3" w14:paraId="30E1D5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60F5B6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205</w:t>
            </w:r>
          </w:p>
        </w:tc>
        <w:tc>
          <w:tcPr>
            <w:tcW w:w="3544" w:type="dxa"/>
            <w:tcBorders>
              <w:top w:val="nil"/>
              <w:left w:val="nil"/>
              <w:bottom w:val="single" w:sz="4" w:space="0" w:color="auto"/>
              <w:right w:val="single" w:sz="4" w:space="0" w:color="auto"/>
            </w:tcBorders>
            <w:shd w:val="clear" w:color="auto" w:fill="C6EFCE"/>
            <w:noWrap/>
          </w:tcPr>
          <w:p w14:paraId="1633381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C8.R4</w:t>
            </w:r>
          </w:p>
          <w:p w14:paraId="45FACB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Revizuirea cadrului fiscal</w:t>
            </w:r>
          </w:p>
        </w:tc>
        <w:tc>
          <w:tcPr>
            <w:tcW w:w="1275" w:type="dxa"/>
            <w:tcBorders>
              <w:top w:val="nil"/>
              <w:left w:val="nil"/>
              <w:bottom w:val="single" w:sz="4" w:space="0" w:color="auto"/>
              <w:right w:val="single" w:sz="4" w:space="0" w:color="auto"/>
            </w:tcBorders>
            <w:shd w:val="clear" w:color="auto" w:fill="C6EFCE"/>
            <w:noWrap/>
          </w:tcPr>
          <w:p w14:paraId="41581A1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BEE528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Analiza sistemului fiscal al României cu scopul de a formula recomandări pentru a se asigura faptul că sistemul fiscal contribuie la promovarea și menținerea unei creșteri economice sustenabile</w:t>
            </w:r>
          </w:p>
        </w:tc>
      </w:tr>
      <w:tr w:rsidR="00981F92" w:rsidRPr="000A27B3" w14:paraId="4B2C2F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D2CBC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206</w:t>
            </w:r>
          </w:p>
        </w:tc>
        <w:tc>
          <w:tcPr>
            <w:tcW w:w="3544" w:type="dxa"/>
            <w:tcBorders>
              <w:top w:val="nil"/>
              <w:left w:val="nil"/>
              <w:bottom w:val="single" w:sz="4" w:space="0" w:color="auto"/>
              <w:right w:val="single" w:sz="4" w:space="0" w:color="auto"/>
            </w:tcBorders>
            <w:shd w:val="clear" w:color="auto" w:fill="C6EFCE"/>
            <w:noWrap/>
          </w:tcPr>
          <w:p w14:paraId="4BE113C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C8.R4</w:t>
            </w:r>
          </w:p>
          <w:p w14:paraId="14C145E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Revizuirea cadrului fiscal</w:t>
            </w:r>
          </w:p>
        </w:tc>
        <w:tc>
          <w:tcPr>
            <w:tcW w:w="1275" w:type="dxa"/>
            <w:tcBorders>
              <w:top w:val="nil"/>
              <w:left w:val="nil"/>
              <w:bottom w:val="single" w:sz="4" w:space="0" w:color="auto"/>
              <w:right w:val="single" w:sz="4" w:space="0" w:color="auto"/>
            </w:tcBorders>
            <w:shd w:val="clear" w:color="auto" w:fill="C6EFCE"/>
            <w:noWrap/>
          </w:tcPr>
          <w:p w14:paraId="55A3DC7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A4D1BB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modificărilor aduse Codului fiscal care reduc treptat domeniul de aplicare al regimului fiscal special aplicabil microîntreprinderilor </w:t>
            </w:r>
          </w:p>
        </w:tc>
      </w:tr>
      <w:tr w:rsidR="00981F92" w:rsidRPr="000A27B3" w14:paraId="0A568C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1669E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215</w:t>
            </w:r>
          </w:p>
        </w:tc>
        <w:tc>
          <w:tcPr>
            <w:tcW w:w="3544" w:type="dxa"/>
            <w:tcBorders>
              <w:top w:val="nil"/>
              <w:left w:val="nil"/>
              <w:bottom w:val="single" w:sz="4" w:space="0" w:color="auto"/>
              <w:right w:val="single" w:sz="4" w:space="0" w:color="auto"/>
            </w:tcBorders>
            <w:shd w:val="clear" w:color="auto" w:fill="C6EFCE"/>
            <w:noWrap/>
          </w:tcPr>
          <w:p w14:paraId="6BE8BA3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C8.R6</w:t>
            </w:r>
          </w:p>
          <w:p w14:paraId="5A3DF71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sistemului public de pensii</w:t>
            </w:r>
          </w:p>
        </w:tc>
        <w:tc>
          <w:tcPr>
            <w:tcW w:w="1275" w:type="dxa"/>
            <w:tcBorders>
              <w:top w:val="nil"/>
              <w:left w:val="nil"/>
              <w:bottom w:val="single" w:sz="4" w:space="0" w:color="auto"/>
              <w:right w:val="single" w:sz="4" w:space="0" w:color="auto"/>
            </w:tcBorders>
            <w:shd w:val="clear" w:color="auto" w:fill="C6EFCE"/>
            <w:noWrap/>
          </w:tcPr>
          <w:p w14:paraId="163D6FC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DF6A64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cadrului legislativ pentru reducerea cheltuielilor cu pensiile speciale</w:t>
            </w:r>
          </w:p>
        </w:tc>
      </w:tr>
      <w:tr w:rsidR="00981F92" w:rsidRPr="000A27B3" w14:paraId="517598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58CAA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221</w:t>
            </w:r>
          </w:p>
        </w:tc>
        <w:tc>
          <w:tcPr>
            <w:tcW w:w="3544" w:type="dxa"/>
            <w:tcBorders>
              <w:top w:val="nil"/>
              <w:left w:val="nil"/>
              <w:bottom w:val="single" w:sz="4" w:space="0" w:color="auto"/>
              <w:right w:val="single" w:sz="4" w:space="0" w:color="auto"/>
            </w:tcBorders>
            <w:shd w:val="clear" w:color="auto" w:fill="C6EFCE"/>
            <w:noWrap/>
          </w:tcPr>
          <w:p w14:paraId="2A62BBA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28C52FB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2FC333C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EA52B2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Numărul de case de marcat conectate la sistemul informatic al Agenției Naționale de Administrare Fiscală </w:t>
            </w:r>
          </w:p>
        </w:tc>
      </w:tr>
      <w:tr w:rsidR="00981F92" w:rsidRPr="000A27B3" w14:paraId="0A07680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6D8FD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222</w:t>
            </w:r>
          </w:p>
        </w:tc>
        <w:tc>
          <w:tcPr>
            <w:tcW w:w="3544" w:type="dxa"/>
            <w:tcBorders>
              <w:top w:val="nil"/>
              <w:left w:val="nil"/>
              <w:bottom w:val="single" w:sz="4" w:space="0" w:color="auto"/>
              <w:right w:val="single" w:sz="4" w:space="0" w:color="auto"/>
            </w:tcBorders>
            <w:shd w:val="clear" w:color="auto" w:fill="C6EFCE"/>
            <w:noWrap/>
          </w:tcPr>
          <w:p w14:paraId="3133F0C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30A94C6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69E3D44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4541DC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Ponderea numărului de desk-audituri raportată la numărul total de audituri efectuate de administrația fiscală: 30 % </w:t>
            </w:r>
          </w:p>
        </w:tc>
      </w:tr>
      <w:tr w:rsidR="00981F92" w:rsidRPr="000A27B3" w14:paraId="286681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2DF33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230</w:t>
            </w:r>
          </w:p>
        </w:tc>
        <w:tc>
          <w:tcPr>
            <w:tcW w:w="3544" w:type="dxa"/>
            <w:tcBorders>
              <w:top w:val="nil"/>
              <w:left w:val="nil"/>
              <w:bottom w:val="single" w:sz="4" w:space="0" w:color="auto"/>
              <w:right w:val="single" w:sz="4" w:space="0" w:color="auto"/>
            </w:tcBorders>
            <w:shd w:val="clear" w:color="auto" w:fill="C6EFCE"/>
            <w:noWrap/>
          </w:tcPr>
          <w:p w14:paraId="52D83A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C8.I4</w:t>
            </w:r>
          </w:p>
          <w:p w14:paraId="4C428EF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Implementarea vămii electronice</w:t>
            </w:r>
          </w:p>
        </w:tc>
        <w:tc>
          <w:tcPr>
            <w:tcW w:w="1275" w:type="dxa"/>
            <w:tcBorders>
              <w:top w:val="nil"/>
              <w:left w:val="nil"/>
              <w:bottom w:val="single" w:sz="4" w:space="0" w:color="auto"/>
              <w:right w:val="single" w:sz="4" w:space="0" w:color="auto"/>
            </w:tcBorders>
            <w:shd w:val="clear" w:color="auto" w:fill="C6EFCE"/>
            <w:noWrap/>
          </w:tcPr>
          <w:p w14:paraId="3072990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76492F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Infrastructură hardware și software modernizată</w:t>
            </w:r>
          </w:p>
        </w:tc>
      </w:tr>
      <w:tr w:rsidR="00981F92" w:rsidRPr="000A27B3" w14:paraId="17FDD3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80ADF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288</w:t>
            </w:r>
          </w:p>
        </w:tc>
        <w:tc>
          <w:tcPr>
            <w:tcW w:w="3544" w:type="dxa"/>
            <w:tcBorders>
              <w:top w:val="nil"/>
              <w:left w:val="nil"/>
              <w:bottom w:val="single" w:sz="4" w:space="0" w:color="auto"/>
              <w:right w:val="single" w:sz="4" w:space="0" w:color="auto"/>
            </w:tcBorders>
            <w:shd w:val="clear" w:color="auto" w:fill="C6EFCE"/>
            <w:noWrap/>
          </w:tcPr>
          <w:p w14:paraId="069F5F8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C10.R1</w:t>
            </w:r>
          </w:p>
          <w:p w14:paraId="2B20CD3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Crearea cadrului pentru mobilitate urbană durabilă </w:t>
            </w:r>
          </w:p>
        </w:tc>
        <w:tc>
          <w:tcPr>
            <w:tcW w:w="1275" w:type="dxa"/>
            <w:tcBorders>
              <w:top w:val="nil"/>
              <w:left w:val="nil"/>
              <w:bottom w:val="single" w:sz="4" w:space="0" w:color="auto"/>
              <w:right w:val="single" w:sz="4" w:space="0" w:color="auto"/>
            </w:tcBorders>
            <w:shd w:val="clear" w:color="auto" w:fill="C6EFCE"/>
            <w:noWrap/>
          </w:tcPr>
          <w:p w14:paraId="246E2EB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202297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legislației în domeniul mobilității urbane durabile </w:t>
            </w:r>
          </w:p>
        </w:tc>
      </w:tr>
      <w:tr w:rsidR="00981F92" w:rsidRPr="000A27B3" w14:paraId="1B5600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A33AE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289</w:t>
            </w:r>
          </w:p>
        </w:tc>
        <w:tc>
          <w:tcPr>
            <w:tcW w:w="3544" w:type="dxa"/>
            <w:tcBorders>
              <w:top w:val="nil"/>
              <w:left w:val="nil"/>
              <w:bottom w:val="single" w:sz="4" w:space="0" w:color="auto"/>
              <w:right w:val="single" w:sz="4" w:space="0" w:color="auto"/>
            </w:tcBorders>
            <w:shd w:val="clear" w:color="auto" w:fill="C6EFCE"/>
            <w:noWrap/>
          </w:tcPr>
          <w:p w14:paraId="34189E9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C10.R1</w:t>
            </w:r>
          </w:p>
          <w:p w14:paraId="2F89EB7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Crearea cadrului pentru mobilitate urbană durabilă </w:t>
            </w:r>
          </w:p>
        </w:tc>
        <w:tc>
          <w:tcPr>
            <w:tcW w:w="1275" w:type="dxa"/>
            <w:tcBorders>
              <w:top w:val="nil"/>
              <w:left w:val="nil"/>
              <w:bottom w:val="single" w:sz="4" w:space="0" w:color="auto"/>
              <w:right w:val="single" w:sz="4" w:space="0" w:color="auto"/>
            </w:tcBorders>
            <w:shd w:val="clear" w:color="auto" w:fill="C6EFCE"/>
            <w:noWrap/>
          </w:tcPr>
          <w:p w14:paraId="591A11E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82EED6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ordinului ministerial privind instituirea unei structuri care să acorde asistență tehnică pentru elaborarea de planuri de mobilitate urbană durabilă (PMUD) și actualizarea PMUD instituite și operaționale</w:t>
            </w:r>
          </w:p>
        </w:tc>
      </w:tr>
      <w:tr w:rsidR="00981F92" w:rsidRPr="000A27B3" w14:paraId="211738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D6E57A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294</w:t>
            </w:r>
          </w:p>
        </w:tc>
        <w:tc>
          <w:tcPr>
            <w:tcW w:w="3544" w:type="dxa"/>
            <w:tcBorders>
              <w:top w:val="nil"/>
              <w:left w:val="nil"/>
              <w:bottom w:val="single" w:sz="4" w:space="0" w:color="auto"/>
              <w:right w:val="single" w:sz="4" w:space="0" w:color="auto"/>
            </w:tcBorders>
            <w:shd w:val="clear" w:color="auto" w:fill="C6EFCE"/>
            <w:noWrap/>
          </w:tcPr>
          <w:p w14:paraId="1D251CB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33CBBF7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Mobilitate urbană durabilă</w:t>
            </w:r>
          </w:p>
        </w:tc>
        <w:tc>
          <w:tcPr>
            <w:tcW w:w="1275" w:type="dxa"/>
            <w:tcBorders>
              <w:top w:val="nil"/>
              <w:left w:val="nil"/>
              <w:bottom w:val="single" w:sz="4" w:space="0" w:color="auto"/>
              <w:right w:val="single" w:sz="4" w:space="0" w:color="auto"/>
            </w:tcBorders>
            <w:shd w:val="clear" w:color="auto" w:fill="C6EFCE"/>
            <w:noWrap/>
          </w:tcPr>
          <w:p w14:paraId="2A7E404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873E4A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de contracte pentru reînnoirea parcurilor de vehicule de transport public (achiziționarea de vehicule nepoluante)</w:t>
            </w:r>
          </w:p>
        </w:tc>
      </w:tr>
      <w:tr w:rsidR="00981F92" w:rsidRPr="000A27B3" w14:paraId="73BA48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2CE27B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298</w:t>
            </w:r>
          </w:p>
        </w:tc>
        <w:tc>
          <w:tcPr>
            <w:tcW w:w="3544" w:type="dxa"/>
            <w:tcBorders>
              <w:top w:val="nil"/>
              <w:left w:val="nil"/>
              <w:bottom w:val="single" w:sz="4" w:space="0" w:color="auto"/>
              <w:right w:val="single" w:sz="4" w:space="0" w:color="auto"/>
            </w:tcBorders>
            <w:shd w:val="clear" w:color="auto" w:fill="C6EFCE"/>
            <w:noWrap/>
          </w:tcPr>
          <w:p w14:paraId="09D6348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79AAF15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Mobilitate urbană durabilă</w:t>
            </w:r>
          </w:p>
        </w:tc>
        <w:tc>
          <w:tcPr>
            <w:tcW w:w="1275" w:type="dxa"/>
            <w:tcBorders>
              <w:top w:val="nil"/>
              <w:left w:val="nil"/>
              <w:bottom w:val="single" w:sz="4" w:space="0" w:color="auto"/>
              <w:right w:val="single" w:sz="4" w:space="0" w:color="auto"/>
            </w:tcBorders>
            <w:shd w:val="clear" w:color="auto" w:fill="C6EFCE"/>
            <w:noWrap/>
          </w:tcPr>
          <w:p w14:paraId="2DF99AE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BB96DE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contractelor pentru furnizarea STI/alte infrastructuri TIC</w:t>
            </w:r>
          </w:p>
        </w:tc>
      </w:tr>
      <w:tr w:rsidR="000A27B3" w:rsidRPr="000A27B3" w14:paraId="46EDD4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6DF49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301</w:t>
            </w:r>
          </w:p>
        </w:tc>
        <w:tc>
          <w:tcPr>
            <w:tcW w:w="3544" w:type="dxa"/>
            <w:tcBorders>
              <w:top w:val="nil"/>
              <w:left w:val="nil"/>
              <w:bottom w:val="single" w:sz="4" w:space="0" w:color="auto"/>
              <w:right w:val="single" w:sz="4" w:space="0" w:color="auto"/>
            </w:tcBorders>
            <w:shd w:val="clear" w:color="auto" w:fill="C6EFCE"/>
            <w:noWrap/>
          </w:tcPr>
          <w:p w14:paraId="314C9C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631B851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Mobilitate urbană durabilă</w:t>
            </w:r>
          </w:p>
        </w:tc>
        <w:tc>
          <w:tcPr>
            <w:tcW w:w="1275" w:type="dxa"/>
            <w:tcBorders>
              <w:top w:val="nil"/>
              <w:left w:val="nil"/>
              <w:bottom w:val="single" w:sz="4" w:space="0" w:color="auto"/>
              <w:right w:val="single" w:sz="4" w:space="0" w:color="auto"/>
            </w:tcBorders>
            <w:shd w:val="clear" w:color="auto" w:fill="C6EFCE"/>
            <w:noWrap/>
          </w:tcPr>
          <w:p w14:paraId="31CE2AA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D4764A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construirea de puncte de reîncărcare pentru vehicule electrice</w:t>
            </w:r>
          </w:p>
        </w:tc>
      </w:tr>
      <w:tr w:rsidR="00981F92" w:rsidRPr="000A27B3" w14:paraId="0EA677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CA318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351</w:t>
            </w:r>
          </w:p>
        </w:tc>
        <w:tc>
          <w:tcPr>
            <w:tcW w:w="3544" w:type="dxa"/>
            <w:tcBorders>
              <w:top w:val="nil"/>
              <w:left w:val="nil"/>
              <w:bottom w:val="single" w:sz="4" w:space="0" w:color="auto"/>
              <w:right w:val="single" w:sz="4" w:space="0" w:color="auto"/>
            </w:tcBorders>
            <w:shd w:val="clear" w:color="auto" w:fill="C6EFCE"/>
            <w:noWrap/>
          </w:tcPr>
          <w:p w14:paraId="27DBF6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C12.R1</w:t>
            </w:r>
          </w:p>
          <w:p w14:paraId="3C7EAFF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capacității pentru gestionarea fondurilor publice din sănătate </w:t>
            </w:r>
          </w:p>
        </w:tc>
        <w:tc>
          <w:tcPr>
            <w:tcW w:w="1275" w:type="dxa"/>
            <w:tcBorders>
              <w:top w:val="nil"/>
              <w:left w:val="nil"/>
              <w:bottom w:val="single" w:sz="4" w:space="0" w:color="auto"/>
              <w:right w:val="single" w:sz="4" w:space="0" w:color="auto"/>
            </w:tcBorders>
            <w:shd w:val="clear" w:color="auto" w:fill="C6EFCE"/>
            <w:noWrap/>
          </w:tcPr>
          <w:p w14:paraId="6330D43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349509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ordinului ministerial privind indicatorii de performanță și de calitate care urmează să fie utilizați pentru selectarea unităților medicale care vor fi finanțate din Fondul pentru calitatea serviciilor medicale</w:t>
            </w:r>
          </w:p>
        </w:tc>
      </w:tr>
      <w:tr w:rsidR="00981F92" w:rsidRPr="000A27B3" w14:paraId="3DFCD4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34AA74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358</w:t>
            </w:r>
          </w:p>
        </w:tc>
        <w:tc>
          <w:tcPr>
            <w:tcW w:w="3544" w:type="dxa"/>
            <w:tcBorders>
              <w:top w:val="nil"/>
              <w:left w:val="nil"/>
              <w:bottom w:val="single" w:sz="4" w:space="0" w:color="auto"/>
              <w:right w:val="single" w:sz="4" w:space="0" w:color="auto"/>
            </w:tcBorders>
            <w:shd w:val="clear" w:color="auto" w:fill="C6EFCE"/>
            <w:noWrap/>
          </w:tcPr>
          <w:p w14:paraId="020030C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C12.R3</w:t>
            </w:r>
          </w:p>
          <w:p w14:paraId="5C5CF26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75" w:type="dxa"/>
            <w:tcBorders>
              <w:top w:val="nil"/>
              <w:left w:val="nil"/>
              <w:bottom w:val="single" w:sz="4" w:space="0" w:color="auto"/>
              <w:right w:val="single" w:sz="4" w:space="0" w:color="auto"/>
            </w:tcBorders>
            <w:shd w:val="clear" w:color="auto" w:fill="C6EFCE"/>
            <w:noWrap/>
          </w:tcPr>
          <w:p w14:paraId="74CD242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CF0D3D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resurselor umane din sănătate</w:t>
            </w:r>
          </w:p>
        </w:tc>
      </w:tr>
      <w:tr w:rsidR="00981F92" w:rsidRPr="000A27B3" w14:paraId="408543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70044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378</w:t>
            </w:r>
          </w:p>
        </w:tc>
        <w:tc>
          <w:tcPr>
            <w:tcW w:w="3544" w:type="dxa"/>
            <w:tcBorders>
              <w:top w:val="nil"/>
              <w:left w:val="nil"/>
              <w:bottom w:val="single" w:sz="4" w:space="0" w:color="auto"/>
              <w:right w:val="single" w:sz="4" w:space="0" w:color="auto"/>
            </w:tcBorders>
            <w:shd w:val="clear" w:color="auto" w:fill="C6EFCE"/>
            <w:noWrap/>
          </w:tcPr>
          <w:p w14:paraId="0F617F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 R1</w:t>
            </w:r>
          </w:p>
          <w:p w14:paraId="2A52D1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Crearea unui nou cadru juridic pentru a preveni separarea copiilor de familie</w:t>
            </w:r>
          </w:p>
        </w:tc>
        <w:tc>
          <w:tcPr>
            <w:tcW w:w="1275" w:type="dxa"/>
            <w:tcBorders>
              <w:top w:val="nil"/>
              <w:left w:val="nil"/>
              <w:bottom w:val="single" w:sz="4" w:space="0" w:color="auto"/>
              <w:right w:val="single" w:sz="4" w:space="0" w:color="auto"/>
            </w:tcBorders>
            <w:shd w:val="clear" w:color="auto" w:fill="C6EFCE"/>
            <w:noWrap/>
          </w:tcPr>
          <w:p w14:paraId="463B66C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FE1B26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unui act legislativ necesar pentru a preveni separarea copiilor de familie și sprijinirea familiilor vulnerabile</w:t>
            </w:r>
          </w:p>
        </w:tc>
      </w:tr>
      <w:tr w:rsidR="00981F92" w:rsidRPr="000A27B3" w14:paraId="7B3CC4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71CC9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380</w:t>
            </w:r>
          </w:p>
        </w:tc>
        <w:tc>
          <w:tcPr>
            <w:tcW w:w="3544" w:type="dxa"/>
            <w:tcBorders>
              <w:top w:val="nil"/>
              <w:left w:val="nil"/>
              <w:bottom w:val="single" w:sz="4" w:space="0" w:color="auto"/>
              <w:right w:val="single" w:sz="4" w:space="0" w:color="auto"/>
            </w:tcBorders>
            <w:shd w:val="clear" w:color="auto" w:fill="C6EFCE"/>
            <w:noWrap/>
          </w:tcPr>
          <w:p w14:paraId="4FC264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 R2</w:t>
            </w:r>
          </w:p>
          <w:p w14:paraId="6F8D735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sistemului de protecție a persoanelor adulte cu dizabilități </w:t>
            </w:r>
          </w:p>
        </w:tc>
        <w:tc>
          <w:tcPr>
            <w:tcW w:w="1275" w:type="dxa"/>
            <w:tcBorders>
              <w:top w:val="nil"/>
              <w:left w:val="nil"/>
              <w:bottom w:val="single" w:sz="4" w:space="0" w:color="auto"/>
              <w:right w:val="single" w:sz="4" w:space="0" w:color="auto"/>
            </w:tcBorders>
            <w:shd w:val="clear" w:color="auto" w:fill="C6EFCE"/>
            <w:noWrap/>
          </w:tcPr>
          <w:p w14:paraId="208FE83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BCC649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actului legislativ pentru punerea în aplicare și operaționalizarea Ghidului privind accelerarea procesului de dezinstituționalizare </w:t>
            </w:r>
          </w:p>
        </w:tc>
      </w:tr>
      <w:tr w:rsidR="00981F92" w:rsidRPr="000A27B3" w14:paraId="78D4C9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524BC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381</w:t>
            </w:r>
          </w:p>
        </w:tc>
        <w:tc>
          <w:tcPr>
            <w:tcW w:w="3544" w:type="dxa"/>
            <w:tcBorders>
              <w:top w:val="nil"/>
              <w:left w:val="nil"/>
              <w:bottom w:val="single" w:sz="4" w:space="0" w:color="auto"/>
              <w:right w:val="single" w:sz="4" w:space="0" w:color="auto"/>
            </w:tcBorders>
            <w:shd w:val="clear" w:color="auto" w:fill="C6EFCE"/>
            <w:noWrap/>
          </w:tcPr>
          <w:p w14:paraId="213137C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 R2</w:t>
            </w:r>
          </w:p>
          <w:p w14:paraId="7834BEA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sistemului de protecție a persoanelor adulte cu dizabilități </w:t>
            </w:r>
          </w:p>
        </w:tc>
        <w:tc>
          <w:tcPr>
            <w:tcW w:w="1275" w:type="dxa"/>
            <w:tcBorders>
              <w:top w:val="nil"/>
              <w:left w:val="nil"/>
              <w:bottom w:val="single" w:sz="4" w:space="0" w:color="auto"/>
              <w:right w:val="single" w:sz="4" w:space="0" w:color="auto"/>
            </w:tcBorders>
            <w:shd w:val="clear" w:color="auto" w:fill="C6EFCE"/>
            <w:noWrap/>
          </w:tcPr>
          <w:p w14:paraId="1A82065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9395DE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legislației de sprijinire a punerii în aplicare a strategiei naționale adoptate pentru prevenirea instituționalizării </w:t>
            </w:r>
          </w:p>
        </w:tc>
      </w:tr>
      <w:tr w:rsidR="00981F92" w:rsidRPr="000A27B3" w14:paraId="02002D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5457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424</w:t>
            </w:r>
          </w:p>
        </w:tc>
        <w:tc>
          <w:tcPr>
            <w:tcW w:w="3544" w:type="dxa"/>
            <w:tcBorders>
              <w:top w:val="nil"/>
              <w:left w:val="nil"/>
              <w:bottom w:val="single" w:sz="4" w:space="0" w:color="auto"/>
              <w:right w:val="single" w:sz="4" w:space="0" w:color="auto"/>
            </w:tcBorders>
            <w:shd w:val="clear" w:color="auto" w:fill="C6EFCE"/>
            <w:noWrap/>
          </w:tcPr>
          <w:p w14:paraId="3CA7FD1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C14.R5</w:t>
            </w:r>
          </w:p>
          <w:p w14:paraId="13A49287" w14:textId="2A0E2EA1" w:rsidR="00981F92" w:rsidRPr="000A27B3" w:rsidRDefault="00981F92">
            <w:pPr>
              <w:spacing w:after="0"/>
              <w:jc w:val="both"/>
              <w:rPr>
                <w:rFonts w:ascii="Times New Roman" w:hAnsi="Times New Roman" w:cs="Times New Roman"/>
                <w:noProof/>
              </w:rPr>
            </w:pPr>
            <w:r>
              <w:rPr>
                <w:rFonts w:ascii="Times New Roman" w:hAnsi="Times New Roman"/>
                <w:noProof/>
              </w:rPr>
              <w:t>Garantarea independenței justiției, creșterea calității și eficienței acesteia</w:t>
            </w:r>
            <w:r w:rsidR="004C4C72">
              <w:rPr>
                <w:rFonts w:ascii="Times New Roman" w:hAnsi="Times New Roman"/>
                <w:noProof/>
              </w:rPr>
              <w:t xml:space="preserve"> </w:t>
            </w:r>
          </w:p>
        </w:tc>
        <w:tc>
          <w:tcPr>
            <w:tcW w:w="1275" w:type="dxa"/>
            <w:tcBorders>
              <w:top w:val="nil"/>
              <w:left w:val="nil"/>
              <w:bottom w:val="single" w:sz="4" w:space="0" w:color="auto"/>
              <w:right w:val="single" w:sz="4" w:space="0" w:color="auto"/>
            </w:tcBorders>
            <w:shd w:val="clear" w:color="auto" w:fill="C6EFCE"/>
            <w:noWrap/>
          </w:tcPr>
          <w:p w14:paraId="2B96099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5FB3A8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Modificarea Codului penal și a Codului de procedură penală </w:t>
            </w:r>
          </w:p>
        </w:tc>
      </w:tr>
      <w:tr w:rsidR="00981F92" w:rsidRPr="000A27B3" w14:paraId="098A20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D96C6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439</w:t>
            </w:r>
          </w:p>
        </w:tc>
        <w:tc>
          <w:tcPr>
            <w:tcW w:w="3544" w:type="dxa"/>
            <w:tcBorders>
              <w:top w:val="nil"/>
              <w:left w:val="nil"/>
              <w:bottom w:val="single" w:sz="4" w:space="0" w:color="auto"/>
              <w:right w:val="single" w:sz="4" w:space="0" w:color="auto"/>
            </w:tcBorders>
            <w:shd w:val="clear" w:color="auto" w:fill="C6EFCE"/>
            <w:noWrap/>
          </w:tcPr>
          <w:p w14:paraId="3F21866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C14.R9</w:t>
            </w:r>
          </w:p>
          <w:p w14:paraId="042E61C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cadrului procedural de implementare a principiilor guvernanței corporative în cadrul întreprinderilor de stat</w:t>
            </w:r>
          </w:p>
        </w:tc>
        <w:tc>
          <w:tcPr>
            <w:tcW w:w="1275" w:type="dxa"/>
            <w:tcBorders>
              <w:top w:val="nil"/>
              <w:left w:val="nil"/>
              <w:bottom w:val="single" w:sz="4" w:space="0" w:color="auto"/>
              <w:right w:val="single" w:sz="4" w:space="0" w:color="auto"/>
            </w:tcBorders>
            <w:shd w:val="clear" w:color="auto" w:fill="C6EFCE"/>
            <w:noWrap/>
          </w:tcPr>
          <w:p w14:paraId="026AF8C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CD59A3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legislației actualizate privind companiile de stat </w:t>
            </w:r>
          </w:p>
        </w:tc>
      </w:tr>
      <w:tr w:rsidR="00981F92" w:rsidRPr="000A27B3" w14:paraId="24CE1C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031F4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440</w:t>
            </w:r>
          </w:p>
        </w:tc>
        <w:tc>
          <w:tcPr>
            <w:tcW w:w="3544" w:type="dxa"/>
            <w:tcBorders>
              <w:top w:val="nil"/>
              <w:left w:val="nil"/>
              <w:bottom w:val="single" w:sz="4" w:space="0" w:color="auto"/>
              <w:right w:val="single" w:sz="4" w:space="0" w:color="auto"/>
            </w:tcBorders>
            <w:shd w:val="clear" w:color="auto" w:fill="C6EFCE"/>
            <w:noWrap/>
          </w:tcPr>
          <w:p w14:paraId="79D4725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C14.R9</w:t>
            </w:r>
          </w:p>
          <w:p w14:paraId="663425C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cadrului procedural de implementare a principiilor guvernanței corporative în cadrul întreprinderilor de stat</w:t>
            </w:r>
          </w:p>
        </w:tc>
        <w:tc>
          <w:tcPr>
            <w:tcW w:w="1275" w:type="dxa"/>
            <w:tcBorders>
              <w:top w:val="nil"/>
              <w:left w:val="nil"/>
              <w:bottom w:val="single" w:sz="4" w:space="0" w:color="auto"/>
              <w:right w:val="single" w:sz="4" w:space="0" w:color="auto"/>
            </w:tcBorders>
            <w:shd w:val="clear" w:color="auto" w:fill="C6EFCE"/>
            <w:noWrap/>
          </w:tcPr>
          <w:p w14:paraId="79998AD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2716F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Operaționalizarea grupului operativ din cadrul Centrului Guvernului pentru coordonarea și monitorizarea politicilor de guvernanță corporativă</w:t>
            </w:r>
          </w:p>
        </w:tc>
      </w:tr>
      <w:tr w:rsidR="00981F92" w:rsidRPr="000A27B3" w14:paraId="612F11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21A913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449</w:t>
            </w:r>
          </w:p>
        </w:tc>
        <w:tc>
          <w:tcPr>
            <w:tcW w:w="3544" w:type="dxa"/>
            <w:tcBorders>
              <w:top w:val="nil"/>
              <w:left w:val="nil"/>
              <w:bottom w:val="single" w:sz="4" w:space="0" w:color="auto"/>
              <w:right w:val="single" w:sz="4" w:space="0" w:color="auto"/>
            </w:tcBorders>
            <w:shd w:val="clear" w:color="auto" w:fill="C6EFCE"/>
            <w:noWrap/>
          </w:tcPr>
          <w:p w14:paraId="204168F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C14.I4</w:t>
            </w:r>
          </w:p>
          <w:p w14:paraId="08645C8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Creșterea capacității organizațiilor societății civile de stimulare a cetățeniei active, de implicare profesionistă în planificarea și implementarea politicilor publice privind drepturile sociale vizate de planul național de redresare și reziliență și monitorizarea reformelor asociate</w:t>
            </w:r>
          </w:p>
        </w:tc>
        <w:tc>
          <w:tcPr>
            <w:tcW w:w="1275" w:type="dxa"/>
            <w:tcBorders>
              <w:top w:val="nil"/>
              <w:left w:val="nil"/>
              <w:bottom w:val="single" w:sz="4" w:space="0" w:color="auto"/>
              <w:right w:val="single" w:sz="4" w:space="0" w:color="auto"/>
            </w:tcBorders>
            <w:shd w:val="clear" w:color="auto" w:fill="C6EFCE"/>
            <w:noWrap/>
          </w:tcPr>
          <w:p w14:paraId="0D3E01C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ED80B1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legislației privind dialogul social, care să prevadă un dialog social și negocieri colective semnificative și oportune, în conformitate cu recomandările OIM</w:t>
            </w:r>
          </w:p>
        </w:tc>
      </w:tr>
      <w:tr w:rsidR="00981F92" w:rsidRPr="000A27B3" w14:paraId="3734CC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C8F81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453</w:t>
            </w:r>
          </w:p>
        </w:tc>
        <w:tc>
          <w:tcPr>
            <w:tcW w:w="3544" w:type="dxa"/>
            <w:tcBorders>
              <w:top w:val="nil"/>
              <w:left w:val="nil"/>
              <w:bottom w:val="single" w:sz="4" w:space="0" w:color="auto"/>
              <w:right w:val="single" w:sz="4" w:space="0" w:color="auto"/>
            </w:tcBorders>
            <w:shd w:val="clear" w:color="auto" w:fill="C6EFCE"/>
            <w:noWrap/>
          </w:tcPr>
          <w:p w14:paraId="69E3A36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C15.R2</w:t>
            </w:r>
          </w:p>
          <w:p w14:paraId="5CFFFCE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unui sistem de servicii de educație timpurie unitar, incluziv și de calitate</w:t>
            </w:r>
          </w:p>
        </w:tc>
        <w:tc>
          <w:tcPr>
            <w:tcW w:w="1275" w:type="dxa"/>
            <w:tcBorders>
              <w:top w:val="nil"/>
              <w:left w:val="nil"/>
              <w:bottom w:val="single" w:sz="4" w:space="0" w:color="auto"/>
              <w:right w:val="single" w:sz="4" w:space="0" w:color="auto"/>
            </w:tcBorders>
            <w:shd w:val="clear" w:color="auto" w:fill="C6EFCE"/>
            <w:noWrap/>
          </w:tcPr>
          <w:p w14:paraId="639638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4FCE05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Intrarea în vigoare a ordinului ministerial (OM) de adoptare a programului-cadru intersectorial</w:t>
            </w:r>
          </w:p>
          <w:p w14:paraId="4438197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Intrarea în vigoare a MO care reglementează înființarea, organizarea și funcționarea serviciilor complementare de educație timpurie</w:t>
            </w:r>
          </w:p>
        </w:tc>
      </w:tr>
      <w:tr w:rsidR="000A27B3" w:rsidRPr="000A27B3" w14:paraId="622A10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9F031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463</w:t>
            </w:r>
          </w:p>
        </w:tc>
        <w:tc>
          <w:tcPr>
            <w:tcW w:w="3544" w:type="dxa"/>
            <w:tcBorders>
              <w:top w:val="nil"/>
              <w:left w:val="nil"/>
              <w:bottom w:val="single" w:sz="4" w:space="0" w:color="auto"/>
              <w:right w:val="single" w:sz="4" w:space="0" w:color="auto"/>
            </w:tcBorders>
            <w:shd w:val="clear" w:color="auto" w:fill="C6EFCE"/>
            <w:noWrap/>
          </w:tcPr>
          <w:p w14:paraId="12475FE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C15.R3</w:t>
            </w:r>
          </w:p>
          <w:p w14:paraId="5737F29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Reforma sistemului de învățământ obligatoriu pentru prevenirea și reducerea părăsirii timpurii a școlii</w:t>
            </w:r>
          </w:p>
        </w:tc>
        <w:tc>
          <w:tcPr>
            <w:tcW w:w="1275" w:type="dxa"/>
            <w:tcBorders>
              <w:top w:val="nil"/>
              <w:left w:val="nil"/>
              <w:bottom w:val="single" w:sz="4" w:space="0" w:color="auto"/>
              <w:right w:val="single" w:sz="4" w:space="0" w:color="auto"/>
            </w:tcBorders>
            <w:shd w:val="clear" w:color="auto" w:fill="C6EFCE"/>
            <w:noWrap/>
          </w:tcPr>
          <w:p w14:paraId="18638A5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DBEF78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ordinului ministerial de utilizare a instrumentului MATE la nivel național</w:t>
            </w:r>
          </w:p>
        </w:tc>
      </w:tr>
      <w:tr w:rsidR="00981F92" w:rsidRPr="000A27B3" w14:paraId="2A800BF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02BA0DB9"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36AD211D" w14:textId="77777777" w:rsidR="00981F92" w:rsidRPr="009F1DC7" w:rsidRDefault="00981F92">
            <w:pPr>
              <w:spacing w:after="0"/>
              <w:jc w:val="both"/>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2ADC242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tranșelor</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5A6331F3" w14:textId="1E858228"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1 858 678 580 EUR</w:t>
            </w:r>
          </w:p>
        </w:tc>
      </w:tr>
    </w:tbl>
    <w:p w14:paraId="0D57267F" w14:textId="77777777" w:rsidR="00981F92" w:rsidRPr="000A27B3" w:rsidRDefault="00981F92">
      <w:pPr>
        <w:rPr>
          <w:noProof/>
          <w:szCs w:val="24"/>
        </w:rPr>
      </w:pPr>
      <w:r>
        <w:rPr>
          <w:noProof/>
        </w:rPr>
        <w:br w:type="page"/>
      </w:r>
    </w:p>
    <w:p w14:paraId="636C98F9" w14:textId="77777777" w:rsidR="00981F92" w:rsidRPr="000A27B3" w:rsidRDefault="00981F92">
      <w:pPr>
        <w:pStyle w:val="Heading3"/>
        <w:rPr>
          <w:noProof/>
          <w:szCs w:val="24"/>
        </w:rPr>
      </w:pPr>
      <w:r>
        <w:rPr>
          <w:noProof/>
        </w:rPr>
        <w:t xml:space="preserve">A patra tranșă (sprijin nerambursabil):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3B6AE83E" w14:textId="77777777">
        <w:trPr>
          <w:trHeight w:val="567"/>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835633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32B4DBB"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7F51CD3B"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03B498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7D803B2B"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370072EE" w14:textId="77777777">
        <w:trPr>
          <w:trHeight w:val="567"/>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0F5C71E9"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688AB3E2"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C23E6CE"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785A306B"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4D6802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745EA4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207</w:t>
            </w:r>
          </w:p>
        </w:tc>
        <w:tc>
          <w:tcPr>
            <w:tcW w:w="3544" w:type="dxa"/>
            <w:tcBorders>
              <w:top w:val="nil"/>
              <w:left w:val="nil"/>
              <w:bottom w:val="single" w:sz="4" w:space="0" w:color="auto"/>
              <w:right w:val="single" w:sz="4" w:space="0" w:color="auto"/>
            </w:tcBorders>
            <w:shd w:val="clear" w:color="auto" w:fill="C6EFCE"/>
            <w:noWrap/>
            <w:hideMark/>
          </w:tcPr>
          <w:p w14:paraId="403898A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C8.R4</w:t>
            </w:r>
          </w:p>
          <w:p w14:paraId="56442A3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Revizuirea cadrului fiscal</w:t>
            </w:r>
          </w:p>
        </w:tc>
        <w:tc>
          <w:tcPr>
            <w:tcW w:w="1275" w:type="dxa"/>
            <w:tcBorders>
              <w:top w:val="nil"/>
              <w:left w:val="nil"/>
              <w:bottom w:val="single" w:sz="4" w:space="0" w:color="auto"/>
              <w:right w:val="single" w:sz="4" w:space="0" w:color="auto"/>
            </w:tcBorders>
            <w:shd w:val="clear" w:color="auto" w:fill="C6EFCE"/>
            <w:noWrap/>
            <w:hideMark/>
          </w:tcPr>
          <w:p w14:paraId="1015202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157F68A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w:t>
            </w:r>
          </w:p>
          <w:p w14:paraId="53DE0157" w14:textId="77777777" w:rsidR="00981F92" w:rsidRPr="000A27B3" w:rsidRDefault="00981F92" w:rsidP="00981F92">
            <w:pPr>
              <w:pStyle w:val="ListParagraph"/>
              <w:numPr>
                <w:ilvl w:val="0"/>
                <w:numId w:val="215"/>
              </w:numPr>
              <w:spacing w:after="0"/>
              <w:ind w:left="31" w:hanging="76"/>
              <w:jc w:val="both"/>
              <w:rPr>
                <w:rFonts w:ascii="Times New Roman" w:hAnsi="Times New Roman" w:cs="Times New Roman"/>
                <w:noProof/>
              </w:rPr>
            </w:pPr>
            <w:r>
              <w:rPr>
                <w:rFonts w:ascii="Times New Roman" w:hAnsi="Times New Roman"/>
                <w:noProof/>
              </w:rPr>
              <w:t xml:space="preserve"> modificărilor aduse Codului fiscal (Legea nr. 227/2015) în vederea reducerii și/sau a eliminării altor stimulente fiscale cu scopul de a simplifica sistemul fiscal, de a-l face mai eficient, mai transparent și mai echitabil până în 2024</w:t>
            </w:r>
          </w:p>
          <w:p w14:paraId="06E6556E" w14:textId="77777777" w:rsidR="00981F92" w:rsidRPr="000A27B3" w:rsidRDefault="00981F92" w:rsidP="00981F92">
            <w:pPr>
              <w:pStyle w:val="ListParagraph"/>
              <w:numPr>
                <w:ilvl w:val="0"/>
                <w:numId w:val="215"/>
              </w:numPr>
              <w:spacing w:after="0"/>
              <w:ind w:left="31" w:hanging="76"/>
              <w:jc w:val="both"/>
              <w:rPr>
                <w:rFonts w:ascii="Times New Roman" w:eastAsia="Times New Roman" w:hAnsi="Times New Roman" w:cs="Times New Roman"/>
                <w:noProof/>
              </w:rPr>
            </w:pPr>
            <w:r>
              <w:rPr>
                <w:rFonts w:ascii="Times New Roman" w:hAnsi="Times New Roman"/>
                <w:noProof/>
              </w:rPr>
              <w:t xml:space="preserve"> legislației de extindere a impozitării ecologice</w:t>
            </w:r>
          </w:p>
        </w:tc>
      </w:tr>
      <w:tr w:rsidR="00981F92" w:rsidRPr="000A27B3" w14:paraId="7B22311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A4321C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214</w:t>
            </w:r>
          </w:p>
        </w:tc>
        <w:tc>
          <w:tcPr>
            <w:tcW w:w="3544" w:type="dxa"/>
            <w:tcBorders>
              <w:top w:val="nil"/>
              <w:left w:val="nil"/>
              <w:bottom w:val="single" w:sz="4" w:space="0" w:color="auto"/>
              <w:right w:val="single" w:sz="4" w:space="0" w:color="auto"/>
            </w:tcBorders>
            <w:shd w:val="clear" w:color="auto" w:fill="C6EFCE"/>
            <w:noWrap/>
            <w:hideMark/>
          </w:tcPr>
          <w:p w14:paraId="6C73469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C8.R6</w:t>
            </w:r>
          </w:p>
          <w:p w14:paraId="1D68591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sistemului public de pensii</w:t>
            </w:r>
          </w:p>
        </w:tc>
        <w:tc>
          <w:tcPr>
            <w:tcW w:w="1275" w:type="dxa"/>
            <w:tcBorders>
              <w:top w:val="nil"/>
              <w:left w:val="nil"/>
              <w:bottom w:val="single" w:sz="4" w:space="0" w:color="auto"/>
              <w:right w:val="single" w:sz="4" w:space="0" w:color="auto"/>
            </w:tcBorders>
            <w:shd w:val="clear" w:color="auto" w:fill="C6EFCE"/>
            <w:noWrap/>
            <w:hideMark/>
          </w:tcPr>
          <w:p w14:paraId="472E846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5E9AFE7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noii legi privind sistemul de pensii, care înlocuiește dispozițiile Legii nr. 127/2019 </w:t>
            </w:r>
          </w:p>
        </w:tc>
      </w:tr>
      <w:tr w:rsidR="00981F92" w:rsidRPr="000A27B3" w14:paraId="73F676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69C323B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458</w:t>
            </w:r>
          </w:p>
        </w:tc>
        <w:tc>
          <w:tcPr>
            <w:tcW w:w="3544" w:type="dxa"/>
            <w:tcBorders>
              <w:top w:val="nil"/>
              <w:left w:val="nil"/>
              <w:bottom w:val="single" w:sz="4" w:space="0" w:color="auto"/>
              <w:right w:val="single" w:sz="4" w:space="0" w:color="auto"/>
            </w:tcBorders>
            <w:shd w:val="clear" w:color="auto" w:fill="C6EFCE"/>
            <w:noWrap/>
            <w:hideMark/>
          </w:tcPr>
          <w:p w14:paraId="7E3DF8D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C15.I2</w:t>
            </w:r>
          </w:p>
          <w:p w14:paraId="2A7F8C3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Înființarea, echiparea și operaționalizarea a 412 servicii complementare pentru grupurile defavorizate</w:t>
            </w:r>
          </w:p>
        </w:tc>
        <w:tc>
          <w:tcPr>
            <w:tcW w:w="1275" w:type="dxa"/>
            <w:tcBorders>
              <w:top w:val="nil"/>
              <w:left w:val="nil"/>
              <w:bottom w:val="single" w:sz="4" w:space="0" w:color="auto"/>
              <w:right w:val="single" w:sz="4" w:space="0" w:color="auto"/>
            </w:tcBorders>
            <w:shd w:val="clear" w:color="auto" w:fill="C6EFCE"/>
            <w:noWrap/>
            <w:hideMark/>
          </w:tcPr>
          <w:p w14:paraId="7A332AF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180431C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contractelor pentru înființarea, echiparea și operaționalizarea serviciilor complementare pentru grupurile defavorizate</w:t>
            </w:r>
          </w:p>
        </w:tc>
      </w:tr>
      <w:tr w:rsidR="000A27B3" w:rsidRPr="000A27B3" w14:paraId="065125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12A63A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469</w:t>
            </w:r>
          </w:p>
        </w:tc>
        <w:tc>
          <w:tcPr>
            <w:tcW w:w="3544" w:type="dxa"/>
            <w:tcBorders>
              <w:top w:val="nil"/>
              <w:left w:val="nil"/>
              <w:bottom w:val="single" w:sz="4" w:space="0" w:color="auto"/>
              <w:right w:val="single" w:sz="4" w:space="0" w:color="auto"/>
            </w:tcBorders>
            <w:shd w:val="clear" w:color="auto" w:fill="C6EFCE"/>
            <w:noWrap/>
          </w:tcPr>
          <w:p w14:paraId="623EDEA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C15.I5</w:t>
            </w:r>
          </w:p>
          <w:p w14:paraId="20F0A1B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Cursuri de formare a utilizatorilor Sistemului Informatic Integrat al Învățământului din România (SIIIR) și ai instrumentului informatic al mecanismului de avertizare timpurie (MATE) și intervenții sistemice pentru reducerea părăsirii timpurii a școlii</w:t>
            </w:r>
          </w:p>
        </w:tc>
        <w:tc>
          <w:tcPr>
            <w:tcW w:w="1275" w:type="dxa"/>
            <w:tcBorders>
              <w:top w:val="nil"/>
              <w:left w:val="nil"/>
              <w:bottom w:val="single" w:sz="4" w:space="0" w:color="auto"/>
              <w:right w:val="single" w:sz="4" w:space="0" w:color="auto"/>
            </w:tcBorders>
            <w:shd w:val="clear" w:color="auto" w:fill="C6EFCE"/>
            <w:noWrap/>
          </w:tcPr>
          <w:p w14:paraId="4A786BF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8D2494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Utilizatorii Sistemului Informatic Integrat al Învățământului din România (SIIIR) și ai instrumentului informatic MATE care au fost formați</w:t>
            </w:r>
          </w:p>
        </w:tc>
      </w:tr>
      <w:tr w:rsidR="00981F92" w:rsidRPr="000A27B3" w14:paraId="72CAC7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97E8C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24</w:t>
            </w:r>
          </w:p>
        </w:tc>
        <w:tc>
          <w:tcPr>
            <w:tcW w:w="3544" w:type="dxa"/>
            <w:tcBorders>
              <w:top w:val="nil"/>
              <w:left w:val="nil"/>
              <w:bottom w:val="single" w:sz="4" w:space="0" w:color="auto"/>
              <w:right w:val="single" w:sz="4" w:space="0" w:color="auto"/>
            </w:tcBorders>
            <w:shd w:val="clear" w:color="auto" w:fill="C6EFCE"/>
            <w:noWrap/>
          </w:tcPr>
          <w:p w14:paraId="5CC91B3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C2.R1 </w:t>
            </w:r>
          </w:p>
          <w:p w14:paraId="2A25E46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sistemului de management și a celui privind guvernanța în domeniul forestier prin dezvoltarea unei noi Strategii forestiere naționale și a legislației subsecvente </w:t>
            </w:r>
          </w:p>
        </w:tc>
        <w:tc>
          <w:tcPr>
            <w:tcW w:w="1275" w:type="dxa"/>
            <w:tcBorders>
              <w:top w:val="nil"/>
              <w:left w:val="nil"/>
              <w:bottom w:val="single" w:sz="4" w:space="0" w:color="auto"/>
              <w:right w:val="single" w:sz="4" w:space="0" w:color="auto"/>
            </w:tcBorders>
            <w:shd w:val="clear" w:color="auto" w:fill="C6EFCE"/>
            <w:noWrap/>
          </w:tcPr>
          <w:p w14:paraId="0AB8DC1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0E0954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actelor normative de modificare și completare a legislației actuale în domeniul forestier.</w:t>
            </w:r>
          </w:p>
        </w:tc>
      </w:tr>
      <w:tr w:rsidR="00981F92" w:rsidRPr="000A27B3" w14:paraId="195CE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849525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122</w:t>
            </w:r>
          </w:p>
        </w:tc>
        <w:tc>
          <w:tcPr>
            <w:tcW w:w="3544" w:type="dxa"/>
            <w:tcBorders>
              <w:top w:val="nil"/>
              <w:left w:val="nil"/>
              <w:bottom w:val="single" w:sz="4" w:space="0" w:color="auto"/>
              <w:right w:val="single" w:sz="4" w:space="0" w:color="auto"/>
            </w:tcBorders>
            <w:shd w:val="clear" w:color="auto" w:fill="C6EFCE"/>
            <w:noWrap/>
          </w:tcPr>
          <w:p w14:paraId="5FE8807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C6.R2 </w:t>
            </w:r>
          </w:p>
          <w:p w14:paraId="75960DA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guvernanței corporative a întreprinderilor de stat din sectorul energetic</w:t>
            </w:r>
          </w:p>
        </w:tc>
        <w:tc>
          <w:tcPr>
            <w:tcW w:w="1275" w:type="dxa"/>
            <w:tcBorders>
              <w:top w:val="nil"/>
              <w:left w:val="nil"/>
              <w:bottom w:val="single" w:sz="4" w:space="0" w:color="auto"/>
              <w:right w:val="single" w:sz="4" w:space="0" w:color="auto"/>
            </w:tcBorders>
            <w:shd w:val="clear" w:color="auto" w:fill="C6EFCE"/>
            <w:noWrap/>
          </w:tcPr>
          <w:p w14:paraId="1897B6F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F53B53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listării unui pachet de cel puțin 15 % din acțiunile Hidroelectrica</w:t>
            </w:r>
          </w:p>
        </w:tc>
      </w:tr>
      <w:tr w:rsidR="00981F92" w:rsidRPr="000A27B3" w14:paraId="741CB5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B39D99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59</w:t>
            </w:r>
          </w:p>
        </w:tc>
        <w:tc>
          <w:tcPr>
            <w:tcW w:w="3544" w:type="dxa"/>
            <w:tcBorders>
              <w:top w:val="nil"/>
              <w:left w:val="nil"/>
              <w:bottom w:val="single" w:sz="4" w:space="0" w:color="auto"/>
              <w:right w:val="single" w:sz="4" w:space="0" w:color="auto"/>
            </w:tcBorders>
            <w:shd w:val="clear" w:color="auto" w:fill="C6EFCE"/>
            <w:noWrap/>
          </w:tcPr>
          <w:p w14:paraId="155C8BE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p>
          <w:p w14:paraId="1A70234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Transport sustenabil, decarbonizare și siguranță rutieră /</w:t>
            </w:r>
            <w:r>
              <w:rPr>
                <w:rFonts w:ascii="Times New Roman" w:hAnsi="Times New Roman"/>
                <w:noProof/>
              </w:rPr>
              <w:br/>
              <w:t xml:space="preserve">Decarbonizarea rutieră în conformitate cu principiul „poluatorul plătește” </w:t>
            </w:r>
          </w:p>
        </w:tc>
        <w:tc>
          <w:tcPr>
            <w:tcW w:w="1275" w:type="dxa"/>
            <w:tcBorders>
              <w:top w:val="nil"/>
              <w:left w:val="nil"/>
              <w:bottom w:val="single" w:sz="4" w:space="0" w:color="auto"/>
              <w:right w:val="single" w:sz="4" w:space="0" w:color="auto"/>
            </w:tcBorders>
            <w:shd w:val="clear" w:color="auto" w:fill="C6EFCE"/>
            <w:noWrap/>
          </w:tcPr>
          <w:p w14:paraId="5B05B55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50A384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pentru punerea în aplicare a unui nou sistem de taxare bazat pe distanța parcursă pentru vehiculele grele de marfă (camioane) și a unor taxe mai mari de proprietate pentru cele mai poluante vehicule de pasageri (autoturisme/autobuze/autocare), pe baza principiului „poluatorul plătește” și a principiului impozitării ecologice</w:t>
            </w:r>
          </w:p>
        </w:tc>
      </w:tr>
      <w:tr w:rsidR="00981F92" w:rsidRPr="000A27B3" w14:paraId="29C44B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788A4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71</w:t>
            </w:r>
          </w:p>
        </w:tc>
        <w:tc>
          <w:tcPr>
            <w:tcW w:w="3544" w:type="dxa"/>
            <w:tcBorders>
              <w:top w:val="nil"/>
              <w:left w:val="nil"/>
              <w:bottom w:val="single" w:sz="4" w:space="0" w:color="auto"/>
              <w:right w:val="single" w:sz="4" w:space="0" w:color="auto"/>
            </w:tcBorders>
            <w:shd w:val="clear" w:color="auto" w:fill="C6EFCE"/>
            <w:noWrap/>
          </w:tcPr>
          <w:p w14:paraId="075D1D1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p>
          <w:p w14:paraId="1A327CD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Transport sustenabil, decarbonizare și siguranță rutieră / Siguranță rutieră</w:t>
            </w:r>
          </w:p>
        </w:tc>
        <w:tc>
          <w:tcPr>
            <w:tcW w:w="1275" w:type="dxa"/>
            <w:tcBorders>
              <w:top w:val="nil"/>
              <w:left w:val="nil"/>
              <w:bottom w:val="single" w:sz="4" w:space="0" w:color="auto"/>
              <w:right w:val="single" w:sz="4" w:space="0" w:color="auto"/>
            </w:tcBorders>
            <w:shd w:val="clear" w:color="auto" w:fill="C6EFCE"/>
            <w:noWrap/>
          </w:tcPr>
          <w:p w14:paraId="1DEAEF8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8F4288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Strategiei privind transportul naval</w:t>
            </w:r>
          </w:p>
        </w:tc>
      </w:tr>
      <w:tr w:rsidR="00981F92" w:rsidRPr="000A27B3" w14:paraId="73E5B55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846EF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76</w:t>
            </w:r>
          </w:p>
        </w:tc>
        <w:tc>
          <w:tcPr>
            <w:tcW w:w="3544" w:type="dxa"/>
            <w:tcBorders>
              <w:top w:val="nil"/>
              <w:left w:val="nil"/>
              <w:bottom w:val="single" w:sz="4" w:space="0" w:color="auto"/>
              <w:right w:val="single" w:sz="4" w:space="0" w:color="auto"/>
            </w:tcBorders>
            <w:shd w:val="clear" w:color="auto" w:fill="C6EFCE"/>
            <w:noWrap/>
          </w:tcPr>
          <w:p w14:paraId="75A1B2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C4.I2</w:t>
            </w:r>
          </w:p>
          <w:p w14:paraId="573693A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Material rulant feroviar</w:t>
            </w:r>
          </w:p>
        </w:tc>
        <w:tc>
          <w:tcPr>
            <w:tcW w:w="1275" w:type="dxa"/>
            <w:tcBorders>
              <w:top w:val="nil"/>
              <w:left w:val="nil"/>
              <w:bottom w:val="single" w:sz="4" w:space="0" w:color="auto"/>
              <w:right w:val="single" w:sz="4" w:space="0" w:color="auto"/>
            </w:tcBorders>
            <w:shd w:val="clear" w:color="auto" w:fill="C6EFCE"/>
            <w:noWrap/>
          </w:tcPr>
          <w:p w14:paraId="63CB25A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36FD25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contractelor în urma unor licitații deschise și concurențiale</w:t>
            </w:r>
          </w:p>
        </w:tc>
      </w:tr>
      <w:tr w:rsidR="00981F92" w:rsidRPr="000A27B3" w14:paraId="4B64B0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E6B957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116</w:t>
            </w:r>
          </w:p>
        </w:tc>
        <w:tc>
          <w:tcPr>
            <w:tcW w:w="3544" w:type="dxa"/>
            <w:tcBorders>
              <w:top w:val="nil"/>
              <w:left w:val="nil"/>
              <w:bottom w:val="single" w:sz="4" w:space="0" w:color="auto"/>
              <w:right w:val="single" w:sz="4" w:space="0" w:color="auto"/>
            </w:tcBorders>
            <w:shd w:val="clear" w:color="auto" w:fill="C6EFCE"/>
            <w:noWrap/>
          </w:tcPr>
          <w:p w14:paraId="1052BB0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C6.R1</w:t>
            </w:r>
          </w:p>
          <w:p w14:paraId="50DE7EA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1275" w:type="dxa"/>
            <w:tcBorders>
              <w:top w:val="nil"/>
              <w:left w:val="nil"/>
              <w:bottom w:val="single" w:sz="4" w:space="0" w:color="auto"/>
              <w:right w:val="single" w:sz="4" w:space="0" w:color="auto"/>
            </w:tcBorders>
            <w:shd w:val="clear" w:color="auto" w:fill="C6EFCE"/>
            <w:noWrap/>
          </w:tcPr>
          <w:p w14:paraId="02AD5E2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000D7D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noii legi privind energia</w:t>
            </w:r>
          </w:p>
        </w:tc>
      </w:tr>
      <w:tr w:rsidR="00981F92" w:rsidRPr="000A27B3" w14:paraId="154DB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0D67F4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158</w:t>
            </w:r>
          </w:p>
        </w:tc>
        <w:tc>
          <w:tcPr>
            <w:tcW w:w="3544" w:type="dxa"/>
            <w:tcBorders>
              <w:top w:val="nil"/>
              <w:left w:val="nil"/>
              <w:bottom w:val="single" w:sz="4" w:space="0" w:color="auto"/>
              <w:right w:val="single" w:sz="4" w:space="0" w:color="auto"/>
            </w:tcBorders>
            <w:shd w:val="clear" w:color="auto" w:fill="C6EFCE"/>
            <w:noWrap/>
          </w:tcPr>
          <w:p w14:paraId="6FDD56A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C7.I3</w:t>
            </w:r>
          </w:p>
          <w:p w14:paraId="1953182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Crearea sistemului de eHealth și telemedicină</w:t>
            </w:r>
          </w:p>
        </w:tc>
        <w:tc>
          <w:tcPr>
            <w:tcW w:w="1275" w:type="dxa"/>
            <w:tcBorders>
              <w:top w:val="nil"/>
              <w:left w:val="nil"/>
              <w:bottom w:val="single" w:sz="4" w:space="0" w:color="auto"/>
              <w:right w:val="single" w:sz="4" w:space="0" w:color="auto"/>
            </w:tcBorders>
            <w:shd w:val="clear" w:color="auto" w:fill="C6EFCE"/>
            <w:noWrap/>
          </w:tcPr>
          <w:p w14:paraId="23D3041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14F968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Instituții de sănătate publică digitalizate </w:t>
            </w:r>
          </w:p>
        </w:tc>
      </w:tr>
      <w:tr w:rsidR="00981F92" w:rsidRPr="000A27B3" w14:paraId="0A04B2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A4FE9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163</w:t>
            </w:r>
          </w:p>
        </w:tc>
        <w:tc>
          <w:tcPr>
            <w:tcW w:w="3544" w:type="dxa"/>
            <w:tcBorders>
              <w:top w:val="nil"/>
              <w:left w:val="nil"/>
              <w:bottom w:val="single" w:sz="4" w:space="0" w:color="auto"/>
              <w:right w:val="single" w:sz="4" w:space="0" w:color="auto"/>
            </w:tcBorders>
            <w:shd w:val="clear" w:color="auto" w:fill="C6EFCE"/>
            <w:noWrap/>
          </w:tcPr>
          <w:p w14:paraId="34C836D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C7.I4</w:t>
            </w:r>
          </w:p>
          <w:p w14:paraId="7FED5263" w14:textId="1D61BECC"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Digitalizarea sistemului judiciar </w:t>
            </w:r>
          </w:p>
        </w:tc>
        <w:tc>
          <w:tcPr>
            <w:tcW w:w="1275" w:type="dxa"/>
            <w:tcBorders>
              <w:top w:val="nil"/>
              <w:left w:val="nil"/>
              <w:bottom w:val="single" w:sz="4" w:space="0" w:color="auto"/>
              <w:right w:val="single" w:sz="4" w:space="0" w:color="auto"/>
            </w:tcBorders>
            <w:shd w:val="clear" w:color="auto" w:fill="C6EFCE"/>
            <w:noWrap/>
          </w:tcPr>
          <w:p w14:paraId="4E7E903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86F1EF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Virtualizarea și centralizarea aplicațiilor comerciale este operațională</w:t>
            </w:r>
          </w:p>
        </w:tc>
      </w:tr>
      <w:tr w:rsidR="00981F92" w:rsidRPr="000A27B3" w14:paraId="5798EE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1470D0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172</w:t>
            </w:r>
          </w:p>
        </w:tc>
        <w:tc>
          <w:tcPr>
            <w:tcW w:w="3544" w:type="dxa"/>
            <w:tcBorders>
              <w:top w:val="nil"/>
              <w:left w:val="nil"/>
              <w:bottom w:val="single" w:sz="4" w:space="0" w:color="auto"/>
              <w:right w:val="single" w:sz="4" w:space="0" w:color="auto"/>
            </w:tcBorders>
            <w:shd w:val="clear" w:color="auto" w:fill="C6EFCE"/>
            <w:noWrap/>
          </w:tcPr>
          <w:p w14:paraId="4DCBCD9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 I7</w:t>
            </w:r>
          </w:p>
          <w:p w14:paraId="1E9BD47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Implementarea formularelor electronice eForms în domeniul achizițiilor publice </w:t>
            </w:r>
          </w:p>
        </w:tc>
        <w:tc>
          <w:tcPr>
            <w:tcW w:w="1275" w:type="dxa"/>
            <w:tcBorders>
              <w:top w:val="nil"/>
              <w:left w:val="nil"/>
              <w:bottom w:val="single" w:sz="4" w:space="0" w:color="auto"/>
              <w:right w:val="single" w:sz="4" w:space="0" w:color="auto"/>
            </w:tcBorders>
            <w:shd w:val="clear" w:color="auto" w:fill="C6EFCE"/>
            <w:noWrap/>
          </w:tcPr>
          <w:p w14:paraId="5B33415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85F359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Implementarea formularelor naționale electronice în procedurile de achiziții publice în conformitate cu legislația UE </w:t>
            </w:r>
          </w:p>
        </w:tc>
      </w:tr>
      <w:tr w:rsidR="00981F92" w:rsidRPr="000A27B3" w14:paraId="386334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FDBC0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201</w:t>
            </w:r>
          </w:p>
        </w:tc>
        <w:tc>
          <w:tcPr>
            <w:tcW w:w="3544" w:type="dxa"/>
            <w:tcBorders>
              <w:top w:val="nil"/>
              <w:left w:val="nil"/>
              <w:bottom w:val="single" w:sz="4" w:space="0" w:color="auto"/>
              <w:right w:val="single" w:sz="4" w:space="0" w:color="auto"/>
            </w:tcBorders>
            <w:shd w:val="clear" w:color="auto" w:fill="C6EFCE"/>
            <w:noWrap/>
          </w:tcPr>
          <w:p w14:paraId="4122581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C8.R3</w:t>
            </w:r>
          </w:p>
          <w:p w14:paraId="5D9B440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mecanismului de programare bugetară </w:t>
            </w:r>
          </w:p>
        </w:tc>
        <w:tc>
          <w:tcPr>
            <w:tcW w:w="1275" w:type="dxa"/>
            <w:tcBorders>
              <w:top w:val="nil"/>
              <w:left w:val="nil"/>
              <w:bottom w:val="single" w:sz="4" w:space="0" w:color="auto"/>
              <w:right w:val="single" w:sz="4" w:space="0" w:color="auto"/>
            </w:tcBorders>
            <w:shd w:val="clear" w:color="auto" w:fill="C6EFCE"/>
            <w:noWrap/>
          </w:tcPr>
          <w:p w14:paraId="288C8A5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2A328D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Finalizarea analizei cheltuielilor în sectoarele sănătății și educației </w:t>
            </w:r>
          </w:p>
        </w:tc>
      </w:tr>
      <w:tr w:rsidR="00981F92" w:rsidRPr="000A27B3" w14:paraId="65CE30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0EE3F4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202</w:t>
            </w:r>
          </w:p>
        </w:tc>
        <w:tc>
          <w:tcPr>
            <w:tcW w:w="3544" w:type="dxa"/>
            <w:tcBorders>
              <w:top w:val="nil"/>
              <w:left w:val="nil"/>
              <w:bottom w:val="single" w:sz="4" w:space="0" w:color="auto"/>
              <w:right w:val="single" w:sz="4" w:space="0" w:color="auto"/>
            </w:tcBorders>
            <w:shd w:val="clear" w:color="auto" w:fill="C6EFCE"/>
            <w:noWrap/>
          </w:tcPr>
          <w:p w14:paraId="5EFE11E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C8.R3</w:t>
            </w:r>
          </w:p>
          <w:p w14:paraId="5400E07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mecanismului de programare bugetară </w:t>
            </w:r>
          </w:p>
        </w:tc>
        <w:tc>
          <w:tcPr>
            <w:tcW w:w="1275" w:type="dxa"/>
            <w:tcBorders>
              <w:top w:val="nil"/>
              <w:left w:val="nil"/>
              <w:bottom w:val="single" w:sz="4" w:space="0" w:color="auto"/>
              <w:right w:val="single" w:sz="4" w:space="0" w:color="auto"/>
            </w:tcBorders>
            <w:shd w:val="clear" w:color="auto" w:fill="C6EFCE"/>
            <w:noWrap/>
          </w:tcPr>
          <w:p w14:paraId="40AF4AF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FDC69A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Adoptarea unei strategii multianuale și a unui calendar pentru o analiză sistematică a cheltuielilor în toate sectoarele </w:t>
            </w:r>
          </w:p>
        </w:tc>
      </w:tr>
      <w:tr w:rsidR="00981F92" w:rsidRPr="000A27B3" w14:paraId="071449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219B45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219</w:t>
            </w:r>
          </w:p>
        </w:tc>
        <w:tc>
          <w:tcPr>
            <w:tcW w:w="3544" w:type="dxa"/>
            <w:tcBorders>
              <w:top w:val="nil"/>
              <w:left w:val="nil"/>
              <w:bottom w:val="single" w:sz="4" w:space="0" w:color="auto"/>
              <w:right w:val="single" w:sz="4" w:space="0" w:color="auto"/>
            </w:tcBorders>
            <w:shd w:val="clear" w:color="auto" w:fill="C6EFCE"/>
            <w:noWrap/>
          </w:tcPr>
          <w:p w14:paraId="1F2735B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3E452A8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7E7CCCC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4C93C2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Formarea personalului cu privire la sistemul de management al riscurilor </w:t>
            </w:r>
          </w:p>
        </w:tc>
      </w:tr>
      <w:tr w:rsidR="00981F92" w:rsidRPr="000A27B3" w14:paraId="65097B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063F83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227</w:t>
            </w:r>
          </w:p>
        </w:tc>
        <w:tc>
          <w:tcPr>
            <w:tcW w:w="3544" w:type="dxa"/>
            <w:tcBorders>
              <w:top w:val="nil"/>
              <w:left w:val="nil"/>
              <w:bottom w:val="single" w:sz="4" w:space="0" w:color="auto"/>
              <w:right w:val="single" w:sz="4" w:space="0" w:color="auto"/>
            </w:tcBorders>
            <w:shd w:val="clear" w:color="auto" w:fill="C6EFCE"/>
            <w:noWrap/>
          </w:tcPr>
          <w:p w14:paraId="0635180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C8.I3</w:t>
            </w:r>
          </w:p>
          <w:p w14:paraId="3DE7FFD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Asigurarea capacității de răspuns la provocările informaționale actuale și viitoare, inclusiv în contextul pandemiei, prin transformarea digitală a Ministerului de Finanțe / Agenției Naționale de Administrare Fiscală</w:t>
            </w:r>
          </w:p>
        </w:tc>
        <w:tc>
          <w:tcPr>
            <w:tcW w:w="1275" w:type="dxa"/>
            <w:tcBorders>
              <w:top w:val="nil"/>
              <w:left w:val="nil"/>
              <w:bottom w:val="single" w:sz="4" w:space="0" w:color="auto"/>
              <w:right w:val="single" w:sz="4" w:space="0" w:color="auto"/>
            </w:tcBorders>
            <w:shd w:val="clear" w:color="auto" w:fill="C6EFCE"/>
            <w:noWrap/>
          </w:tcPr>
          <w:p w14:paraId="084F9F0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194659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Modernizarea infrastructurii hardware și software și a infrastructurii de sprijin pentru furnizarea serviciilor electronice către contribuabili</w:t>
            </w:r>
          </w:p>
        </w:tc>
      </w:tr>
      <w:tr w:rsidR="00981F92" w:rsidRPr="000A27B3" w14:paraId="5C6343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7CC8DD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228</w:t>
            </w:r>
          </w:p>
        </w:tc>
        <w:tc>
          <w:tcPr>
            <w:tcW w:w="3544" w:type="dxa"/>
            <w:tcBorders>
              <w:top w:val="nil"/>
              <w:left w:val="nil"/>
              <w:bottom w:val="single" w:sz="4" w:space="0" w:color="auto"/>
              <w:right w:val="single" w:sz="4" w:space="0" w:color="auto"/>
            </w:tcBorders>
            <w:shd w:val="clear" w:color="auto" w:fill="C6EFCE"/>
            <w:noWrap/>
          </w:tcPr>
          <w:p w14:paraId="3D6A72E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C8.I3</w:t>
            </w:r>
          </w:p>
          <w:p w14:paraId="37C612A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Asigurarea capacității de răspuns la provocările informaționale actuale și viitoare, inclusiv în contextul pandemiei, prin transformarea digitală a Ministerului de Finanțe / Agenției Naționale de Administrare Fiscală</w:t>
            </w:r>
          </w:p>
        </w:tc>
        <w:tc>
          <w:tcPr>
            <w:tcW w:w="1275" w:type="dxa"/>
            <w:tcBorders>
              <w:top w:val="nil"/>
              <w:left w:val="nil"/>
              <w:bottom w:val="single" w:sz="4" w:space="0" w:color="auto"/>
              <w:right w:val="single" w:sz="4" w:space="0" w:color="auto"/>
            </w:tcBorders>
            <w:shd w:val="clear" w:color="auto" w:fill="C6EFCE"/>
            <w:noWrap/>
          </w:tcPr>
          <w:p w14:paraId="44C6869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F26BE6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Sporirea securității cibernetice a sistemului informatic al Ministerului de Finanțe și al ANAF</w:t>
            </w:r>
          </w:p>
        </w:tc>
      </w:tr>
      <w:tr w:rsidR="00981F92" w:rsidRPr="000A27B3" w14:paraId="0DF80E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7325C2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229</w:t>
            </w:r>
          </w:p>
        </w:tc>
        <w:tc>
          <w:tcPr>
            <w:tcW w:w="3544" w:type="dxa"/>
            <w:tcBorders>
              <w:top w:val="nil"/>
              <w:left w:val="nil"/>
              <w:bottom w:val="single" w:sz="4" w:space="0" w:color="auto"/>
              <w:right w:val="single" w:sz="4" w:space="0" w:color="auto"/>
            </w:tcBorders>
            <w:shd w:val="clear" w:color="auto" w:fill="C6EFCE"/>
            <w:noWrap/>
          </w:tcPr>
          <w:p w14:paraId="12070C3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C8.I3</w:t>
            </w:r>
          </w:p>
          <w:p w14:paraId="336C094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Asigurarea capacității de răspuns la provocările informaționale actuale și viitoare, inclusiv în contextul pandemiei, prin transformarea digitală a Ministerului de Finanțe / Agenției Naționale de Administrare Fiscală</w:t>
            </w:r>
          </w:p>
        </w:tc>
        <w:tc>
          <w:tcPr>
            <w:tcW w:w="1275" w:type="dxa"/>
            <w:tcBorders>
              <w:top w:val="nil"/>
              <w:left w:val="nil"/>
              <w:bottom w:val="single" w:sz="4" w:space="0" w:color="auto"/>
              <w:right w:val="single" w:sz="4" w:space="0" w:color="auto"/>
            </w:tcBorders>
            <w:shd w:val="clear" w:color="auto" w:fill="C6EFCE"/>
            <w:noWrap/>
          </w:tcPr>
          <w:p w14:paraId="52AC88D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00B563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80 % din infrastructura IT hardware și software nu are o vechime mai mare de 4 ani </w:t>
            </w:r>
          </w:p>
        </w:tc>
      </w:tr>
      <w:tr w:rsidR="00981F92" w:rsidRPr="000A27B3" w14:paraId="3B4F0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04C0C6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352</w:t>
            </w:r>
          </w:p>
        </w:tc>
        <w:tc>
          <w:tcPr>
            <w:tcW w:w="3544" w:type="dxa"/>
            <w:tcBorders>
              <w:top w:val="nil"/>
              <w:left w:val="nil"/>
              <w:bottom w:val="single" w:sz="4" w:space="0" w:color="auto"/>
              <w:right w:val="single" w:sz="4" w:space="0" w:color="auto"/>
            </w:tcBorders>
            <w:shd w:val="clear" w:color="auto" w:fill="C6EFCE"/>
            <w:noWrap/>
          </w:tcPr>
          <w:p w14:paraId="0085C17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C12.R1</w:t>
            </w:r>
          </w:p>
          <w:p w14:paraId="265B9C1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gestionarea fondurilor publice din sănătate </w:t>
            </w:r>
          </w:p>
        </w:tc>
        <w:tc>
          <w:tcPr>
            <w:tcW w:w="1275" w:type="dxa"/>
            <w:tcBorders>
              <w:top w:val="nil"/>
              <w:left w:val="nil"/>
              <w:bottom w:val="single" w:sz="4" w:space="0" w:color="auto"/>
              <w:right w:val="single" w:sz="4" w:space="0" w:color="auto"/>
            </w:tcBorders>
            <w:shd w:val="clear" w:color="auto" w:fill="C6EFCE"/>
            <w:noWrap/>
          </w:tcPr>
          <w:p w14:paraId="2381015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71DBFA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hotărârii de guvern privind un nou model de contract-cadru care să reglementeze condițiile de acordare a asistenței medicale, medicamentele și dispozitivele medicale, dispozitivele și tehnologiile de asistare în cadrul sistemului de asigurări de sănătate </w:t>
            </w:r>
          </w:p>
        </w:tc>
      </w:tr>
      <w:tr w:rsidR="00981F92" w:rsidRPr="000A27B3" w14:paraId="6F329C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78AAB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367</w:t>
            </w:r>
          </w:p>
        </w:tc>
        <w:tc>
          <w:tcPr>
            <w:tcW w:w="3544" w:type="dxa"/>
            <w:tcBorders>
              <w:top w:val="nil"/>
              <w:left w:val="nil"/>
              <w:bottom w:val="single" w:sz="4" w:space="0" w:color="auto"/>
              <w:right w:val="single" w:sz="4" w:space="0" w:color="auto"/>
            </w:tcBorders>
            <w:shd w:val="clear" w:color="auto" w:fill="C6EFCE"/>
            <w:noWrap/>
          </w:tcPr>
          <w:p w14:paraId="4A3A862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C12.I1</w:t>
            </w:r>
          </w:p>
          <w:p w14:paraId="42384A5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Dezvoltarea infrastructurii medicale prespitalicești</w:t>
            </w:r>
          </w:p>
        </w:tc>
        <w:tc>
          <w:tcPr>
            <w:tcW w:w="1275" w:type="dxa"/>
            <w:tcBorders>
              <w:top w:val="nil"/>
              <w:left w:val="nil"/>
              <w:bottom w:val="single" w:sz="4" w:space="0" w:color="auto"/>
              <w:right w:val="single" w:sz="4" w:space="0" w:color="auto"/>
            </w:tcBorders>
            <w:shd w:val="clear" w:color="auto" w:fill="C6EFCE"/>
            <w:noWrap/>
          </w:tcPr>
          <w:p w14:paraId="04881DA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4E779A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Cabinete ale medicilor de familie sau asocieri de cabinete de asistență medicală primară dotate sau renovate, acordând prioritate cabinetelor situate în regiuni și localități marginalizate</w:t>
            </w:r>
          </w:p>
        </w:tc>
      </w:tr>
      <w:tr w:rsidR="00981F92" w:rsidRPr="000A27B3" w14:paraId="00C57C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9EB0F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368</w:t>
            </w:r>
          </w:p>
        </w:tc>
        <w:tc>
          <w:tcPr>
            <w:tcW w:w="3544" w:type="dxa"/>
            <w:tcBorders>
              <w:top w:val="nil"/>
              <w:left w:val="nil"/>
              <w:bottom w:val="single" w:sz="4" w:space="0" w:color="auto"/>
              <w:right w:val="single" w:sz="4" w:space="0" w:color="auto"/>
            </w:tcBorders>
            <w:shd w:val="clear" w:color="auto" w:fill="C6EFCE"/>
            <w:noWrap/>
          </w:tcPr>
          <w:p w14:paraId="79F87B6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C12.I1</w:t>
            </w:r>
          </w:p>
          <w:p w14:paraId="4CA2FFA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Dezvoltarea infrastructurii medicale prespitalicești</w:t>
            </w:r>
          </w:p>
        </w:tc>
        <w:tc>
          <w:tcPr>
            <w:tcW w:w="1275" w:type="dxa"/>
            <w:tcBorders>
              <w:top w:val="nil"/>
              <w:left w:val="nil"/>
              <w:bottom w:val="single" w:sz="4" w:space="0" w:color="auto"/>
              <w:right w:val="single" w:sz="4" w:space="0" w:color="auto"/>
            </w:tcBorders>
            <w:shd w:val="clear" w:color="auto" w:fill="C6EFCE"/>
            <w:noWrap/>
          </w:tcPr>
          <w:p w14:paraId="243760F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B90E59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Unitățile medicale mobile sunt dotate cu aparatură pentru screeningul de cancer mamar și cancer de col uterin </w:t>
            </w:r>
          </w:p>
        </w:tc>
      </w:tr>
      <w:tr w:rsidR="00981F92" w:rsidRPr="000A27B3" w14:paraId="404776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4F749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393</w:t>
            </w:r>
          </w:p>
        </w:tc>
        <w:tc>
          <w:tcPr>
            <w:tcW w:w="3544" w:type="dxa"/>
            <w:tcBorders>
              <w:top w:val="nil"/>
              <w:left w:val="nil"/>
              <w:bottom w:val="single" w:sz="4" w:space="0" w:color="auto"/>
              <w:right w:val="single" w:sz="4" w:space="0" w:color="auto"/>
            </w:tcBorders>
            <w:shd w:val="clear" w:color="auto" w:fill="C6EFCE"/>
            <w:noWrap/>
          </w:tcPr>
          <w:p w14:paraId="0A38B07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 I1</w:t>
            </w:r>
          </w:p>
          <w:p w14:paraId="3BD63130"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Crearea unei rețele de centre de zi pentru copiii expuși riscului de a fi separați de familie</w:t>
            </w:r>
          </w:p>
          <w:p w14:paraId="2329D4DF" w14:textId="77777777" w:rsidR="00981F92" w:rsidRPr="009F1DC7" w:rsidRDefault="00981F92">
            <w:pPr>
              <w:spacing w:after="0"/>
              <w:jc w:val="both"/>
              <w:rPr>
                <w:rFonts w:ascii="Times New Roman" w:eastAsia="Times New Roman" w:hAnsi="Times New Roman" w:cs="Times New Roman"/>
                <w:noProof/>
                <w:lang w:val="fr-FR" w:eastAsia="en-GB"/>
              </w:rPr>
            </w:pPr>
          </w:p>
        </w:tc>
        <w:tc>
          <w:tcPr>
            <w:tcW w:w="1275" w:type="dxa"/>
            <w:tcBorders>
              <w:top w:val="nil"/>
              <w:left w:val="nil"/>
              <w:bottom w:val="single" w:sz="4" w:space="0" w:color="auto"/>
              <w:right w:val="single" w:sz="4" w:space="0" w:color="auto"/>
            </w:tcBorders>
            <w:shd w:val="clear" w:color="auto" w:fill="C6EFCE"/>
            <w:noWrap/>
          </w:tcPr>
          <w:p w14:paraId="16D8235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CCF85A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Cartografierea nevoilor, a serviciilor și infrastructurile disponibile pentru copiii expuși riscului de separare de familie, în special în comunitățile vulnerabile</w:t>
            </w:r>
          </w:p>
        </w:tc>
      </w:tr>
      <w:tr w:rsidR="00981F92" w:rsidRPr="000A27B3" w14:paraId="5584CC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0A6024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402</w:t>
            </w:r>
          </w:p>
        </w:tc>
        <w:tc>
          <w:tcPr>
            <w:tcW w:w="3544" w:type="dxa"/>
            <w:tcBorders>
              <w:top w:val="nil"/>
              <w:left w:val="nil"/>
              <w:bottom w:val="single" w:sz="4" w:space="0" w:color="auto"/>
              <w:right w:val="single" w:sz="4" w:space="0" w:color="auto"/>
            </w:tcBorders>
            <w:shd w:val="clear" w:color="auto" w:fill="C6EFCE"/>
            <w:noWrap/>
          </w:tcPr>
          <w:p w14:paraId="4BB202C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07228EB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75" w:type="dxa"/>
            <w:tcBorders>
              <w:top w:val="nil"/>
              <w:left w:val="nil"/>
              <w:bottom w:val="single" w:sz="4" w:space="0" w:color="auto"/>
              <w:right w:val="single" w:sz="4" w:space="0" w:color="auto"/>
            </w:tcBorders>
            <w:shd w:val="clear" w:color="auto" w:fill="C6EFCE"/>
            <w:noWrap/>
          </w:tcPr>
          <w:p w14:paraId="53C9382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97C02D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Un nou sistem de gestionare strategică și de planificare strategică este operațional în toate ministerele </w:t>
            </w:r>
          </w:p>
        </w:tc>
      </w:tr>
      <w:tr w:rsidR="00981F92" w:rsidRPr="000A27B3" w14:paraId="7552C4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B22CF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416</w:t>
            </w:r>
          </w:p>
        </w:tc>
        <w:tc>
          <w:tcPr>
            <w:tcW w:w="3544" w:type="dxa"/>
            <w:tcBorders>
              <w:top w:val="nil"/>
              <w:left w:val="nil"/>
              <w:bottom w:val="single" w:sz="4" w:space="0" w:color="auto"/>
              <w:right w:val="single" w:sz="4" w:space="0" w:color="auto"/>
            </w:tcBorders>
            <w:shd w:val="clear" w:color="auto" w:fill="C6EFCE"/>
            <w:noWrap/>
          </w:tcPr>
          <w:p w14:paraId="6872EA2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C14.R3</w:t>
            </w:r>
          </w:p>
          <w:p w14:paraId="1B8E84E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Management performant al resurselor umane în sectorul public</w:t>
            </w:r>
          </w:p>
        </w:tc>
        <w:tc>
          <w:tcPr>
            <w:tcW w:w="1275" w:type="dxa"/>
            <w:tcBorders>
              <w:top w:val="nil"/>
              <w:left w:val="nil"/>
              <w:bottom w:val="single" w:sz="4" w:space="0" w:color="auto"/>
              <w:right w:val="single" w:sz="4" w:space="0" w:color="auto"/>
            </w:tcBorders>
            <w:shd w:val="clear" w:color="auto" w:fill="C6EFCE"/>
            <w:noWrap/>
          </w:tcPr>
          <w:p w14:paraId="458D99D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453939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Analiza </w:t>
            </w:r>
            <w:r>
              <w:rPr>
                <w:rFonts w:ascii="Times New Roman" w:hAnsi="Times New Roman"/>
                <w:i/>
                <w:iCs/>
                <w:noProof/>
              </w:rPr>
              <w:t>ex post</w:t>
            </w:r>
            <w:r>
              <w:rPr>
                <w:rFonts w:ascii="Times New Roman" w:hAnsi="Times New Roman"/>
                <w:noProof/>
              </w:rPr>
              <w:t xml:space="preserve"> a concursului național (pilot) pentru selectarea a două categorii de funcții publice în administrația centrală</w:t>
            </w:r>
          </w:p>
        </w:tc>
      </w:tr>
      <w:tr w:rsidR="00981F92" w:rsidRPr="000A27B3" w14:paraId="01261E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5A931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420</w:t>
            </w:r>
          </w:p>
        </w:tc>
        <w:tc>
          <w:tcPr>
            <w:tcW w:w="3544" w:type="dxa"/>
            <w:tcBorders>
              <w:top w:val="nil"/>
              <w:left w:val="nil"/>
              <w:bottom w:val="single" w:sz="4" w:space="0" w:color="auto"/>
              <w:right w:val="single" w:sz="4" w:space="0" w:color="auto"/>
            </w:tcBorders>
            <w:shd w:val="clear" w:color="auto" w:fill="C6EFCE"/>
            <w:noWrap/>
          </w:tcPr>
          <w:p w14:paraId="44C9BA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C14.R4</w:t>
            </w:r>
          </w:p>
          <w:p w14:paraId="09F4CAF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Dezvoltarea unui sistem de salarizare echitabil și unitar în sectorul public</w:t>
            </w:r>
          </w:p>
        </w:tc>
        <w:tc>
          <w:tcPr>
            <w:tcW w:w="1275" w:type="dxa"/>
            <w:tcBorders>
              <w:top w:val="nil"/>
              <w:left w:val="nil"/>
              <w:bottom w:val="single" w:sz="4" w:space="0" w:color="auto"/>
              <w:right w:val="single" w:sz="4" w:space="0" w:color="auto"/>
            </w:tcBorders>
            <w:shd w:val="clear" w:color="auto" w:fill="C6EFCE"/>
            <w:noWrap/>
          </w:tcPr>
          <w:p w14:paraId="0F1A371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BBF9E3A" w14:textId="0248F00A"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noului cadru juridic privind remunerarea funcționarilor publici </w:t>
            </w:r>
          </w:p>
        </w:tc>
      </w:tr>
      <w:tr w:rsidR="00981F92" w:rsidRPr="000A27B3" w14:paraId="6AAC35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E6B9DC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423</w:t>
            </w:r>
          </w:p>
        </w:tc>
        <w:tc>
          <w:tcPr>
            <w:tcW w:w="3544" w:type="dxa"/>
            <w:tcBorders>
              <w:top w:val="nil"/>
              <w:left w:val="nil"/>
              <w:bottom w:val="single" w:sz="4" w:space="0" w:color="auto"/>
              <w:right w:val="single" w:sz="4" w:space="0" w:color="auto"/>
            </w:tcBorders>
            <w:shd w:val="clear" w:color="auto" w:fill="C6EFCE"/>
            <w:noWrap/>
          </w:tcPr>
          <w:p w14:paraId="7190163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C14.R5</w:t>
            </w:r>
          </w:p>
          <w:p w14:paraId="3FB0E8D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Garantarea independenței justiției, creșterea calității și eficienței acesteia</w:t>
            </w:r>
          </w:p>
        </w:tc>
        <w:tc>
          <w:tcPr>
            <w:tcW w:w="1275" w:type="dxa"/>
            <w:tcBorders>
              <w:top w:val="nil"/>
              <w:left w:val="nil"/>
              <w:bottom w:val="single" w:sz="4" w:space="0" w:color="auto"/>
              <w:right w:val="single" w:sz="4" w:space="0" w:color="auto"/>
            </w:tcBorders>
            <w:shd w:val="clear" w:color="auto" w:fill="C6EFCE"/>
            <w:noWrap/>
          </w:tcPr>
          <w:p w14:paraId="00E0C8B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A81A53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„legilor justiției” (legi privind statutul magistraților, organizarea judiciară, Consiliul Superior al Magistraturii)</w:t>
            </w:r>
          </w:p>
        </w:tc>
      </w:tr>
      <w:tr w:rsidR="00981F92" w:rsidRPr="000A27B3" w14:paraId="0F3D7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B97EFD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429</w:t>
            </w:r>
          </w:p>
        </w:tc>
        <w:tc>
          <w:tcPr>
            <w:tcW w:w="3544" w:type="dxa"/>
            <w:tcBorders>
              <w:top w:val="nil"/>
              <w:left w:val="nil"/>
              <w:bottom w:val="single" w:sz="4" w:space="0" w:color="auto"/>
              <w:right w:val="single" w:sz="4" w:space="0" w:color="auto"/>
            </w:tcBorders>
            <w:shd w:val="clear" w:color="auto" w:fill="C6EFCE"/>
            <w:noWrap/>
          </w:tcPr>
          <w:p w14:paraId="3ED87E5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C14.R6</w:t>
            </w:r>
          </w:p>
          <w:p w14:paraId="1274BAC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Intensificarea luptei împotriva corupției </w:t>
            </w:r>
          </w:p>
        </w:tc>
        <w:tc>
          <w:tcPr>
            <w:tcW w:w="1275" w:type="dxa"/>
            <w:tcBorders>
              <w:top w:val="nil"/>
              <w:left w:val="nil"/>
              <w:bottom w:val="single" w:sz="4" w:space="0" w:color="auto"/>
              <w:right w:val="single" w:sz="4" w:space="0" w:color="auto"/>
            </w:tcBorders>
            <w:shd w:val="clear" w:color="auto" w:fill="C6EFCE"/>
            <w:noWrap/>
          </w:tcPr>
          <w:p w14:paraId="232E744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830B28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Este atinsă rata de ocupare de 85 % din posturile de procuror din cadrul Direcției Naționale Anticorupție </w:t>
            </w:r>
          </w:p>
        </w:tc>
      </w:tr>
      <w:tr w:rsidR="00981F92" w:rsidRPr="000A27B3" w14:paraId="18BB87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52B84D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434</w:t>
            </w:r>
          </w:p>
        </w:tc>
        <w:tc>
          <w:tcPr>
            <w:tcW w:w="3544" w:type="dxa"/>
            <w:tcBorders>
              <w:top w:val="nil"/>
              <w:left w:val="nil"/>
              <w:bottom w:val="single" w:sz="4" w:space="0" w:color="auto"/>
              <w:right w:val="single" w:sz="4" w:space="0" w:color="auto"/>
            </w:tcBorders>
            <w:shd w:val="clear" w:color="auto" w:fill="C6EFCE"/>
            <w:noWrap/>
          </w:tcPr>
          <w:p w14:paraId="3194F63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C14.R8</w:t>
            </w:r>
          </w:p>
          <w:p w14:paraId="3AB767D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Reformarea sistemului național de achiziții publice</w:t>
            </w:r>
          </w:p>
        </w:tc>
        <w:tc>
          <w:tcPr>
            <w:tcW w:w="1275" w:type="dxa"/>
            <w:tcBorders>
              <w:top w:val="nil"/>
              <w:left w:val="nil"/>
              <w:bottom w:val="single" w:sz="4" w:space="0" w:color="auto"/>
              <w:right w:val="single" w:sz="4" w:space="0" w:color="auto"/>
            </w:tcBorders>
            <w:shd w:val="clear" w:color="auto" w:fill="C6EFCE"/>
            <w:noWrap/>
          </w:tcPr>
          <w:p w14:paraId="2917693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22D239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Strategiei privind achizițiile publice, inclusiv a măsurilor orizontale de sprijinire a implementării planului național de redresare și reziliență </w:t>
            </w:r>
          </w:p>
        </w:tc>
      </w:tr>
      <w:tr w:rsidR="000A27B3" w:rsidRPr="000A27B3" w14:paraId="441D0A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D4F570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441</w:t>
            </w:r>
          </w:p>
        </w:tc>
        <w:tc>
          <w:tcPr>
            <w:tcW w:w="3544" w:type="dxa"/>
            <w:tcBorders>
              <w:top w:val="nil"/>
              <w:left w:val="nil"/>
              <w:bottom w:val="single" w:sz="4" w:space="0" w:color="auto"/>
              <w:right w:val="single" w:sz="4" w:space="0" w:color="auto"/>
            </w:tcBorders>
            <w:shd w:val="clear" w:color="auto" w:fill="C6EFCE"/>
            <w:noWrap/>
          </w:tcPr>
          <w:p w14:paraId="17C9833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C14.R9</w:t>
            </w:r>
          </w:p>
          <w:p w14:paraId="28BC15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cadrului procedural de implementare a principiilor guvernanței corporative în cadrul întreprinderilor de stat</w:t>
            </w:r>
          </w:p>
        </w:tc>
        <w:tc>
          <w:tcPr>
            <w:tcW w:w="1275" w:type="dxa"/>
            <w:tcBorders>
              <w:top w:val="nil"/>
              <w:left w:val="nil"/>
              <w:bottom w:val="single" w:sz="4" w:space="0" w:color="auto"/>
              <w:right w:val="single" w:sz="4" w:space="0" w:color="auto"/>
            </w:tcBorders>
            <w:shd w:val="clear" w:color="auto" w:fill="C6EFCE"/>
            <w:noWrap/>
          </w:tcPr>
          <w:p w14:paraId="527F4F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91C0C9E" w14:textId="63234AE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Publicarea tabloului de bord de monitorizare cu obiective financiare și nefinanciare și indicatori de performanță pentru toate categoriile de societăți publice (inclusiv din sectoare-cheie precum transporturile, energia, utilitățile publice) </w:t>
            </w:r>
          </w:p>
        </w:tc>
      </w:tr>
      <w:tr w:rsidR="00981F92" w:rsidRPr="000A27B3" w14:paraId="6E360AD0"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1141F166"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29D67D8B" w14:textId="77777777" w:rsidR="00981F92" w:rsidRPr="009F1DC7" w:rsidRDefault="00981F92">
            <w:pPr>
              <w:spacing w:after="0"/>
              <w:jc w:val="both"/>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249B0CC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6B45C226" w14:textId="3D7855BE"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1 003 031 904 EUR</w:t>
            </w:r>
          </w:p>
        </w:tc>
      </w:tr>
    </w:tbl>
    <w:p w14:paraId="2A49B3B1" w14:textId="77777777" w:rsidR="00981F92" w:rsidRPr="000A27B3" w:rsidRDefault="00981F92">
      <w:pPr>
        <w:pStyle w:val="NumPar2"/>
        <w:tabs>
          <w:tab w:val="clear" w:pos="850"/>
        </w:tabs>
        <w:ind w:firstLine="0"/>
        <w:rPr>
          <w:noProof/>
          <w:sz w:val="22"/>
        </w:rPr>
        <w:sectPr w:rsidR="00981F92" w:rsidRPr="000A27B3" w:rsidSect="00CA23DD">
          <w:headerReference w:type="even" r:id="rId349"/>
          <w:headerReference w:type="default" r:id="rId350"/>
          <w:footerReference w:type="even" r:id="rId351"/>
          <w:footerReference w:type="default" r:id="rId352"/>
          <w:headerReference w:type="first" r:id="rId353"/>
          <w:footerReference w:type="first" r:id="rId354"/>
          <w:pgSz w:w="12240" w:h="15840" w:code="1"/>
          <w:pgMar w:top="1440" w:right="1440" w:bottom="1440" w:left="1440" w:header="720" w:footer="720" w:gutter="0"/>
          <w:cols w:space="720"/>
          <w:docGrid w:linePitch="360"/>
        </w:sectPr>
      </w:pPr>
    </w:p>
    <w:p w14:paraId="687F56F4" w14:textId="77777777" w:rsidR="00981F92" w:rsidRPr="000A27B3" w:rsidRDefault="00981F92">
      <w:pPr>
        <w:pStyle w:val="Heading3"/>
        <w:rPr>
          <w:noProof/>
          <w:szCs w:val="24"/>
        </w:rPr>
      </w:pPr>
      <w:r>
        <w:rPr>
          <w:noProof/>
        </w:rPr>
        <w:t xml:space="preserve">A cincea tranșă (sprijin nerambursabil):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538F89AD"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837BDAE"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D74C3C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5386B39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1A42741"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182D76F"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2CF2B3BB"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44A18F35"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4FFCA89"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4099AEC"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5F892F91"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4D6AFD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E5CF8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123</w:t>
            </w:r>
          </w:p>
        </w:tc>
        <w:tc>
          <w:tcPr>
            <w:tcW w:w="3544" w:type="dxa"/>
            <w:tcBorders>
              <w:top w:val="nil"/>
              <w:left w:val="nil"/>
              <w:bottom w:val="single" w:sz="4" w:space="0" w:color="auto"/>
              <w:right w:val="single" w:sz="4" w:space="0" w:color="auto"/>
            </w:tcBorders>
            <w:shd w:val="clear" w:color="auto" w:fill="C6EFCE"/>
            <w:noWrap/>
          </w:tcPr>
          <w:p w14:paraId="0C57F3B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C6.R3 </w:t>
            </w:r>
          </w:p>
          <w:p w14:paraId="252CB23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Bugetarea verde</w:t>
            </w:r>
          </w:p>
        </w:tc>
        <w:tc>
          <w:tcPr>
            <w:tcW w:w="1275" w:type="dxa"/>
            <w:tcBorders>
              <w:top w:val="nil"/>
              <w:left w:val="nil"/>
              <w:bottom w:val="single" w:sz="4" w:space="0" w:color="auto"/>
              <w:right w:val="single" w:sz="4" w:space="0" w:color="auto"/>
            </w:tcBorders>
            <w:shd w:val="clear" w:color="auto" w:fill="C6EFCE"/>
            <w:noWrap/>
          </w:tcPr>
          <w:p w14:paraId="3EBE4E9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5DA93F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Finalizarea și aplicarea unei metodologii de planificare bugetară verde</w:t>
            </w:r>
          </w:p>
        </w:tc>
      </w:tr>
      <w:tr w:rsidR="00981F92" w:rsidRPr="000A27B3" w14:paraId="20C78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84C1B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452</w:t>
            </w:r>
          </w:p>
        </w:tc>
        <w:tc>
          <w:tcPr>
            <w:tcW w:w="3544" w:type="dxa"/>
            <w:tcBorders>
              <w:top w:val="nil"/>
              <w:left w:val="nil"/>
              <w:bottom w:val="single" w:sz="4" w:space="0" w:color="auto"/>
              <w:right w:val="single" w:sz="4" w:space="0" w:color="auto"/>
            </w:tcBorders>
            <w:shd w:val="clear" w:color="auto" w:fill="C6EFCE"/>
            <w:noWrap/>
          </w:tcPr>
          <w:p w14:paraId="2C07CF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C15.R1</w:t>
            </w:r>
          </w:p>
          <w:p w14:paraId="42AFB19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Elaborarea și adoptarea pachetului legislativ pentru implementarea proiectului „România Educată”</w:t>
            </w:r>
          </w:p>
        </w:tc>
        <w:tc>
          <w:tcPr>
            <w:tcW w:w="1275" w:type="dxa"/>
            <w:tcBorders>
              <w:top w:val="nil"/>
              <w:left w:val="nil"/>
              <w:bottom w:val="single" w:sz="4" w:space="0" w:color="auto"/>
              <w:right w:val="single" w:sz="4" w:space="0" w:color="auto"/>
            </w:tcBorders>
            <w:shd w:val="clear" w:color="auto" w:fill="C6EFCE"/>
            <w:noWrap/>
          </w:tcPr>
          <w:p w14:paraId="693DF7F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95F1C2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pachetului legislativ pentru implementarea proiectului „România Educată”</w:t>
            </w:r>
          </w:p>
        </w:tc>
      </w:tr>
      <w:tr w:rsidR="00981F92" w:rsidRPr="000A27B3" w14:paraId="5A4DE4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1AA798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25</w:t>
            </w:r>
          </w:p>
        </w:tc>
        <w:tc>
          <w:tcPr>
            <w:tcW w:w="3544" w:type="dxa"/>
            <w:tcBorders>
              <w:top w:val="nil"/>
              <w:left w:val="nil"/>
              <w:bottom w:val="single" w:sz="4" w:space="0" w:color="auto"/>
              <w:right w:val="single" w:sz="4" w:space="0" w:color="auto"/>
            </w:tcBorders>
            <w:shd w:val="clear" w:color="auto" w:fill="C6EFCE"/>
            <w:noWrap/>
            <w:hideMark/>
          </w:tcPr>
          <w:p w14:paraId="24046A8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C2.I1 </w:t>
            </w:r>
          </w:p>
          <w:p w14:paraId="5876E7D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Campania națională de împădurire și reîmpădurire, inclusiv păduri urbane </w:t>
            </w:r>
          </w:p>
        </w:tc>
        <w:tc>
          <w:tcPr>
            <w:tcW w:w="1275" w:type="dxa"/>
            <w:tcBorders>
              <w:top w:val="nil"/>
              <w:left w:val="nil"/>
              <w:bottom w:val="single" w:sz="4" w:space="0" w:color="auto"/>
              <w:right w:val="single" w:sz="4" w:space="0" w:color="auto"/>
            </w:tcBorders>
            <w:shd w:val="clear" w:color="auto" w:fill="C6EFCE"/>
            <w:noWrap/>
            <w:hideMark/>
          </w:tcPr>
          <w:p w14:paraId="64A95BE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50369DB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Suprafețe noi de teren împădurite sau reîmpădurite</w:t>
            </w:r>
          </w:p>
        </w:tc>
      </w:tr>
      <w:tr w:rsidR="00981F92" w:rsidRPr="000A27B3" w14:paraId="2A3DFA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93E2D3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27</w:t>
            </w:r>
          </w:p>
        </w:tc>
        <w:tc>
          <w:tcPr>
            <w:tcW w:w="3544" w:type="dxa"/>
            <w:tcBorders>
              <w:top w:val="nil"/>
              <w:left w:val="nil"/>
              <w:bottom w:val="single" w:sz="4" w:space="0" w:color="auto"/>
              <w:right w:val="single" w:sz="4" w:space="0" w:color="auto"/>
            </w:tcBorders>
            <w:shd w:val="clear" w:color="auto" w:fill="C6EFCE"/>
            <w:noWrap/>
            <w:hideMark/>
          </w:tcPr>
          <w:p w14:paraId="615A16C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C2.I1 </w:t>
            </w:r>
          </w:p>
          <w:p w14:paraId="5828FBA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Campania națională de împădurire și reîmpădurire, inclusiv păduri urbane</w:t>
            </w:r>
          </w:p>
        </w:tc>
        <w:tc>
          <w:tcPr>
            <w:tcW w:w="1275" w:type="dxa"/>
            <w:tcBorders>
              <w:top w:val="nil"/>
              <w:left w:val="nil"/>
              <w:bottom w:val="single" w:sz="4" w:space="0" w:color="auto"/>
              <w:right w:val="single" w:sz="4" w:space="0" w:color="auto"/>
            </w:tcBorders>
            <w:shd w:val="clear" w:color="auto" w:fill="C6EFCE"/>
            <w:noWrap/>
            <w:hideMark/>
          </w:tcPr>
          <w:p w14:paraId="374B1F5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57FD449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Crearea de noi zone de păduri urbane</w:t>
            </w:r>
          </w:p>
        </w:tc>
      </w:tr>
      <w:tr w:rsidR="00981F92" w:rsidRPr="000A27B3" w14:paraId="40189C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CE33E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73</w:t>
            </w:r>
          </w:p>
        </w:tc>
        <w:tc>
          <w:tcPr>
            <w:tcW w:w="3544" w:type="dxa"/>
            <w:tcBorders>
              <w:top w:val="nil"/>
              <w:left w:val="nil"/>
              <w:bottom w:val="single" w:sz="4" w:space="0" w:color="auto"/>
              <w:right w:val="single" w:sz="4" w:space="0" w:color="auto"/>
            </w:tcBorders>
            <w:shd w:val="clear" w:color="auto" w:fill="C6EFCE"/>
            <w:noWrap/>
          </w:tcPr>
          <w:p w14:paraId="4FAAC8B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C4.I1 </w:t>
            </w:r>
          </w:p>
          <w:p w14:paraId="65E1ED9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Modernizarea și reînnoirea infrastructurii feroviare </w:t>
            </w:r>
          </w:p>
        </w:tc>
        <w:tc>
          <w:tcPr>
            <w:tcW w:w="1275" w:type="dxa"/>
            <w:tcBorders>
              <w:top w:val="nil"/>
              <w:left w:val="nil"/>
              <w:bottom w:val="single" w:sz="4" w:space="0" w:color="auto"/>
              <w:right w:val="single" w:sz="4" w:space="0" w:color="auto"/>
            </w:tcBorders>
            <w:shd w:val="clear" w:color="auto" w:fill="C6EFCE"/>
            <w:noWrap/>
          </w:tcPr>
          <w:p w14:paraId="27658C8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DCD17D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Semnarea contractelor pentru 100 % din lucrările legate de modernizarea și reînnoirea infrastructurii feroviare </w:t>
            </w:r>
          </w:p>
        </w:tc>
      </w:tr>
      <w:tr w:rsidR="00981F92" w:rsidRPr="000A27B3" w14:paraId="15B973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399F9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117</w:t>
            </w:r>
          </w:p>
        </w:tc>
        <w:tc>
          <w:tcPr>
            <w:tcW w:w="3544" w:type="dxa"/>
            <w:tcBorders>
              <w:top w:val="nil"/>
              <w:left w:val="nil"/>
              <w:bottom w:val="single" w:sz="4" w:space="0" w:color="auto"/>
              <w:right w:val="single" w:sz="4" w:space="0" w:color="auto"/>
            </w:tcBorders>
            <w:shd w:val="clear" w:color="auto" w:fill="C6EFCE"/>
            <w:noWrap/>
          </w:tcPr>
          <w:p w14:paraId="3CAD293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C6.R1</w:t>
            </w:r>
          </w:p>
          <w:p w14:paraId="5A1230DD" w14:textId="25DB85F0"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Reforma pieței de energie electrică, prin înlocuirea cărbunelui din mixul energetic și susținerea unui cadru legislativ și de reglementare stimulativ pentru investițiile private în producția de electricitate din surse regenerabile </w:t>
            </w:r>
          </w:p>
        </w:tc>
        <w:tc>
          <w:tcPr>
            <w:tcW w:w="1275" w:type="dxa"/>
            <w:tcBorders>
              <w:top w:val="nil"/>
              <w:left w:val="nil"/>
              <w:bottom w:val="single" w:sz="4" w:space="0" w:color="auto"/>
              <w:right w:val="single" w:sz="4" w:space="0" w:color="auto"/>
            </w:tcBorders>
            <w:shd w:val="clear" w:color="auto" w:fill="C6EFCE"/>
            <w:noWrap/>
          </w:tcPr>
          <w:p w14:paraId="06E975F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5602D5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contractelor pentru diferență pentru surse regenerabile</w:t>
            </w:r>
          </w:p>
        </w:tc>
      </w:tr>
      <w:tr w:rsidR="00981F92" w:rsidRPr="000A27B3" w14:paraId="64F251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69B39B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203</w:t>
            </w:r>
          </w:p>
        </w:tc>
        <w:tc>
          <w:tcPr>
            <w:tcW w:w="3544" w:type="dxa"/>
            <w:tcBorders>
              <w:top w:val="nil"/>
              <w:left w:val="nil"/>
              <w:bottom w:val="single" w:sz="4" w:space="0" w:color="auto"/>
              <w:right w:val="single" w:sz="4" w:space="0" w:color="auto"/>
            </w:tcBorders>
            <w:shd w:val="clear" w:color="auto" w:fill="C6EFCE"/>
            <w:noWrap/>
          </w:tcPr>
          <w:p w14:paraId="0C02D4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C8.R3</w:t>
            </w:r>
          </w:p>
          <w:p w14:paraId="638F345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mecanismului de programare bugetară </w:t>
            </w:r>
          </w:p>
        </w:tc>
        <w:tc>
          <w:tcPr>
            <w:tcW w:w="1275" w:type="dxa"/>
            <w:tcBorders>
              <w:top w:val="nil"/>
              <w:left w:val="nil"/>
              <w:bottom w:val="single" w:sz="4" w:space="0" w:color="auto"/>
              <w:right w:val="single" w:sz="4" w:space="0" w:color="auto"/>
            </w:tcBorders>
            <w:shd w:val="clear" w:color="auto" w:fill="C6EFCE"/>
            <w:noWrap/>
          </w:tcPr>
          <w:p w14:paraId="07D70FF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08B8EC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Proiectul de buget include rezultatele analizelor cheltuielilor în sectoarele sănătății și educației</w:t>
            </w:r>
          </w:p>
        </w:tc>
      </w:tr>
      <w:tr w:rsidR="00981F92" w:rsidRPr="000A27B3" w14:paraId="00F70C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F1FF04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216</w:t>
            </w:r>
          </w:p>
        </w:tc>
        <w:tc>
          <w:tcPr>
            <w:tcW w:w="3544" w:type="dxa"/>
            <w:tcBorders>
              <w:top w:val="nil"/>
              <w:left w:val="nil"/>
              <w:bottom w:val="single" w:sz="4" w:space="0" w:color="auto"/>
              <w:right w:val="single" w:sz="4" w:space="0" w:color="auto"/>
            </w:tcBorders>
            <w:shd w:val="clear" w:color="auto" w:fill="C6EFCE"/>
            <w:noWrap/>
          </w:tcPr>
          <w:p w14:paraId="4750B21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C8.I1</w:t>
            </w:r>
          </w:p>
          <w:p w14:paraId="7DCD43A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Creșterea conformării voluntare a contribuabililor prin dezvoltarea serviciilor digitale </w:t>
            </w:r>
          </w:p>
        </w:tc>
        <w:tc>
          <w:tcPr>
            <w:tcW w:w="1275" w:type="dxa"/>
            <w:tcBorders>
              <w:top w:val="nil"/>
              <w:left w:val="nil"/>
              <w:bottom w:val="single" w:sz="4" w:space="0" w:color="auto"/>
              <w:right w:val="single" w:sz="4" w:space="0" w:color="auto"/>
            </w:tcBorders>
            <w:shd w:val="clear" w:color="auto" w:fill="C6EFCE"/>
            <w:noWrap/>
          </w:tcPr>
          <w:p w14:paraId="46A9E81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F3A771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Serviciile digitale și sistemele electronice critice sunt operaționale </w:t>
            </w:r>
          </w:p>
        </w:tc>
      </w:tr>
      <w:tr w:rsidR="00981F92" w:rsidRPr="000A27B3" w14:paraId="00FFF0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9D4F3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231</w:t>
            </w:r>
          </w:p>
        </w:tc>
        <w:tc>
          <w:tcPr>
            <w:tcW w:w="3544" w:type="dxa"/>
            <w:tcBorders>
              <w:top w:val="nil"/>
              <w:left w:val="nil"/>
              <w:bottom w:val="single" w:sz="4" w:space="0" w:color="auto"/>
              <w:right w:val="single" w:sz="4" w:space="0" w:color="auto"/>
            </w:tcBorders>
            <w:shd w:val="clear" w:color="auto" w:fill="C6EFCE"/>
            <w:noWrap/>
          </w:tcPr>
          <w:p w14:paraId="4DF4964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C8.I4</w:t>
            </w:r>
          </w:p>
          <w:p w14:paraId="3B36B21F" w14:textId="3D319CAF"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Implementarea vămii electronice </w:t>
            </w:r>
          </w:p>
        </w:tc>
        <w:tc>
          <w:tcPr>
            <w:tcW w:w="1275" w:type="dxa"/>
            <w:tcBorders>
              <w:top w:val="nil"/>
              <w:left w:val="nil"/>
              <w:bottom w:val="single" w:sz="4" w:space="0" w:color="auto"/>
              <w:right w:val="single" w:sz="4" w:space="0" w:color="auto"/>
            </w:tcBorders>
            <w:shd w:val="clear" w:color="auto" w:fill="C6EFCE"/>
            <w:noWrap/>
          </w:tcPr>
          <w:p w14:paraId="3C5C1C9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4C191B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Atribuirea contractelor pentru noi sisteme informatice destinate vămilor </w:t>
            </w:r>
          </w:p>
        </w:tc>
      </w:tr>
      <w:tr w:rsidR="00981F92" w:rsidRPr="000A27B3" w14:paraId="2E06E4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BC073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234</w:t>
            </w:r>
          </w:p>
        </w:tc>
        <w:tc>
          <w:tcPr>
            <w:tcW w:w="3544" w:type="dxa"/>
            <w:tcBorders>
              <w:top w:val="nil"/>
              <w:left w:val="nil"/>
              <w:bottom w:val="single" w:sz="4" w:space="0" w:color="auto"/>
              <w:right w:val="single" w:sz="4" w:space="0" w:color="auto"/>
            </w:tcBorders>
            <w:shd w:val="clear" w:color="auto" w:fill="C6EFCE"/>
            <w:noWrap/>
          </w:tcPr>
          <w:p w14:paraId="496ED44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C8.I5</w:t>
            </w:r>
          </w:p>
          <w:p w14:paraId="3BD3803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mecanismului de programare bugetară </w:t>
            </w:r>
          </w:p>
        </w:tc>
        <w:tc>
          <w:tcPr>
            <w:tcW w:w="1275" w:type="dxa"/>
            <w:tcBorders>
              <w:top w:val="nil"/>
              <w:left w:val="nil"/>
              <w:bottom w:val="single" w:sz="4" w:space="0" w:color="auto"/>
              <w:right w:val="single" w:sz="4" w:space="0" w:color="auto"/>
            </w:tcBorders>
            <w:shd w:val="clear" w:color="auto" w:fill="C6EFCE"/>
            <w:noWrap/>
          </w:tcPr>
          <w:p w14:paraId="3BEB7E1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450778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Actualizarea aplicației informatice BUGET_NG</w:t>
            </w:r>
          </w:p>
        </w:tc>
      </w:tr>
      <w:tr w:rsidR="00981F92" w:rsidRPr="000A27B3" w14:paraId="35D1E8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8301C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235</w:t>
            </w:r>
          </w:p>
        </w:tc>
        <w:tc>
          <w:tcPr>
            <w:tcW w:w="3544" w:type="dxa"/>
            <w:tcBorders>
              <w:top w:val="nil"/>
              <w:left w:val="nil"/>
              <w:bottom w:val="single" w:sz="4" w:space="0" w:color="auto"/>
              <w:right w:val="single" w:sz="4" w:space="0" w:color="auto"/>
            </w:tcBorders>
            <w:shd w:val="clear" w:color="auto" w:fill="C6EFCE"/>
            <w:noWrap/>
          </w:tcPr>
          <w:p w14:paraId="11E9041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C8.I6</w:t>
            </w:r>
          </w:p>
          <w:p w14:paraId="334DDDE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Instrument de modelare economică (set de instrumente de simulare privind opțiunile de reformă a pensiilor) pentru îmbunătățirea capacității instituționale de a prognoza cheltuielile cu pensiile</w:t>
            </w:r>
          </w:p>
        </w:tc>
        <w:tc>
          <w:tcPr>
            <w:tcW w:w="1275" w:type="dxa"/>
            <w:tcBorders>
              <w:top w:val="nil"/>
              <w:left w:val="nil"/>
              <w:bottom w:val="single" w:sz="4" w:space="0" w:color="auto"/>
              <w:right w:val="single" w:sz="4" w:space="0" w:color="auto"/>
            </w:tcBorders>
            <w:shd w:val="clear" w:color="auto" w:fill="C6EFCE"/>
            <w:noWrap/>
          </w:tcPr>
          <w:p w14:paraId="4D47166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B33305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Instrumentul de modelare economică (modelul de set de instrumente de simulare privind opțiunile de reformă a pensiilor) este operațional </w:t>
            </w:r>
          </w:p>
        </w:tc>
      </w:tr>
      <w:tr w:rsidR="00981F92" w:rsidRPr="000A27B3" w14:paraId="70AC1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0C6A72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236</w:t>
            </w:r>
          </w:p>
        </w:tc>
        <w:tc>
          <w:tcPr>
            <w:tcW w:w="3544" w:type="dxa"/>
            <w:tcBorders>
              <w:top w:val="nil"/>
              <w:left w:val="nil"/>
              <w:bottom w:val="single" w:sz="4" w:space="0" w:color="auto"/>
              <w:right w:val="single" w:sz="4" w:space="0" w:color="auto"/>
            </w:tcBorders>
            <w:shd w:val="clear" w:color="auto" w:fill="C6EFCE"/>
            <w:noWrap/>
          </w:tcPr>
          <w:p w14:paraId="700751D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C8.I6</w:t>
            </w:r>
          </w:p>
          <w:p w14:paraId="63DB9AA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Instrument de modelare economică (set de instrumente de simulare privind opțiunile de reformă a pensiilor) pentru îmbunătățirea capacității instituționale de a prognoza cheltuielile cu pensiile</w:t>
            </w:r>
          </w:p>
        </w:tc>
        <w:tc>
          <w:tcPr>
            <w:tcW w:w="1275" w:type="dxa"/>
            <w:tcBorders>
              <w:top w:val="nil"/>
              <w:left w:val="nil"/>
              <w:bottom w:val="single" w:sz="4" w:space="0" w:color="auto"/>
              <w:right w:val="single" w:sz="4" w:space="0" w:color="auto"/>
            </w:tcBorders>
            <w:shd w:val="clear" w:color="auto" w:fill="C6EFCE"/>
            <w:noWrap/>
          </w:tcPr>
          <w:p w14:paraId="7AC96BC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C39CE4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Extinderea echipei de la 1 la 8 experți și îmbunătățirea capacității reformei structurale a pensiilor pe termen mediu și lung, oferind pentru 8 persoane cursuri de formare cu privire la utilizarea modelului de set de instrumente de simulare privind opțiunile de reformă a pensiilor</w:t>
            </w:r>
          </w:p>
        </w:tc>
      </w:tr>
      <w:tr w:rsidR="00981F92" w:rsidRPr="000A27B3" w14:paraId="48DD1D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59DE70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239</w:t>
            </w:r>
          </w:p>
        </w:tc>
        <w:tc>
          <w:tcPr>
            <w:tcW w:w="3544" w:type="dxa"/>
            <w:tcBorders>
              <w:top w:val="nil"/>
              <w:left w:val="nil"/>
              <w:bottom w:val="single" w:sz="4" w:space="0" w:color="auto"/>
              <w:right w:val="single" w:sz="4" w:space="0" w:color="auto"/>
            </w:tcBorders>
            <w:shd w:val="clear" w:color="auto" w:fill="C6EFCE"/>
            <w:noWrap/>
          </w:tcPr>
          <w:p w14:paraId="65B3BDF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C8.I9</w:t>
            </w:r>
          </w:p>
          <w:p w14:paraId="3B8AC9A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Susținerea procesului de evaluare a dosarelor de pensii aflate în plată </w:t>
            </w:r>
          </w:p>
        </w:tc>
        <w:tc>
          <w:tcPr>
            <w:tcW w:w="1275" w:type="dxa"/>
            <w:tcBorders>
              <w:top w:val="nil"/>
              <w:left w:val="nil"/>
              <w:bottom w:val="single" w:sz="4" w:space="0" w:color="auto"/>
              <w:right w:val="single" w:sz="4" w:space="0" w:color="auto"/>
            </w:tcBorders>
            <w:shd w:val="clear" w:color="auto" w:fill="C6EFCE"/>
            <w:noWrap/>
          </w:tcPr>
          <w:p w14:paraId="5667C6B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640392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Toate dosarele de pensii recalculate</w:t>
            </w:r>
          </w:p>
        </w:tc>
      </w:tr>
      <w:tr w:rsidR="00981F92" w:rsidRPr="000A27B3" w14:paraId="316B1F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B908A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359</w:t>
            </w:r>
          </w:p>
        </w:tc>
        <w:tc>
          <w:tcPr>
            <w:tcW w:w="3544" w:type="dxa"/>
            <w:tcBorders>
              <w:top w:val="nil"/>
              <w:left w:val="nil"/>
              <w:bottom w:val="single" w:sz="4" w:space="0" w:color="auto"/>
              <w:right w:val="single" w:sz="4" w:space="0" w:color="auto"/>
            </w:tcBorders>
            <w:shd w:val="clear" w:color="auto" w:fill="C6EFCE"/>
            <w:noWrap/>
          </w:tcPr>
          <w:p w14:paraId="068DE30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C12.R3</w:t>
            </w:r>
          </w:p>
          <w:p w14:paraId="0C4B871F" w14:textId="56DE048E"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75" w:type="dxa"/>
            <w:tcBorders>
              <w:top w:val="nil"/>
              <w:left w:val="nil"/>
              <w:bottom w:val="single" w:sz="4" w:space="0" w:color="auto"/>
              <w:right w:val="single" w:sz="4" w:space="0" w:color="auto"/>
            </w:tcBorders>
            <w:shd w:val="clear" w:color="auto" w:fill="C6EFCE"/>
            <w:noWrap/>
          </w:tcPr>
          <w:p w14:paraId="488B623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6449DE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unui ordin al ministrului sănătății de instituire a unui cadru de recunoaștere diferențiată a meritelor profesionale și de recompensare a personalului medico-sanitar</w:t>
            </w:r>
          </w:p>
        </w:tc>
      </w:tr>
      <w:tr w:rsidR="00981F92" w:rsidRPr="000A27B3" w14:paraId="43E1D3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A2923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364</w:t>
            </w:r>
          </w:p>
        </w:tc>
        <w:tc>
          <w:tcPr>
            <w:tcW w:w="3544" w:type="dxa"/>
            <w:tcBorders>
              <w:top w:val="nil"/>
              <w:left w:val="nil"/>
              <w:bottom w:val="single" w:sz="4" w:space="0" w:color="auto"/>
              <w:right w:val="single" w:sz="4" w:space="0" w:color="auto"/>
            </w:tcBorders>
            <w:shd w:val="clear" w:color="auto" w:fill="C6EFCE"/>
            <w:noWrap/>
          </w:tcPr>
          <w:p w14:paraId="78D0F39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C12.R3</w:t>
            </w:r>
          </w:p>
          <w:p w14:paraId="031EDCED" w14:textId="23AAE5DF"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75" w:type="dxa"/>
            <w:tcBorders>
              <w:top w:val="nil"/>
              <w:left w:val="nil"/>
              <w:bottom w:val="single" w:sz="4" w:space="0" w:color="auto"/>
              <w:right w:val="single" w:sz="4" w:space="0" w:color="auto"/>
            </w:tcBorders>
            <w:shd w:val="clear" w:color="auto" w:fill="C6EFCE"/>
            <w:noWrap/>
          </w:tcPr>
          <w:p w14:paraId="520E328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5B6763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Ordinului comun al Ministerului Sănătății și al Casei Naționale de Asigurări de Sănătate (CNAS) privind un mecanism de prioritizare a alocărilor bugetare efectuate de Ministerul Sănătății și de Casa Națională de Asigurări de Sănătate (CNAS)</w:t>
            </w:r>
          </w:p>
        </w:tc>
      </w:tr>
      <w:tr w:rsidR="00981F92" w:rsidRPr="000A27B3" w14:paraId="448422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978E65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397</w:t>
            </w:r>
          </w:p>
        </w:tc>
        <w:tc>
          <w:tcPr>
            <w:tcW w:w="3544" w:type="dxa"/>
            <w:tcBorders>
              <w:top w:val="nil"/>
              <w:left w:val="nil"/>
              <w:bottom w:val="single" w:sz="4" w:space="0" w:color="auto"/>
              <w:right w:val="single" w:sz="4" w:space="0" w:color="auto"/>
            </w:tcBorders>
            <w:shd w:val="clear" w:color="auto" w:fill="C6EFCE"/>
            <w:noWrap/>
          </w:tcPr>
          <w:p w14:paraId="3E28BCF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C13.I3</w:t>
            </w:r>
          </w:p>
          <w:p w14:paraId="3BE54BA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Operaționalizarea introducerii tichetelor de muncă pentru lucrătorii casnici </w:t>
            </w:r>
          </w:p>
        </w:tc>
        <w:tc>
          <w:tcPr>
            <w:tcW w:w="1275" w:type="dxa"/>
            <w:tcBorders>
              <w:top w:val="nil"/>
              <w:left w:val="nil"/>
              <w:bottom w:val="single" w:sz="4" w:space="0" w:color="auto"/>
              <w:right w:val="single" w:sz="4" w:space="0" w:color="auto"/>
            </w:tcBorders>
            <w:shd w:val="clear" w:color="auto" w:fill="C6EFCE"/>
            <w:noWrap/>
          </w:tcPr>
          <w:p w14:paraId="669356C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D74CA5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Punerea în funcțiune a unei platforme digitale de gestionare a tichetelor pentru lucrătorii casnici</w:t>
            </w:r>
          </w:p>
        </w:tc>
      </w:tr>
      <w:tr w:rsidR="00981F92" w:rsidRPr="000A27B3" w14:paraId="1817E2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3A19E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417</w:t>
            </w:r>
          </w:p>
        </w:tc>
        <w:tc>
          <w:tcPr>
            <w:tcW w:w="3544" w:type="dxa"/>
            <w:tcBorders>
              <w:top w:val="nil"/>
              <w:left w:val="nil"/>
              <w:bottom w:val="single" w:sz="4" w:space="0" w:color="auto"/>
              <w:right w:val="single" w:sz="4" w:space="0" w:color="auto"/>
            </w:tcBorders>
            <w:shd w:val="clear" w:color="auto" w:fill="C6EFCE"/>
            <w:noWrap/>
          </w:tcPr>
          <w:p w14:paraId="7C01884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C14.R3</w:t>
            </w:r>
          </w:p>
          <w:p w14:paraId="61D66E0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Management performant al resurselor umane în sectorul public</w:t>
            </w:r>
          </w:p>
        </w:tc>
        <w:tc>
          <w:tcPr>
            <w:tcW w:w="1275" w:type="dxa"/>
            <w:tcBorders>
              <w:top w:val="nil"/>
              <w:left w:val="nil"/>
              <w:bottom w:val="single" w:sz="4" w:space="0" w:color="auto"/>
              <w:right w:val="single" w:sz="4" w:space="0" w:color="auto"/>
            </w:tcBorders>
            <w:shd w:val="clear" w:color="auto" w:fill="C6EFCE"/>
            <w:noWrap/>
          </w:tcPr>
          <w:p w14:paraId="7A46DE3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BC823F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Finalizarea anuală a cel puțin două concursuri naționale de recrutare a funcționarilor publici pentru cel puțin 3 categorii/grade de funcții publice </w:t>
            </w:r>
          </w:p>
        </w:tc>
      </w:tr>
      <w:tr w:rsidR="00981F92" w:rsidRPr="000A27B3" w14:paraId="1A85B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766297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436</w:t>
            </w:r>
          </w:p>
        </w:tc>
        <w:tc>
          <w:tcPr>
            <w:tcW w:w="3544" w:type="dxa"/>
            <w:tcBorders>
              <w:top w:val="nil"/>
              <w:left w:val="nil"/>
              <w:bottom w:val="single" w:sz="4" w:space="0" w:color="auto"/>
              <w:right w:val="single" w:sz="4" w:space="0" w:color="auto"/>
            </w:tcBorders>
            <w:shd w:val="clear" w:color="auto" w:fill="C6EFCE"/>
            <w:noWrap/>
          </w:tcPr>
          <w:p w14:paraId="5551D8D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C14.R8</w:t>
            </w:r>
          </w:p>
          <w:p w14:paraId="3FF9117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Reformarea sistemului național de achiziții publice</w:t>
            </w:r>
          </w:p>
        </w:tc>
        <w:tc>
          <w:tcPr>
            <w:tcW w:w="1275" w:type="dxa"/>
            <w:tcBorders>
              <w:top w:val="nil"/>
              <w:left w:val="nil"/>
              <w:bottom w:val="single" w:sz="4" w:space="0" w:color="auto"/>
              <w:right w:val="single" w:sz="4" w:space="0" w:color="auto"/>
            </w:tcBorders>
            <w:shd w:val="clear" w:color="auto" w:fill="C6EFCE"/>
            <w:noWrap/>
          </w:tcPr>
          <w:p w14:paraId="5120D0A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2F0CA1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Furnizarea de cursuri de formare specializată în domeniul achizițiilor publice</w:t>
            </w:r>
          </w:p>
        </w:tc>
      </w:tr>
      <w:tr w:rsidR="00981F92" w:rsidRPr="000A27B3" w14:paraId="5C23F4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8F2DD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437</w:t>
            </w:r>
          </w:p>
        </w:tc>
        <w:tc>
          <w:tcPr>
            <w:tcW w:w="3544" w:type="dxa"/>
            <w:tcBorders>
              <w:top w:val="nil"/>
              <w:left w:val="nil"/>
              <w:bottom w:val="single" w:sz="4" w:space="0" w:color="auto"/>
              <w:right w:val="single" w:sz="4" w:space="0" w:color="auto"/>
            </w:tcBorders>
            <w:shd w:val="clear" w:color="auto" w:fill="C6EFCE"/>
            <w:noWrap/>
          </w:tcPr>
          <w:p w14:paraId="6ADF0BA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C14.R8</w:t>
            </w:r>
          </w:p>
          <w:p w14:paraId="09CF623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Reformarea sistemului național de achiziții publice</w:t>
            </w:r>
          </w:p>
        </w:tc>
        <w:tc>
          <w:tcPr>
            <w:tcW w:w="1275" w:type="dxa"/>
            <w:tcBorders>
              <w:top w:val="nil"/>
              <w:left w:val="nil"/>
              <w:bottom w:val="single" w:sz="4" w:space="0" w:color="auto"/>
              <w:right w:val="single" w:sz="4" w:space="0" w:color="auto"/>
            </w:tcBorders>
            <w:shd w:val="clear" w:color="auto" w:fill="C6EFCE"/>
            <w:noWrap/>
          </w:tcPr>
          <w:p w14:paraId="73F66E6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FF7452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Sistemul electronic de achiziții publice (SEAP) este interconectat și interoperabil cu alte baze de date </w:t>
            </w:r>
          </w:p>
        </w:tc>
      </w:tr>
      <w:tr w:rsidR="00981F92" w:rsidRPr="000A27B3" w14:paraId="52D40A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73594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442</w:t>
            </w:r>
          </w:p>
        </w:tc>
        <w:tc>
          <w:tcPr>
            <w:tcW w:w="3544" w:type="dxa"/>
            <w:tcBorders>
              <w:top w:val="nil"/>
              <w:left w:val="nil"/>
              <w:bottom w:val="single" w:sz="4" w:space="0" w:color="auto"/>
              <w:right w:val="single" w:sz="4" w:space="0" w:color="auto"/>
            </w:tcBorders>
            <w:shd w:val="clear" w:color="auto" w:fill="C6EFCE"/>
            <w:noWrap/>
          </w:tcPr>
          <w:p w14:paraId="6635D05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C14.R9</w:t>
            </w:r>
          </w:p>
          <w:p w14:paraId="39866CA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 Îmbunătățirea cadrului procedural de implementare a principiilor guvernanței corporative în cadrul întreprinderilor de stat </w:t>
            </w:r>
          </w:p>
        </w:tc>
        <w:tc>
          <w:tcPr>
            <w:tcW w:w="1275" w:type="dxa"/>
            <w:tcBorders>
              <w:top w:val="nil"/>
              <w:left w:val="nil"/>
              <w:bottom w:val="single" w:sz="4" w:space="0" w:color="auto"/>
              <w:right w:val="single" w:sz="4" w:space="0" w:color="auto"/>
            </w:tcBorders>
            <w:shd w:val="clear" w:color="auto" w:fill="C6EFCE"/>
            <w:noWrap/>
          </w:tcPr>
          <w:p w14:paraId="750219D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CA6B75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Reducerea cu 50 % a numirilor interimare/temporare în consiliile de administrație ale companiilor de stat centrale</w:t>
            </w:r>
          </w:p>
        </w:tc>
      </w:tr>
      <w:tr w:rsidR="000A27B3" w:rsidRPr="000A27B3" w14:paraId="06247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BA49E0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444</w:t>
            </w:r>
          </w:p>
        </w:tc>
        <w:tc>
          <w:tcPr>
            <w:tcW w:w="3544" w:type="dxa"/>
            <w:tcBorders>
              <w:top w:val="nil"/>
              <w:left w:val="nil"/>
              <w:bottom w:val="single" w:sz="4" w:space="0" w:color="auto"/>
              <w:right w:val="single" w:sz="4" w:space="0" w:color="auto"/>
            </w:tcBorders>
            <w:shd w:val="clear" w:color="auto" w:fill="C6EFCE"/>
            <w:noWrap/>
          </w:tcPr>
          <w:p w14:paraId="654E78B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C14.R9</w:t>
            </w:r>
          </w:p>
          <w:p w14:paraId="0E79AA9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cadrului procedural de implementare a principiilor guvernanței corporative în cadrul întreprinderilor de stat </w:t>
            </w:r>
          </w:p>
        </w:tc>
        <w:tc>
          <w:tcPr>
            <w:tcW w:w="1275" w:type="dxa"/>
            <w:tcBorders>
              <w:top w:val="nil"/>
              <w:left w:val="nil"/>
              <w:bottom w:val="single" w:sz="4" w:space="0" w:color="auto"/>
              <w:right w:val="single" w:sz="4" w:space="0" w:color="auto"/>
            </w:tcBorders>
            <w:shd w:val="clear" w:color="auto" w:fill="C6EFCE"/>
            <w:noWrap/>
          </w:tcPr>
          <w:p w14:paraId="6C935AB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C0B3CB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Reducerea cu 10 % a numirilor interimare/temporare în consiliile de administrație ale companiilor de stat locale</w:t>
            </w:r>
          </w:p>
        </w:tc>
      </w:tr>
      <w:tr w:rsidR="000A27B3" w:rsidRPr="000A27B3" w14:paraId="3A6227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0430FB" w14:textId="4C7E3883"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508</w:t>
            </w:r>
          </w:p>
        </w:tc>
        <w:tc>
          <w:tcPr>
            <w:tcW w:w="3544" w:type="dxa"/>
            <w:tcBorders>
              <w:top w:val="nil"/>
              <w:left w:val="nil"/>
              <w:bottom w:val="single" w:sz="4" w:space="0" w:color="auto"/>
              <w:right w:val="single" w:sz="4" w:space="0" w:color="auto"/>
            </w:tcBorders>
            <w:shd w:val="clear" w:color="auto" w:fill="C6EFCE"/>
            <w:noWrap/>
          </w:tcPr>
          <w:p w14:paraId="7BD7F33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C16.R1</w:t>
            </w:r>
          </w:p>
          <w:p w14:paraId="2A37CAD7" w14:textId="0BD2E841"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Crearea unui cadru juridic pentru utilizarea terenurilor de stat ca zone de accelerare pentru investițiile în sursele regenerabile de energie </w:t>
            </w:r>
          </w:p>
        </w:tc>
        <w:tc>
          <w:tcPr>
            <w:tcW w:w="1275" w:type="dxa"/>
            <w:tcBorders>
              <w:top w:val="nil"/>
              <w:left w:val="nil"/>
              <w:bottom w:val="single" w:sz="4" w:space="0" w:color="auto"/>
              <w:right w:val="single" w:sz="4" w:space="0" w:color="auto"/>
            </w:tcBorders>
            <w:shd w:val="clear" w:color="auto" w:fill="C6EFCE"/>
            <w:noWrap/>
          </w:tcPr>
          <w:p w14:paraId="396D5FA4" w14:textId="3524BF16"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3FADFA2" w14:textId="2D79F230"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Consolidarea capacităților Agenției Domeniilor Statului (ADS)</w:t>
            </w:r>
          </w:p>
        </w:tc>
      </w:tr>
      <w:tr w:rsidR="000A27B3" w:rsidRPr="000A27B3" w14:paraId="387F9C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292A86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519</w:t>
            </w:r>
          </w:p>
        </w:tc>
        <w:tc>
          <w:tcPr>
            <w:tcW w:w="3544" w:type="dxa"/>
            <w:tcBorders>
              <w:top w:val="nil"/>
              <w:left w:val="nil"/>
              <w:bottom w:val="single" w:sz="4" w:space="0" w:color="auto"/>
              <w:right w:val="single" w:sz="4" w:space="0" w:color="auto"/>
            </w:tcBorders>
            <w:shd w:val="clear" w:color="auto" w:fill="C6EFCE"/>
            <w:noWrap/>
          </w:tcPr>
          <w:p w14:paraId="2F52584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C16.I5b</w:t>
            </w:r>
          </w:p>
          <w:p w14:paraId="05113067" w14:textId="77777777" w:rsidR="00981F92" w:rsidRPr="000A27B3" w:rsidDel="00936C5D" w:rsidRDefault="00981F92">
            <w:pPr>
              <w:spacing w:after="0"/>
              <w:jc w:val="both"/>
              <w:rPr>
                <w:rFonts w:ascii="Times New Roman" w:hAnsi="Times New Roman" w:cs="Times New Roman"/>
                <w:noProof/>
              </w:rPr>
            </w:pPr>
            <w:r>
              <w:rPr>
                <w:rFonts w:ascii="Times New Roman" w:hAnsi="Times New Roman"/>
                <w:noProof/>
              </w:rPr>
              <w:t>Retehnologizarea SMART SA</w:t>
            </w:r>
          </w:p>
        </w:tc>
        <w:tc>
          <w:tcPr>
            <w:tcW w:w="1275" w:type="dxa"/>
            <w:tcBorders>
              <w:top w:val="nil"/>
              <w:left w:val="nil"/>
              <w:bottom w:val="single" w:sz="4" w:space="0" w:color="auto"/>
              <w:right w:val="single" w:sz="4" w:space="0" w:color="auto"/>
            </w:tcBorders>
            <w:shd w:val="clear" w:color="auto" w:fill="C6EFCE"/>
            <w:noWrap/>
          </w:tcPr>
          <w:p w14:paraId="7F7A9104" w14:textId="77777777" w:rsidR="00981F92" w:rsidRPr="000A27B3" w:rsidDel="00936C5D"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C1A5019" w14:textId="77777777" w:rsidR="00981F92" w:rsidRPr="000A27B3" w:rsidDel="00936C5D" w:rsidRDefault="00981F92">
            <w:pPr>
              <w:spacing w:after="0"/>
              <w:jc w:val="both"/>
              <w:rPr>
                <w:rFonts w:ascii="Times New Roman" w:hAnsi="Times New Roman" w:cs="Times New Roman"/>
                <w:noProof/>
              </w:rPr>
            </w:pPr>
            <w:r>
              <w:rPr>
                <w:rFonts w:ascii="Times New Roman" w:hAnsi="Times New Roman"/>
                <w:noProof/>
              </w:rPr>
              <w:t>Semnarea contractelor de aprovizionare</w:t>
            </w:r>
          </w:p>
        </w:tc>
      </w:tr>
      <w:tr w:rsidR="000A27B3" w:rsidRPr="000A27B3" w14:paraId="6CB1AD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2A30CE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 xml:space="preserve">353 </w:t>
            </w:r>
          </w:p>
        </w:tc>
        <w:tc>
          <w:tcPr>
            <w:tcW w:w="3544" w:type="dxa"/>
            <w:tcBorders>
              <w:top w:val="nil"/>
              <w:left w:val="nil"/>
              <w:bottom w:val="single" w:sz="4" w:space="0" w:color="auto"/>
              <w:right w:val="single" w:sz="4" w:space="0" w:color="auto"/>
            </w:tcBorders>
            <w:shd w:val="clear" w:color="auto" w:fill="C6EFCE"/>
            <w:noWrap/>
          </w:tcPr>
          <w:p w14:paraId="1431C05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C12.R1</w:t>
            </w:r>
          </w:p>
          <w:p w14:paraId="53ABE68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capacității pentru gestionarea fondurilor publice din sănătate </w:t>
            </w:r>
          </w:p>
        </w:tc>
        <w:tc>
          <w:tcPr>
            <w:tcW w:w="1275" w:type="dxa"/>
            <w:tcBorders>
              <w:top w:val="nil"/>
              <w:left w:val="nil"/>
              <w:bottom w:val="single" w:sz="4" w:space="0" w:color="auto"/>
              <w:right w:val="single" w:sz="4" w:space="0" w:color="auto"/>
            </w:tcBorders>
            <w:shd w:val="clear" w:color="auto" w:fill="C6EFCE"/>
            <w:noWrap/>
          </w:tcPr>
          <w:p w14:paraId="04B8841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Jalon</w:t>
            </w:r>
          </w:p>
        </w:tc>
        <w:tc>
          <w:tcPr>
            <w:tcW w:w="3402" w:type="dxa"/>
            <w:tcBorders>
              <w:top w:val="nil"/>
              <w:left w:val="nil"/>
              <w:bottom w:val="single" w:sz="4" w:space="0" w:color="auto"/>
              <w:right w:val="single" w:sz="4" w:space="0" w:color="auto"/>
            </w:tcBorders>
            <w:shd w:val="clear" w:color="auto" w:fill="C6EFCE"/>
            <w:noWrap/>
          </w:tcPr>
          <w:p w14:paraId="35B1450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modificării legislative necesare pentru a include rezultatele revizuirii cheltuielilor bugetare în procesul bugetar</w:t>
            </w:r>
          </w:p>
        </w:tc>
      </w:tr>
      <w:tr w:rsidR="000A27B3" w:rsidRPr="000A27B3" w14:paraId="78E93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75FBB8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459</w:t>
            </w:r>
          </w:p>
        </w:tc>
        <w:tc>
          <w:tcPr>
            <w:tcW w:w="3544" w:type="dxa"/>
            <w:tcBorders>
              <w:top w:val="nil"/>
              <w:left w:val="nil"/>
              <w:bottom w:val="single" w:sz="4" w:space="0" w:color="auto"/>
              <w:right w:val="single" w:sz="4" w:space="0" w:color="auto"/>
            </w:tcBorders>
            <w:shd w:val="clear" w:color="auto" w:fill="C6EFCE"/>
            <w:noWrap/>
          </w:tcPr>
          <w:p w14:paraId="2EAA1E8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C15.I2</w:t>
            </w:r>
          </w:p>
          <w:p w14:paraId="4F6318C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Înființarea, echiparea și operaționalizarea a 412 servicii complementare pentru grupurile defavorizate</w:t>
            </w:r>
          </w:p>
        </w:tc>
        <w:tc>
          <w:tcPr>
            <w:tcW w:w="1275" w:type="dxa"/>
            <w:tcBorders>
              <w:top w:val="nil"/>
              <w:left w:val="nil"/>
              <w:bottom w:val="single" w:sz="4" w:space="0" w:color="auto"/>
              <w:right w:val="single" w:sz="4" w:space="0" w:color="auto"/>
            </w:tcBorders>
            <w:shd w:val="clear" w:color="auto" w:fill="C6EFCE"/>
            <w:noWrap/>
          </w:tcPr>
          <w:p w14:paraId="27BB944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233D1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Servicii complementare înființate, echipate și operaționale</w:t>
            </w:r>
          </w:p>
        </w:tc>
      </w:tr>
      <w:tr w:rsidR="000A27B3" w:rsidRPr="000A27B3" w14:paraId="158D5A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0D674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60</w:t>
            </w:r>
          </w:p>
        </w:tc>
        <w:tc>
          <w:tcPr>
            <w:tcW w:w="3544" w:type="dxa"/>
            <w:tcBorders>
              <w:top w:val="nil"/>
              <w:left w:val="nil"/>
              <w:bottom w:val="single" w:sz="4" w:space="0" w:color="auto"/>
              <w:right w:val="single" w:sz="4" w:space="0" w:color="auto"/>
            </w:tcBorders>
            <w:shd w:val="clear" w:color="auto" w:fill="C6EFCE"/>
            <w:noWrap/>
          </w:tcPr>
          <w:p w14:paraId="6B40834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p>
          <w:p w14:paraId="24F9559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Transport sustenabil, decarbonizare și siguranță rutieră /</w:t>
            </w:r>
          </w:p>
          <w:p w14:paraId="0C558C8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Decarbonizarea rutieră în conformitate cu principiul „poluatorul plătește”</w:t>
            </w:r>
          </w:p>
        </w:tc>
        <w:tc>
          <w:tcPr>
            <w:tcW w:w="1275" w:type="dxa"/>
            <w:tcBorders>
              <w:top w:val="nil"/>
              <w:left w:val="nil"/>
              <w:bottom w:val="single" w:sz="4" w:space="0" w:color="auto"/>
              <w:right w:val="single" w:sz="4" w:space="0" w:color="auto"/>
            </w:tcBorders>
            <w:shd w:val="clear" w:color="auto" w:fill="C6EFCE"/>
            <w:noWrap/>
          </w:tcPr>
          <w:p w14:paraId="48FDB90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8AFA6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pentru stimularea utilizării de vehicule nepoluante și programe de reînnoire a parcului auto de către utilizatori casnici, companii private și instituții publice</w:t>
            </w:r>
          </w:p>
        </w:tc>
      </w:tr>
      <w:tr w:rsidR="000A27B3" w:rsidRPr="000A27B3" w14:paraId="14C930F7" w14:textId="77777777" w:rsidTr="00CA23DD">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CD4D9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392</w:t>
            </w:r>
          </w:p>
        </w:tc>
        <w:tc>
          <w:tcPr>
            <w:tcW w:w="3544" w:type="dxa"/>
            <w:tcBorders>
              <w:top w:val="nil"/>
              <w:left w:val="nil"/>
              <w:bottom w:val="single" w:sz="4" w:space="0" w:color="auto"/>
              <w:right w:val="single" w:sz="4" w:space="0" w:color="auto"/>
            </w:tcBorders>
            <w:shd w:val="clear" w:color="auto" w:fill="C6EFCE"/>
            <w:noWrap/>
          </w:tcPr>
          <w:p w14:paraId="6126F7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C13.R5</w:t>
            </w:r>
          </w:p>
          <w:p w14:paraId="2EFD017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Asigurarea stabilirii unui salariu minim </w:t>
            </w:r>
          </w:p>
        </w:tc>
        <w:tc>
          <w:tcPr>
            <w:tcW w:w="1275" w:type="dxa"/>
            <w:tcBorders>
              <w:top w:val="nil"/>
              <w:left w:val="nil"/>
              <w:bottom w:val="single" w:sz="4" w:space="0" w:color="auto"/>
              <w:right w:val="single" w:sz="4" w:space="0" w:color="auto"/>
            </w:tcBorders>
            <w:shd w:val="clear" w:color="auto" w:fill="C6EFCE"/>
            <w:noWrap/>
            <w:vAlign w:val="center"/>
          </w:tcPr>
          <w:p w14:paraId="3B2ECA9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vAlign w:val="center"/>
          </w:tcPr>
          <w:p w14:paraId="0D1FB75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actului care reglementează noul sistem de stabilire a salariului minim</w:t>
            </w:r>
          </w:p>
        </w:tc>
      </w:tr>
      <w:tr w:rsidR="000A27B3" w:rsidRPr="000A27B3" w14:paraId="634043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5683B9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360</w:t>
            </w:r>
          </w:p>
        </w:tc>
        <w:tc>
          <w:tcPr>
            <w:tcW w:w="3544" w:type="dxa"/>
            <w:tcBorders>
              <w:top w:val="nil"/>
              <w:left w:val="nil"/>
              <w:bottom w:val="single" w:sz="4" w:space="0" w:color="auto"/>
              <w:right w:val="single" w:sz="4" w:space="0" w:color="auto"/>
            </w:tcBorders>
            <w:shd w:val="clear" w:color="auto" w:fill="C6EFCE"/>
            <w:noWrap/>
          </w:tcPr>
          <w:p w14:paraId="0AC2CAC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C12.R3</w:t>
            </w:r>
          </w:p>
          <w:p w14:paraId="6DE8F8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capacității pentru managementul serviciilor de sănătate și managementul resurselor umane din sănătate</w:t>
            </w:r>
          </w:p>
        </w:tc>
        <w:tc>
          <w:tcPr>
            <w:tcW w:w="1275" w:type="dxa"/>
            <w:tcBorders>
              <w:top w:val="nil"/>
              <w:left w:val="nil"/>
              <w:bottom w:val="single" w:sz="4" w:space="0" w:color="auto"/>
              <w:right w:val="single" w:sz="4" w:space="0" w:color="auto"/>
            </w:tcBorders>
            <w:shd w:val="clear" w:color="auto" w:fill="C6EFCE"/>
            <w:noWrap/>
          </w:tcPr>
          <w:p w14:paraId="1D9B9EC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6277855" w14:textId="5CF4A4AA"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Construirea și dotarea completă a 2 noi centre de dezvoltare a competențelor pentru personalul din sistemul public de sănătate </w:t>
            </w:r>
          </w:p>
        </w:tc>
      </w:tr>
      <w:tr w:rsidR="000A27B3" w:rsidRPr="000A27B3" w14:paraId="1D0F14A0" w14:textId="77777777" w:rsidTr="00CA23DD">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6F169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385</w:t>
            </w:r>
          </w:p>
        </w:tc>
        <w:tc>
          <w:tcPr>
            <w:tcW w:w="3544" w:type="dxa"/>
            <w:tcBorders>
              <w:top w:val="nil"/>
              <w:left w:val="nil"/>
              <w:bottom w:val="single" w:sz="4" w:space="0" w:color="auto"/>
              <w:right w:val="single" w:sz="4" w:space="0" w:color="auto"/>
            </w:tcBorders>
            <w:shd w:val="clear" w:color="auto" w:fill="C6EFCE"/>
            <w:noWrap/>
            <w:vAlign w:val="center"/>
          </w:tcPr>
          <w:p w14:paraId="47C23A9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C13.R3</w:t>
            </w:r>
          </w:p>
          <w:p w14:paraId="014E218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Implementarea venitului minim de incluziune (VMI)</w:t>
            </w:r>
          </w:p>
        </w:tc>
        <w:tc>
          <w:tcPr>
            <w:tcW w:w="1275" w:type="dxa"/>
            <w:tcBorders>
              <w:top w:val="nil"/>
              <w:left w:val="nil"/>
              <w:bottom w:val="single" w:sz="4" w:space="0" w:color="auto"/>
              <w:right w:val="single" w:sz="4" w:space="0" w:color="auto"/>
            </w:tcBorders>
            <w:shd w:val="clear" w:color="auto" w:fill="C6EFCE"/>
            <w:noWrap/>
            <w:vAlign w:val="center"/>
          </w:tcPr>
          <w:p w14:paraId="2D69D34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vAlign w:val="center"/>
          </w:tcPr>
          <w:p w14:paraId="4FDAEEF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Numărul de familii suplimentare eligibile pentru a beneficia de schema îmbunătățită </w:t>
            </w:r>
          </w:p>
        </w:tc>
      </w:tr>
      <w:tr w:rsidR="000A27B3" w:rsidRPr="000A27B3" w14:paraId="031E9E0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96FC7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374</w:t>
            </w:r>
          </w:p>
        </w:tc>
        <w:tc>
          <w:tcPr>
            <w:tcW w:w="3544" w:type="dxa"/>
            <w:tcBorders>
              <w:top w:val="nil"/>
              <w:left w:val="nil"/>
              <w:bottom w:val="single" w:sz="4" w:space="0" w:color="auto"/>
              <w:right w:val="single" w:sz="4" w:space="0" w:color="auto"/>
            </w:tcBorders>
            <w:shd w:val="clear" w:color="auto" w:fill="C6EFCE"/>
            <w:noWrap/>
          </w:tcPr>
          <w:p w14:paraId="49603FD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C12.I1</w:t>
            </w:r>
          </w:p>
          <w:p w14:paraId="0C7EEAF0" w14:textId="1ECC9BC6"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infrastructurii medicale prespitalicești </w:t>
            </w:r>
          </w:p>
        </w:tc>
        <w:tc>
          <w:tcPr>
            <w:tcW w:w="1275" w:type="dxa"/>
            <w:tcBorders>
              <w:top w:val="nil"/>
              <w:left w:val="nil"/>
              <w:bottom w:val="single" w:sz="4" w:space="0" w:color="auto"/>
              <w:right w:val="single" w:sz="4" w:space="0" w:color="auto"/>
            </w:tcBorders>
            <w:shd w:val="clear" w:color="auto" w:fill="C6EFCE"/>
            <w:noWrap/>
          </w:tcPr>
          <w:p w14:paraId="7C07B10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E1E7FE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Creșterea numărului de consultații preventive</w:t>
            </w:r>
          </w:p>
        </w:tc>
      </w:tr>
      <w:tr w:rsidR="000A27B3" w:rsidRPr="000A27B3" w14:paraId="7F3809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8A096A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375</w:t>
            </w:r>
          </w:p>
        </w:tc>
        <w:tc>
          <w:tcPr>
            <w:tcW w:w="3544" w:type="dxa"/>
            <w:tcBorders>
              <w:top w:val="nil"/>
              <w:left w:val="nil"/>
              <w:bottom w:val="single" w:sz="4" w:space="0" w:color="auto"/>
              <w:right w:val="single" w:sz="4" w:space="0" w:color="auto"/>
            </w:tcBorders>
            <w:shd w:val="clear" w:color="auto" w:fill="C6EFCE"/>
            <w:noWrap/>
          </w:tcPr>
          <w:p w14:paraId="53C176E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C12.I2</w:t>
            </w:r>
          </w:p>
          <w:p w14:paraId="3FFAE5F7" w14:textId="2570604D"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infrastructurii spitalicești publice </w:t>
            </w:r>
          </w:p>
        </w:tc>
        <w:tc>
          <w:tcPr>
            <w:tcW w:w="1275" w:type="dxa"/>
            <w:tcBorders>
              <w:top w:val="nil"/>
              <w:left w:val="nil"/>
              <w:bottom w:val="single" w:sz="4" w:space="0" w:color="auto"/>
              <w:right w:val="single" w:sz="4" w:space="0" w:color="auto"/>
            </w:tcBorders>
            <w:shd w:val="clear" w:color="auto" w:fill="C6EFCE"/>
            <w:noWrap/>
          </w:tcPr>
          <w:p w14:paraId="1755061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3D7F75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Spitale publice care beneficiază de echipamente și materiale destinate reducerii riscului de infecții</w:t>
            </w:r>
          </w:p>
        </w:tc>
      </w:tr>
      <w:tr w:rsidR="000A27B3" w:rsidRPr="000A27B3" w14:paraId="633866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3DF2D8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460</w:t>
            </w:r>
          </w:p>
        </w:tc>
        <w:tc>
          <w:tcPr>
            <w:tcW w:w="3544" w:type="dxa"/>
            <w:tcBorders>
              <w:top w:val="nil"/>
              <w:left w:val="nil"/>
              <w:bottom w:val="single" w:sz="4" w:space="0" w:color="auto"/>
              <w:right w:val="single" w:sz="4" w:space="0" w:color="auto"/>
            </w:tcBorders>
            <w:shd w:val="clear" w:color="auto" w:fill="C6EFCE"/>
            <w:noWrap/>
          </w:tcPr>
          <w:p w14:paraId="43E2E14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C15.I3</w:t>
            </w:r>
          </w:p>
          <w:p w14:paraId="71E9019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programului-cadru pentru formarea continuă a profesioniștilor care lucrează în servicii de educație timpurii</w:t>
            </w:r>
          </w:p>
        </w:tc>
        <w:tc>
          <w:tcPr>
            <w:tcW w:w="1275" w:type="dxa"/>
            <w:tcBorders>
              <w:top w:val="nil"/>
              <w:left w:val="nil"/>
              <w:bottom w:val="single" w:sz="4" w:space="0" w:color="auto"/>
              <w:right w:val="single" w:sz="4" w:space="0" w:color="auto"/>
            </w:tcBorders>
            <w:shd w:val="clear" w:color="auto" w:fill="C6EFCE"/>
            <w:noWrap/>
          </w:tcPr>
          <w:p w14:paraId="12EFACF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FCA69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Formatori instruiți în domeniul curricular și al monitorizării</w:t>
            </w:r>
          </w:p>
        </w:tc>
      </w:tr>
      <w:tr w:rsidR="000A27B3" w:rsidRPr="000A27B3" w14:paraId="0AF2F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5BA8D0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479</w:t>
            </w:r>
          </w:p>
        </w:tc>
        <w:tc>
          <w:tcPr>
            <w:tcW w:w="3544" w:type="dxa"/>
            <w:tcBorders>
              <w:top w:val="nil"/>
              <w:left w:val="nil"/>
              <w:bottom w:val="single" w:sz="4" w:space="0" w:color="auto"/>
              <w:right w:val="single" w:sz="4" w:space="0" w:color="auto"/>
            </w:tcBorders>
            <w:shd w:val="clear" w:color="auto" w:fill="C6EFCE"/>
            <w:noWrap/>
          </w:tcPr>
          <w:p w14:paraId="60C1A16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C15.R5</w:t>
            </w:r>
          </w:p>
          <w:p w14:paraId="7F5903E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Adoptarea cadrului legislativ pentru digitalizarea educației</w:t>
            </w:r>
          </w:p>
        </w:tc>
        <w:tc>
          <w:tcPr>
            <w:tcW w:w="1275" w:type="dxa"/>
            <w:tcBorders>
              <w:top w:val="nil"/>
              <w:left w:val="nil"/>
              <w:bottom w:val="single" w:sz="4" w:space="0" w:color="auto"/>
              <w:right w:val="single" w:sz="4" w:space="0" w:color="auto"/>
            </w:tcBorders>
            <w:shd w:val="clear" w:color="auto" w:fill="C6EFCE"/>
            <w:noWrap/>
          </w:tcPr>
          <w:p w14:paraId="14F7331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A70F85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de instituire a Cadrului național de referință pentru competențe digitale în învățământul preuniversitar</w:t>
            </w:r>
          </w:p>
        </w:tc>
      </w:tr>
      <w:tr w:rsidR="000A27B3" w:rsidRPr="000A27B3" w14:paraId="39D929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DD6D6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491</w:t>
            </w:r>
          </w:p>
        </w:tc>
        <w:tc>
          <w:tcPr>
            <w:tcW w:w="3544" w:type="dxa"/>
            <w:tcBorders>
              <w:top w:val="nil"/>
              <w:left w:val="nil"/>
              <w:bottom w:val="single" w:sz="4" w:space="0" w:color="auto"/>
              <w:right w:val="single" w:sz="4" w:space="0" w:color="auto"/>
            </w:tcBorders>
            <w:shd w:val="clear" w:color="auto" w:fill="C6EFCE"/>
            <w:noWrap/>
          </w:tcPr>
          <w:p w14:paraId="17BB04C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C15.I11</w:t>
            </w:r>
          </w:p>
          <w:p w14:paraId="7CB3F40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dotărilor sălilor de clasă și a laboratoarelor/atelierelor școlare din sistemul preuniversitar</w:t>
            </w:r>
          </w:p>
        </w:tc>
        <w:tc>
          <w:tcPr>
            <w:tcW w:w="1275" w:type="dxa"/>
            <w:tcBorders>
              <w:top w:val="nil"/>
              <w:left w:val="nil"/>
              <w:bottom w:val="single" w:sz="4" w:space="0" w:color="auto"/>
              <w:right w:val="single" w:sz="4" w:space="0" w:color="auto"/>
            </w:tcBorders>
            <w:shd w:val="clear" w:color="auto" w:fill="C6EFCE"/>
            <w:noWrap/>
          </w:tcPr>
          <w:p w14:paraId="1EA59C4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269A48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Numărul sălilor de clasă dotate cu mobilier</w:t>
            </w:r>
          </w:p>
        </w:tc>
      </w:tr>
      <w:tr w:rsidR="000A27B3" w:rsidRPr="000A27B3" w14:paraId="2FD55F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1733C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492</w:t>
            </w:r>
          </w:p>
        </w:tc>
        <w:tc>
          <w:tcPr>
            <w:tcW w:w="3544" w:type="dxa"/>
            <w:tcBorders>
              <w:top w:val="nil"/>
              <w:left w:val="nil"/>
              <w:bottom w:val="single" w:sz="4" w:space="0" w:color="auto"/>
              <w:right w:val="single" w:sz="4" w:space="0" w:color="auto"/>
            </w:tcBorders>
            <w:shd w:val="clear" w:color="auto" w:fill="C6EFCE"/>
            <w:noWrap/>
          </w:tcPr>
          <w:p w14:paraId="2429684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C15.I11</w:t>
            </w:r>
          </w:p>
          <w:p w14:paraId="63932F1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dotărilor sălilor de clasă și a laboratoarelor/atelierelor școlare din sistemul preuniversitar</w:t>
            </w:r>
          </w:p>
        </w:tc>
        <w:tc>
          <w:tcPr>
            <w:tcW w:w="1275" w:type="dxa"/>
            <w:tcBorders>
              <w:top w:val="nil"/>
              <w:left w:val="nil"/>
              <w:bottom w:val="single" w:sz="4" w:space="0" w:color="auto"/>
              <w:right w:val="single" w:sz="4" w:space="0" w:color="auto"/>
            </w:tcBorders>
            <w:shd w:val="clear" w:color="auto" w:fill="C6EFCE"/>
            <w:noWrap/>
          </w:tcPr>
          <w:p w14:paraId="2083168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004B66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Număr de laboratoare/cabinete echipate</w:t>
            </w:r>
          </w:p>
        </w:tc>
      </w:tr>
      <w:tr w:rsidR="000A27B3" w:rsidRPr="000A27B3" w14:paraId="66B55E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C0C7B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204</w:t>
            </w:r>
          </w:p>
        </w:tc>
        <w:tc>
          <w:tcPr>
            <w:tcW w:w="3544" w:type="dxa"/>
            <w:tcBorders>
              <w:top w:val="nil"/>
              <w:left w:val="nil"/>
              <w:bottom w:val="single" w:sz="4" w:space="0" w:color="auto"/>
              <w:right w:val="single" w:sz="4" w:space="0" w:color="auto"/>
            </w:tcBorders>
            <w:shd w:val="clear" w:color="auto" w:fill="C6EFCE"/>
            <w:noWrap/>
          </w:tcPr>
          <w:p w14:paraId="29BBC47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C8.R3</w:t>
            </w:r>
          </w:p>
          <w:p w14:paraId="236C565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mecanismului de programare bugetară</w:t>
            </w:r>
          </w:p>
        </w:tc>
        <w:tc>
          <w:tcPr>
            <w:tcW w:w="1275" w:type="dxa"/>
            <w:tcBorders>
              <w:top w:val="nil"/>
              <w:left w:val="nil"/>
              <w:bottom w:val="single" w:sz="4" w:space="0" w:color="auto"/>
              <w:right w:val="single" w:sz="4" w:space="0" w:color="auto"/>
            </w:tcBorders>
            <w:shd w:val="clear" w:color="auto" w:fill="C6EFCE"/>
            <w:noWrap/>
          </w:tcPr>
          <w:p w14:paraId="0E39AE1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5D8515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prin care Consiliului Fiscal i se încredințează sarcina de a realiza o evaluare periodică a impactului analizelor cheltuielilor și de a elabora unui raport de punere în aplicare</w:t>
            </w:r>
          </w:p>
        </w:tc>
      </w:tr>
      <w:tr w:rsidR="000A27B3" w:rsidRPr="000A27B3" w14:paraId="23F3ED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E9FF6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218</w:t>
            </w:r>
          </w:p>
        </w:tc>
        <w:tc>
          <w:tcPr>
            <w:tcW w:w="3544" w:type="dxa"/>
            <w:tcBorders>
              <w:top w:val="nil"/>
              <w:left w:val="nil"/>
              <w:bottom w:val="single" w:sz="4" w:space="0" w:color="auto"/>
              <w:right w:val="single" w:sz="4" w:space="0" w:color="auto"/>
            </w:tcBorders>
            <w:shd w:val="clear" w:color="auto" w:fill="C6EFCE"/>
            <w:noWrap/>
          </w:tcPr>
          <w:p w14:paraId="69F8925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C8.I1</w:t>
            </w:r>
          </w:p>
          <w:p w14:paraId="001432F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Creșterea conformării voluntare a contribuabililor prin dezvoltarea serviciilor digitale</w:t>
            </w:r>
          </w:p>
        </w:tc>
        <w:tc>
          <w:tcPr>
            <w:tcW w:w="1275" w:type="dxa"/>
            <w:tcBorders>
              <w:top w:val="nil"/>
              <w:left w:val="nil"/>
              <w:bottom w:val="single" w:sz="4" w:space="0" w:color="auto"/>
              <w:right w:val="single" w:sz="4" w:space="0" w:color="auto"/>
            </w:tcBorders>
            <w:shd w:val="clear" w:color="auto" w:fill="C6EFCE"/>
            <w:noWrap/>
          </w:tcPr>
          <w:p w14:paraId="21F2CE4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AE0FA6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Operaționalizarea platformei de licitații online pentru evaluarea bunurilor imobile și mobile cu o valoare semnificativă (în funcție de tipul de activ)</w:t>
            </w:r>
          </w:p>
        </w:tc>
      </w:tr>
      <w:tr w:rsidR="000A27B3" w:rsidRPr="000A27B3" w14:paraId="2B00C8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FE2BA4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466</w:t>
            </w:r>
          </w:p>
        </w:tc>
        <w:tc>
          <w:tcPr>
            <w:tcW w:w="3544" w:type="dxa"/>
            <w:tcBorders>
              <w:top w:val="nil"/>
              <w:left w:val="nil"/>
              <w:bottom w:val="single" w:sz="4" w:space="0" w:color="auto"/>
              <w:right w:val="single" w:sz="4" w:space="0" w:color="auto"/>
            </w:tcBorders>
            <w:shd w:val="clear" w:color="auto" w:fill="C6EFCE"/>
            <w:noWrap/>
          </w:tcPr>
          <w:p w14:paraId="1811D8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C15.I4</w:t>
            </w:r>
          </w:p>
          <w:p w14:paraId="7FBD500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Sprijinirea unităților de învățământ cu risc ridicat de abandon școlar</w:t>
            </w:r>
          </w:p>
        </w:tc>
        <w:tc>
          <w:tcPr>
            <w:tcW w:w="1275" w:type="dxa"/>
            <w:tcBorders>
              <w:top w:val="nil"/>
              <w:left w:val="nil"/>
              <w:bottom w:val="single" w:sz="4" w:space="0" w:color="auto"/>
              <w:right w:val="single" w:sz="4" w:space="0" w:color="auto"/>
            </w:tcBorders>
            <w:shd w:val="clear" w:color="auto" w:fill="C6EFCE"/>
            <w:noWrap/>
          </w:tcPr>
          <w:p w14:paraId="1CB3DD4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B3CEA9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Unități de învățământ cărora li s-a acordat un grant (lotul 2)</w:t>
            </w:r>
          </w:p>
        </w:tc>
      </w:tr>
      <w:tr w:rsidR="000A27B3" w:rsidRPr="000A27B3" w14:paraId="65E31BA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16A79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515</w:t>
            </w:r>
          </w:p>
        </w:tc>
        <w:tc>
          <w:tcPr>
            <w:tcW w:w="3544" w:type="dxa"/>
            <w:tcBorders>
              <w:top w:val="nil"/>
              <w:left w:val="nil"/>
              <w:bottom w:val="single" w:sz="4" w:space="0" w:color="auto"/>
              <w:right w:val="single" w:sz="4" w:space="0" w:color="auto"/>
            </w:tcBorders>
            <w:shd w:val="clear" w:color="auto" w:fill="C6EFCE"/>
            <w:noWrap/>
          </w:tcPr>
          <w:p w14:paraId="78280E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C16.I4</w:t>
            </w:r>
          </w:p>
          <w:p w14:paraId="33B1781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Schema de granturi sub formă de bonuri valorice pentru accelerarea utilizării energiei din surse regenerabile de către gospodării</w:t>
            </w:r>
          </w:p>
        </w:tc>
        <w:tc>
          <w:tcPr>
            <w:tcW w:w="1275" w:type="dxa"/>
            <w:tcBorders>
              <w:top w:val="nil"/>
              <w:left w:val="nil"/>
              <w:bottom w:val="single" w:sz="4" w:space="0" w:color="auto"/>
              <w:right w:val="single" w:sz="4" w:space="0" w:color="auto"/>
            </w:tcBorders>
            <w:shd w:val="clear" w:color="auto" w:fill="C6EFCE"/>
            <w:noWrap/>
          </w:tcPr>
          <w:p w14:paraId="3A58442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73B381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Lansarea cererilor de propuneri de proiecte</w:t>
            </w:r>
          </w:p>
        </w:tc>
      </w:tr>
      <w:tr w:rsidR="00981F92" w:rsidRPr="000A27B3" w14:paraId="61DB7FC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54A98F77"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07F1BD59" w14:textId="77777777" w:rsidR="00981F92" w:rsidRPr="009F1DC7" w:rsidRDefault="00981F92">
            <w:pPr>
              <w:spacing w:after="0"/>
              <w:jc w:val="both"/>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5FF9AF2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08C0A736" w14:textId="326AF8FF"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1 351 912 566 EUR</w:t>
            </w:r>
          </w:p>
        </w:tc>
      </w:tr>
    </w:tbl>
    <w:p w14:paraId="3CC117B5" w14:textId="77777777" w:rsidR="00981F92" w:rsidRPr="000A27B3" w:rsidRDefault="00981F92">
      <w:pPr>
        <w:rPr>
          <w:rFonts w:ascii="Times New Roman" w:hAnsi="Times New Roman" w:cs="Times New Roman"/>
          <w:noProof/>
          <w:sz w:val="24"/>
          <w:szCs w:val="24"/>
        </w:rPr>
      </w:pPr>
      <w:r>
        <w:rPr>
          <w:noProof/>
        </w:rPr>
        <w:br w:type="page"/>
      </w:r>
    </w:p>
    <w:p w14:paraId="56B7599D" w14:textId="77777777" w:rsidR="00981F92" w:rsidRPr="000A27B3" w:rsidRDefault="00981F92">
      <w:pPr>
        <w:pStyle w:val="Heading3"/>
        <w:rPr>
          <w:noProof/>
          <w:szCs w:val="24"/>
        </w:rPr>
      </w:pPr>
      <w:r>
        <w:rPr>
          <w:noProof/>
        </w:rPr>
        <w:t xml:space="preserve">A șasea tranșă (sprijin nerambursabil): </w:t>
      </w:r>
    </w:p>
    <w:tbl>
      <w:tblPr>
        <w:tblW w:w="9634" w:type="dxa"/>
        <w:tblInd w:w="113" w:type="dxa"/>
        <w:tblLook w:val="04A0" w:firstRow="1" w:lastRow="0" w:firstColumn="1" w:lastColumn="0" w:noHBand="0" w:noVBand="1"/>
      </w:tblPr>
      <w:tblGrid>
        <w:gridCol w:w="1422"/>
        <w:gridCol w:w="3534"/>
        <w:gridCol w:w="1285"/>
        <w:gridCol w:w="3393"/>
      </w:tblGrid>
      <w:tr w:rsidR="00981F92" w:rsidRPr="000A27B3" w14:paraId="61E1D52D" w14:textId="77777777">
        <w:trPr>
          <w:trHeight w:val="906"/>
          <w:tblHeader/>
        </w:trPr>
        <w:tc>
          <w:tcPr>
            <w:tcW w:w="1422"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2F5B43A"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3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70FE6E5"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7819A027"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8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A21E485"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393"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5148689B"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53CE5DE2" w14:textId="77777777">
        <w:trPr>
          <w:trHeight w:val="509"/>
          <w:tblHeader/>
        </w:trPr>
        <w:tc>
          <w:tcPr>
            <w:tcW w:w="1422" w:type="dxa"/>
            <w:vMerge/>
            <w:tcBorders>
              <w:top w:val="single" w:sz="4" w:space="0" w:color="auto"/>
              <w:left w:val="single" w:sz="4" w:space="0" w:color="auto"/>
              <w:bottom w:val="single" w:sz="4" w:space="0" w:color="000000"/>
              <w:right w:val="single" w:sz="4" w:space="0" w:color="auto"/>
            </w:tcBorders>
            <w:vAlign w:val="center"/>
            <w:hideMark/>
          </w:tcPr>
          <w:p w14:paraId="2FBC1B81" w14:textId="77777777" w:rsidR="00981F92" w:rsidRPr="000A27B3" w:rsidRDefault="00981F92">
            <w:pPr>
              <w:spacing w:after="0"/>
              <w:rPr>
                <w:rFonts w:ascii="Times New Roman" w:eastAsia="Times New Roman" w:hAnsi="Times New Roman" w:cs="Times New Roman"/>
                <w:b/>
                <w:bCs/>
                <w:noProof/>
                <w:lang w:eastAsia="en-GB"/>
              </w:rPr>
            </w:pPr>
          </w:p>
        </w:tc>
        <w:tc>
          <w:tcPr>
            <w:tcW w:w="3534" w:type="dxa"/>
            <w:vMerge/>
            <w:tcBorders>
              <w:top w:val="single" w:sz="4" w:space="0" w:color="auto"/>
              <w:left w:val="single" w:sz="4" w:space="0" w:color="auto"/>
              <w:bottom w:val="single" w:sz="4" w:space="0" w:color="000000"/>
              <w:right w:val="single" w:sz="4" w:space="0" w:color="auto"/>
            </w:tcBorders>
            <w:vAlign w:val="center"/>
            <w:hideMark/>
          </w:tcPr>
          <w:p w14:paraId="5E77FCE0"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85" w:type="dxa"/>
            <w:vMerge/>
            <w:tcBorders>
              <w:top w:val="single" w:sz="4" w:space="0" w:color="auto"/>
              <w:left w:val="single" w:sz="4" w:space="0" w:color="auto"/>
              <w:bottom w:val="single" w:sz="4" w:space="0" w:color="000000"/>
              <w:right w:val="single" w:sz="4" w:space="0" w:color="auto"/>
            </w:tcBorders>
            <w:vAlign w:val="center"/>
            <w:hideMark/>
          </w:tcPr>
          <w:p w14:paraId="3C2D157C"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393" w:type="dxa"/>
            <w:vMerge/>
            <w:tcBorders>
              <w:top w:val="single" w:sz="4" w:space="0" w:color="auto"/>
              <w:left w:val="nil"/>
              <w:bottom w:val="single" w:sz="4" w:space="0" w:color="000000"/>
              <w:right w:val="single" w:sz="4" w:space="0" w:color="auto"/>
            </w:tcBorders>
            <w:vAlign w:val="center"/>
            <w:hideMark/>
          </w:tcPr>
          <w:p w14:paraId="289E1668" w14:textId="77777777" w:rsidR="00981F92" w:rsidRPr="000A27B3" w:rsidRDefault="00981F92">
            <w:pPr>
              <w:spacing w:after="0"/>
              <w:jc w:val="both"/>
              <w:rPr>
                <w:rFonts w:ascii="Times New Roman" w:eastAsia="Times New Roman" w:hAnsi="Times New Roman" w:cs="Times New Roman"/>
                <w:b/>
                <w:bCs/>
                <w:noProof/>
                <w:lang w:eastAsia="en-GB"/>
              </w:rPr>
            </w:pPr>
          </w:p>
        </w:tc>
      </w:tr>
      <w:tr w:rsidR="000A27B3" w:rsidRPr="000A27B3" w14:paraId="27F00301"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EF49998" w14:textId="4CDF1BD0" w:rsidR="00981F92" w:rsidRPr="000A27B3" w:rsidRDefault="00981F92">
            <w:pPr>
              <w:spacing w:after="0"/>
              <w:jc w:val="center"/>
              <w:rPr>
                <w:rFonts w:ascii="Times New Roman" w:hAnsi="Times New Roman" w:cs="Times New Roman"/>
                <w:noProof/>
              </w:rPr>
            </w:pPr>
            <w:r>
              <w:rPr>
                <w:rFonts w:ascii="Times New Roman" w:hAnsi="Times New Roman"/>
                <w:noProof/>
              </w:rPr>
              <w:t>29</w:t>
            </w:r>
          </w:p>
        </w:tc>
        <w:tc>
          <w:tcPr>
            <w:tcW w:w="3534" w:type="dxa"/>
            <w:tcBorders>
              <w:top w:val="nil"/>
              <w:left w:val="nil"/>
              <w:bottom w:val="single" w:sz="4" w:space="0" w:color="auto"/>
              <w:right w:val="single" w:sz="4" w:space="0" w:color="auto"/>
            </w:tcBorders>
            <w:shd w:val="clear" w:color="auto" w:fill="C6EFCE"/>
            <w:noWrap/>
          </w:tcPr>
          <w:p w14:paraId="78B524A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C2.I2</w:t>
            </w:r>
          </w:p>
          <w:p w14:paraId="15661B2C" w14:textId="07DF42F1" w:rsidR="00981F92" w:rsidRPr="000A27B3" w:rsidRDefault="00981F92">
            <w:pPr>
              <w:spacing w:after="0"/>
              <w:jc w:val="both"/>
              <w:rPr>
                <w:rFonts w:ascii="Times New Roman" w:hAnsi="Times New Roman" w:cs="Times New Roman"/>
                <w:noProof/>
              </w:rPr>
            </w:pPr>
            <w:r>
              <w:rPr>
                <w:rFonts w:ascii="Times New Roman" w:hAnsi="Times New Roman"/>
                <w:noProof/>
              </w:rPr>
              <w:t>Dezvoltarea de capacități moderne de producere a materialului forestier de reproducere</w:t>
            </w:r>
          </w:p>
        </w:tc>
        <w:tc>
          <w:tcPr>
            <w:tcW w:w="1285" w:type="dxa"/>
            <w:tcBorders>
              <w:top w:val="nil"/>
              <w:left w:val="nil"/>
              <w:bottom w:val="single" w:sz="4" w:space="0" w:color="auto"/>
              <w:right w:val="single" w:sz="4" w:space="0" w:color="auto"/>
            </w:tcBorders>
            <w:shd w:val="clear" w:color="auto" w:fill="C6EFCE"/>
            <w:noWrap/>
          </w:tcPr>
          <w:p w14:paraId="092D1299" w14:textId="1B17DAC4"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212F201F" w14:textId="53A07564" w:rsidR="00981F92" w:rsidRPr="000A27B3" w:rsidRDefault="00981F92">
            <w:pPr>
              <w:spacing w:after="0"/>
              <w:jc w:val="both"/>
              <w:rPr>
                <w:rFonts w:ascii="Times New Roman" w:hAnsi="Times New Roman" w:cs="Times New Roman"/>
                <w:noProof/>
              </w:rPr>
            </w:pPr>
            <w:r>
              <w:rPr>
                <w:rFonts w:ascii="Times New Roman" w:hAnsi="Times New Roman"/>
                <w:noProof/>
              </w:rPr>
              <w:t>Pepiniere noi și renovate operaționale (înființate sau modernizate)</w:t>
            </w:r>
          </w:p>
        </w:tc>
      </w:tr>
      <w:tr w:rsidR="000A27B3" w:rsidRPr="000A27B3" w14:paraId="7D458960"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3DB00A9D" w14:textId="4DC46BC6" w:rsidR="00981F92" w:rsidRPr="000A27B3" w:rsidRDefault="00981F92">
            <w:pPr>
              <w:spacing w:after="0"/>
              <w:jc w:val="center"/>
              <w:rPr>
                <w:rFonts w:ascii="Times New Roman" w:hAnsi="Times New Roman" w:cs="Times New Roman"/>
                <w:noProof/>
              </w:rPr>
            </w:pPr>
            <w:r>
              <w:rPr>
                <w:rFonts w:ascii="Times New Roman" w:hAnsi="Times New Roman"/>
                <w:noProof/>
              </w:rPr>
              <w:t>482</w:t>
            </w:r>
          </w:p>
        </w:tc>
        <w:tc>
          <w:tcPr>
            <w:tcW w:w="3534" w:type="dxa"/>
            <w:tcBorders>
              <w:top w:val="nil"/>
              <w:left w:val="nil"/>
              <w:bottom w:val="single" w:sz="4" w:space="0" w:color="auto"/>
              <w:right w:val="single" w:sz="4" w:space="0" w:color="auto"/>
            </w:tcBorders>
            <w:shd w:val="clear" w:color="auto" w:fill="C6EFCE"/>
            <w:noWrap/>
          </w:tcPr>
          <w:p w14:paraId="25940D4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C15.I9</w:t>
            </w:r>
          </w:p>
          <w:p w14:paraId="0285AD8E" w14:textId="7C381B15" w:rsidR="00981F92" w:rsidRPr="000A27B3" w:rsidRDefault="00981F92">
            <w:pPr>
              <w:spacing w:after="0"/>
              <w:jc w:val="both"/>
              <w:rPr>
                <w:rFonts w:ascii="Times New Roman" w:hAnsi="Times New Roman" w:cs="Times New Roman"/>
                <w:noProof/>
              </w:rPr>
            </w:pPr>
            <w:r>
              <w:rPr>
                <w:rFonts w:ascii="Times New Roman" w:hAnsi="Times New Roman"/>
                <w:noProof/>
              </w:rPr>
              <w:t>Asigurarea echipamentelor și a resurselor tehnologice digitale pentru unitățile de învățământ</w:t>
            </w:r>
          </w:p>
        </w:tc>
        <w:tc>
          <w:tcPr>
            <w:tcW w:w="1285" w:type="dxa"/>
            <w:tcBorders>
              <w:top w:val="nil"/>
              <w:left w:val="nil"/>
              <w:bottom w:val="single" w:sz="4" w:space="0" w:color="auto"/>
              <w:right w:val="single" w:sz="4" w:space="0" w:color="auto"/>
            </w:tcBorders>
            <w:shd w:val="clear" w:color="auto" w:fill="C6EFCE"/>
            <w:noWrap/>
          </w:tcPr>
          <w:p w14:paraId="5D5FD629" w14:textId="0F73E5EC"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40A7B7DE" w14:textId="2ECFB8DF" w:rsidR="00981F92" w:rsidRPr="000A27B3" w:rsidRDefault="00981F92">
            <w:pPr>
              <w:spacing w:after="0"/>
              <w:jc w:val="both"/>
              <w:rPr>
                <w:rFonts w:ascii="Times New Roman" w:hAnsi="Times New Roman" w:cs="Times New Roman"/>
                <w:noProof/>
              </w:rPr>
            </w:pPr>
            <w:r>
              <w:rPr>
                <w:rFonts w:ascii="Times New Roman" w:hAnsi="Times New Roman"/>
                <w:noProof/>
              </w:rPr>
              <w:t>Școli care dispun de resurse tehnologice noi pentru echiparea laboratoarelor de informatică</w:t>
            </w:r>
          </w:p>
        </w:tc>
      </w:tr>
      <w:tr w:rsidR="000A27B3" w:rsidRPr="000A27B3" w14:paraId="43DD9FEF"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6FB41DE2" w14:textId="71F4138F" w:rsidR="00981F92" w:rsidRPr="000A27B3" w:rsidRDefault="00981F92">
            <w:pPr>
              <w:spacing w:after="0"/>
              <w:jc w:val="center"/>
              <w:rPr>
                <w:rFonts w:ascii="Times New Roman" w:hAnsi="Times New Roman" w:cs="Times New Roman"/>
                <w:noProof/>
              </w:rPr>
            </w:pPr>
            <w:r>
              <w:rPr>
                <w:rFonts w:ascii="Times New Roman" w:hAnsi="Times New Roman"/>
                <w:noProof/>
              </w:rPr>
              <w:t>67</w:t>
            </w:r>
          </w:p>
        </w:tc>
        <w:tc>
          <w:tcPr>
            <w:tcW w:w="3534" w:type="dxa"/>
            <w:tcBorders>
              <w:top w:val="nil"/>
              <w:left w:val="nil"/>
              <w:bottom w:val="single" w:sz="4" w:space="0" w:color="auto"/>
              <w:right w:val="single" w:sz="4" w:space="0" w:color="auto"/>
            </w:tcBorders>
            <w:shd w:val="clear" w:color="auto" w:fill="C6EFCE"/>
            <w:noWrap/>
          </w:tcPr>
          <w:p w14:paraId="6BEB6A9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p>
          <w:p w14:paraId="272C42CF" w14:textId="4891951F" w:rsidR="00981F92" w:rsidRPr="000A27B3" w:rsidRDefault="00981F92">
            <w:pPr>
              <w:spacing w:after="0"/>
              <w:jc w:val="both"/>
              <w:rPr>
                <w:rFonts w:ascii="Times New Roman" w:hAnsi="Times New Roman" w:cs="Times New Roman"/>
                <w:noProof/>
              </w:rPr>
            </w:pPr>
            <w:r>
              <w:rPr>
                <w:rFonts w:ascii="Times New Roman" w:hAnsi="Times New Roman"/>
                <w:noProof/>
              </w:rPr>
              <w:t>Transport sustenabil, decarbonizare și siguranță rutieră / Siguranță rutieră</w:t>
            </w:r>
          </w:p>
        </w:tc>
        <w:tc>
          <w:tcPr>
            <w:tcW w:w="1285" w:type="dxa"/>
            <w:tcBorders>
              <w:top w:val="nil"/>
              <w:left w:val="nil"/>
              <w:bottom w:val="single" w:sz="4" w:space="0" w:color="auto"/>
              <w:right w:val="single" w:sz="4" w:space="0" w:color="auto"/>
            </w:tcBorders>
            <w:shd w:val="clear" w:color="auto" w:fill="C6EFCE"/>
            <w:noWrap/>
          </w:tcPr>
          <w:p w14:paraId="680BC5B4" w14:textId="141294A4"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26AC87AC" w14:textId="65F82A04" w:rsidR="00981F92" w:rsidRPr="000A27B3" w:rsidRDefault="00981F92">
            <w:pPr>
              <w:spacing w:after="0"/>
              <w:jc w:val="both"/>
              <w:rPr>
                <w:rFonts w:ascii="Times New Roman" w:hAnsi="Times New Roman" w:cs="Times New Roman"/>
                <w:noProof/>
              </w:rPr>
            </w:pPr>
            <w:r>
              <w:rPr>
                <w:rFonts w:ascii="Times New Roman" w:hAnsi="Times New Roman"/>
                <w:noProof/>
              </w:rPr>
              <w:t>Echipamente instalate și funcționale pentru a îmbunătăți respectarea limitelor de viteză și a normelor de siguranță rutieră</w:t>
            </w:r>
          </w:p>
        </w:tc>
      </w:tr>
      <w:tr w:rsidR="000A27B3" w:rsidRPr="00D1375D" w14:paraId="247595CC" w14:textId="77777777" w:rsidTr="00CA23DD">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84D747C" w14:textId="7C70BD15" w:rsidR="00981F92" w:rsidRPr="000A27B3" w:rsidRDefault="00981F92">
            <w:pPr>
              <w:spacing w:after="0"/>
              <w:jc w:val="center"/>
              <w:rPr>
                <w:rFonts w:ascii="Times New Roman" w:hAnsi="Times New Roman" w:cs="Times New Roman"/>
                <w:noProof/>
              </w:rPr>
            </w:pPr>
            <w:r>
              <w:rPr>
                <w:rFonts w:ascii="Times New Roman" w:hAnsi="Times New Roman"/>
                <w:noProof/>
              </w:rPr>
              <w:t>74</w:t>
            </w:r>
          </w:p>
        </w:tc>
        <w:tc>
          <w:tcPr>
            <w:tcW w:w="3534" w:type="dxa"/>
            <w:tcBorders>
              <w:top w:val="nil"/>
              <w:left w:val="nil"/>
              <w:bottom w:val="single" w:sz="4" w:space="0" w:color="auto"/>
              <w:right w:val="single" w:sz="4" w:space="0" w:color="auto"/>
            </w:tcBorders>
            <w:shd w:val="clear" w:color="auto" w:fill="C6EFCE"/>
            <w:noWrap/>
          </w:tcPr>
          <w:p w14:paraId="3E7A78A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C4.I1 </w:t>
            </w:r>
          </w:p>
          <w:p w14:paraId="249BB260" w14:textId="760DD015" w:rsidR="00981F92" w:rsidRPr="000A27B3" w:rsidRDefault="00981F92">
            <w:pPr>
              <w:spacing w:after="0"/>
              <w:jc w:val="both"/>
              <w:rPr>
                <w:rFonts w:ascii="Times New Roman" w:hAnsi="Times New Roman" w:cs="Times New Roman"/>
                <w:noProof/>
              </w:rPr>
            </w:pPr>
            <w:r>
              <w:rPr>
                <w:rFonts w:ascii="Times New Roman" w:hAnsi="Times New Roman"/>
                <w:noProof/>
              </w:rPr>
              <w:t xml:space="preserve">Modernizarea și reînnoirea infrastructurii feroviare </w:t>
            </w:r>
          </w:p>
        </w:tc>
        <w:tc>
          <w:tcPr>
            <w:tcW w:w="1285" w:type="dxa"/>
            <w:tcBorders>
              <w:top w:val="nil"/>
              <w:left w:val="nil"/>
              <w:bottom w:val="single" w:sz="4" w:space="0" w:color="auto"/>
              <w:right w:val="single" w:sz="4" w:space="0" w:color="auto"/>
            </w:tcBorders>
            <w:shd w:val="clear" w:color="auto" w:fill="C6EFCE"/>
            <w:noWrap/>
          </w:tcPr>
          <w:p w14:paraId="0416CB25" w14:textId="0AF4AE1E"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797BFBBE" w14:textId="0ECBF761" w:rsidR="00981F92" w:rsidRPr="000A27B3" w:rsidRDefault="00981F92">
            <w:pPr>
              <w:spacing w:after="0"/>
              <w:jc w:val="both"/>
              <w:rPr>
                <w:rFonts w:ascii="Times New Roman" w:hAnsi="Times New Roman" w:cs="Times New Roman"/>
                <w:noProof/>
              </w:rPr>
            </w:pPr>
            <w:r>
              <w:rPr>
                <w:rFonts w:ascii="Times New Roman" w:hAnsi="Times New Roman"/>
                <w:noProof/>
              </w:rPr>
              <w:t>Finalizarea lucrărilor pentru cel puțin 50 % din totalul investițiilor în infrastructura feroviară.</w:t>
            </w:r>
          </w:p>
        </w:tc>
      </w:tr>
      <w:tr w:rsidR="000A27B3" w:rsidRPr="000A27B3" w14:paraId="76506F14"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4E006AA1" w14:textId="41DDEBE0" w:rsidR="00981F92" w:rsidRPr="000A27B3" w:rsidRDefault="00981F92">
            <w:pPr>
              <w:spacing w:after="0"/>
              <w:jc w:val="center"/>
              <w:rPr>
                <w:rFonts w:ascii="Times New Roman" w:hAnsi="Times New Roman" w:cs="Times New Roman"/>
                <w:noProof/>
              </w:rPr>
            </w:pPr>
            <w:r>
              <w:rPr>
                <w:rFonts w:ascii="Times New Roman" w:hAnsi="Times New Roman"/>
                <w:noProof/>
              </w:rPr>
              <w:t>154</w:t>
            </w:r>
          </w:p>
        </w:tc>
        <w:tc>
          <w:tcPr>
            <w:tcW w:w="3534" w:type="dxa"/>
            <w:tcBorders>
              <w:top w:val="nil"/>
              <w:left w:val="nil"/>
              <w:bottom w:val="single" w:sz="4" w:space="0" w:color="auto"/>
              <w:right w:val="single" w:sz="4" w:space="0" w:color="auto"/>
            </w:tcBorders>
            <w:shd w:val="clear" w:color="auto" w:fill="C6EFCE"/>
            <w:noWrap/>
          </w:tcPr>
          <w:p w14:paraId="1AA62CBF" w14:textId="18541FAC" w:rsidR="00981F92" w:rsidRPr="000A27B3" w:rsidRDefault="00981F92">
            <w:pPr>
              <w:spacing w:after="0"/>
              <w:jc w:val="both"/>
              <w:rPr>
                <w:rFonts w:ascii="Times New Roman" w:hAnsi="Times New Roman" w:cs="Times New Roman"/>
                <w:noProof/>
              </w:rPr>
            </w:pPr>
            <w:r>
              <w:rPr>
                <w:rFonts w:ascii="Times New Roman" w:hAnsi="Times New Roman"/>
                <w:noProof/>
              </w:rPr>
              <w:t>C7.I1</w:t>
            </w:r>
            <w:r>
              <w:rPr>
                <w:rFonts w:ascii="Times New Roman" w:hAnsi="Times New Roman"/>
                <w:noProof/>
              </w:rPr>
              <w:br/>
              <w:t xml:space="preserve">Implementarea infrastructurii de cloud guvernamental </w:t>
            </w:r>
          </w:p>
        </w:tc>
        <w:tc>
          <w:tcPr>
            <w:tcW w:w="1285" w:type="dxa"/>
            <w:tcBorders>
              <w:top w:val="nil"/>
              <w:left w:val="nil"/>
              <w:bottom w:val="single" w:sz="4" w:space="0" w:color="auto"/>
              <w:right w:val="single" w:sz="4" w:space="0" w:color="auto"/>
            </w:tcBorders>
            <w:shd w:val="clear" w:color="auto" w:fill="C6EFCE"/>
            <w:noWrap/>
          </w:tcPr>
          <w:p w14:paraId="740F577A" w14:textId="6E4FCC18"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0B9BE297" w14:textId="2A55655E" w:rsidR="00981F92" w:rsidRPr="000A27B3" w:rsidRDefault="00981F92">
            <w:pPr>
              <w:spacing w:after="0"/>
              <w:jc w:val="both"/>
              <w:rPr>
                <w:rFonts w:ascii="Times New Roman" w:hAnsi="Times New Roman" w:cs="Times New Roman"/>
                <w:noProof/>
              </w:rPr>
            </w:pPr>
            <w:r>
              <w:rPr>
                <w:rFonts w:ascii="Times New Roman" w:hAnsi="Times New Roman"/>
                <w:noProof/>
              </w:rPr>
              <w:t>Instituții publice conectate prin intermediul cloud-ului guvernamental</w:t>
            </w:r>
          </w:p>
        </w:tc>
      </w:tr>
      <w:tr w:rsidR="000A27B3" w:rsidRPr="000A27B3" w14:paraId="704B6017" w14:textId="77777777" w:rsidTr="00CA23DD">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06C24343" w14:textId="291E7E13" w:rsidR="00981F92" w:rsidRPr="000A27B3" w:rsidRDefault="00981F92">
            <w:pPr>
              <w:spacing w:after="0"/>
              <w:jc w:val="center"/>
              <w:rPr>
                <w:rFonts w:ascii="Times New Roman" w:hAnsi="Times New Roman" w:cs="Times New Roman"/>
                <w:noProof/>
              </w:rPr>
            </w:pPr>
            <w:r>
              <w:rPr>
                <w:rFonts w:ascii="Times New Roman" w:hAnsi="Times New Roman"/>
                <w:noProof/>
              </w:rPr>
              <w:t>159</w:t>
            </w:r>
          </w:p>
        </w:tc>
        <w:tc>
          <w:tcPr>
            <w:tcW w:w="3534" w:type="dxa"/>
            <w:tcBorders>
              <w:top w:val="nil"/>
              <w:left w:val="nil"/>
              <w:bottom w:val="single" w:sz="4" w:space="0" w:color="auto"/>
              <w:right w:val="single" w:sz="4" w:space="0" w:color="auto"/>
            </w:tcBorders>
            <w:shd w:val="clear" w:color="auto" w:fill="C6EFCE"/>
            <w:noWrap/>
          </w:tcPr>
          <w:p w14:paraId="08FBED4B" w14:textId="1D290A0E" w:rsidR="00981F92" w:rsidRPr="000A27B3" w:rsidRDefault="00981F92">
            <w:pPr>
              <w:spacing w:after="0"/>
              <w:jc w:val="both"/>
              <w:rPr>
                <w:rFonts w:ascii="Times New Roman" w:hAnsi="Times New Roman" w:cs="Times New Roman"/>
                <w:noProof/>
              </w:rPr>
            </w:pPr>
            <w:r>
              <w:rPr>
                <w:rFonts w:ascii="Times New Roman" w:hAnsi="Times New Roman"/>
                <w:noProof/>
              </w:rPr>
              <w:t>C7.I3</w:t>
            </w:r>
            <w:r>
              <w:rPr>
                <w:rFonts w:ascii="Times New Roman" w:hAnsi="Times New Roman"/>
                <w:noProof/>
              </w:rPr>
              <w:br/>
              <w:t>Crearea sistemului de eHealth și telemedicină</w:t>
            </w:r>
          </w:p>
        </w:tc>
        <w:tc>
          <w:tcPr>
            <w:tcW w:w="1285" w:type="dxa"/>
            <w:tcBorders>
              <w:top w:val="nil"/>
              <w:left w:val="nil"/>
              <w:bottom w:val="single" w:sz="4" w:space="0" w:color="auto"/>
              <w:right w:val="single" w:sz="4" w:space="0" w:color="auto"/>
            </w:tcBorders>
            <w:shd w:val="clear" w:color="auto" w:fill="C6EFCE"/>
            <w:noWrap/>
          </w:tcPr>
          <w:p w14:paraId="43CAFEC8" w14:textId="4A737E4C"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393" w:type="dxa"/>
            <w:tcBorders>
              <w:top w:val="nil"/>
              <w:left w:val="nil"/>
              <w:bottom w:val="single" w:sz="4" w:space="0" w:color="auto"/>
              <w:right w:val="single" w:sz="4" w:space="0" w:color="auto"/>
            </w:tcBorders>
            <w:shd w:val="clear" w:color="auto" w:fill="C6EFCE"/>
            <w:noWrap/>
          </w:tcPr>
          <w:p w14:paraId="5D9D22C2" w14:textId="0E18AEFF" w:rsidR="00981F92" w:rsidRPr="000A27B3" w:rsidRDefault="00981F92">
            <w:pPr>
              <w:spacing w:after="0"/>
              <w:jc w:val="both"/>
              <w:rPr>
                <w:rFonts w:ascii="Times New Roman" w:hAnsi="Times New Roman" w:cs="Times New Roman"/>
                <w:noProof/>
              </w:rPr>
            </w:pPr>
            <w:r>
              <w:rPr>
                <w:rFonts w:ascii="Times New Roman" w:hAnsi="Times New Roman"/>
                <w:noProof/>
              </w:rPr>
              <w:t>Implementarea sistemului de telemedicină</w:t>
            </w:r>
          </w:p>
        </w:tc>
      </w:tr>
      <w:tr w:rsidR="000A27B3" w:rsidRPr="00D1375D" w14:paraId="51879A07"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16B2369D" w14:textId="63FE2DBF" w:rsidR="00981F92" w:rsidRPr="000A27B3" w:rsidRDefault="00981F92">
            <w:pPr>
              <w:spacing w:after="0"/>
              <w:jc w:val="center"/>
              <w:rPr>
                <w:rFonts w:ascii="Times New Roman" w:hAnsi="Times New Roman" w:cs="Times New Roman"/>
                <w:noProof/>
              </w:rPr>
            </w:pPr>
            <w:r>
              <w:rPr>
                <w:rFonts w:ascii="Times New Roman" w:hAnsi="Times New Roman"/>
                <w:noProof/>
              </w:rPr>
              <w:t>167</w:t>
            </w:r>
          </w:p>
        </w:tc>
        <w:tc>
          <w:tcPr>
            <w:tcW w:w="3534" w:type="dxa"/>
            <w:tcBorders>
              <w:top w:val="nil"/>
              <w:left w:val="nil"/>
              <w:bottom w:val="single" w:sz="4" w:space="0" w:color="auto"/>
              <w:right w:val="single" w:sz="4" w:space="0" w:color="auto"/>
            </w:tcBorders>
            <w:shd w:val="clear" w:color="auto" w:fill="C6EFCE"/>
            <w:noWrap/>
          </w:tcPr>
          <w:p w14:paraId="05E968AE" w14:textId="02314E89" w:rsidR="00981F92" w:rsidRPr="000A27B3" w:rsidRDefault="00981F92">
            <w:pPr>
              <w:spacing w:after="0"/>
              <w:jc w:val="both"/>
              <w:rPr>
                <w:rFonts w:ascii="Times New Roman" w:hAnsi="Times New Roman" w:cs="Times New Roman"/>
                <w:noProof/>
              </w:rPr>
            </w:pPr>
            <w:r>
              <w:rPr>
                <w:rFonts w:ascii="Times New Roman" w:hAnsi="Times New Roman"/>
                <w:noProof/>
              </w:rPr>
              <w:t>C7.I5</w:t>
            </w:r>
            <w:r>
              <w:rPr>
                <w:rFonts w:ascii="Times New Roman" w:hAnsi="Times New Roman"/>
                <w:noProof/>
              </w:rPr>
              <w:br/>
              <w:t>Digitalizare în domeniul mediului</w:t>
            </w:r>
          </w:p>
        </w:tc>
        <w:tc>
          <w:tcPr>
            <w:tcW w:w="1285" w:type="dxa"/>
            <w:tcBorders>
              <w:top w:val="nil"/>
              <w:left w:val="nil"/>
              <w:bottom w:val="single" w:sz="4" w:space="0" w:color="auto"/>
              <w:right w:val="single" w:sz="4" w:space="0" w:color="auto"/>
            </w:tcBorders>
            <w:shd w:val="clear" w:color="auto" w:fill="C6EFCE"/>
            <w:noWrap/>
          </w:tcPr>
          <w:p w14:paraId="6661888A" w14:textId="389E8CE6"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393" w:type="dxa"/>
            <w:tcBorders>
              <w:top w:val="nil"/>
              <w:left w:val="nil"/>
              <w:bottom w:val="single" w:sz="4" w:space="0" w:color="auto"/>
              <w:right w:val="single" w:sz="4" w:space="0" w:color="auto"/>
            </w:tcBorders>
            <w:shd w:val="clear" w:color="auto" w:fill="C6EFCE"/>
            <w:noWrap/>
          </w:tcPr>
          <w:p w14:paraId="46C01237" w14:textId="35903710" w:rsidR="00981F92" w:rsidRPr="000A27B3" w:rsidRDefault="00981F92">
            <w:pPr>
              <w:spacing w:after="0"/>
              <w:jc w:val="both"/>
              <w:rPr>
                <w:rFonts w:ascii="Times New Roman" w:hAnsi="Times New Roman" w:cs="Times New Roman"/>
                <w:noProof/>
              </w:rPr>
            </w:pPr>
            <w:r>
              <w:rPr>
                <w:rFonts w:ascii="Times New Roman" w:hAnsi="Times New Roman"/>
                <w:noProof/>
              </w:rPr>
              <w:t>Capacitate sporită de supraveghere, control și monitorizare a pădurilor prin intermediul unui sistem informatic integrat</w:t>
            </w:r>
          </w:p>
        </w:tc>
      </w:tr>
      <w:tr w:rsidR="000A27B3" w:rsidRPr="00D1375D" w14:paraId="71A201A0"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5A2CD469" w14:textId="789D33AE" w:rsidR="00981F92" w:rsidRPr="000A27B3" w:rsidRDefault="00981F92">
            <w:pPr>
              <w:spacing w:after="0"/>
              <w:jc w:val="center"/>
              <w:rPr>
                <w:rFonts w:ascii="Times New Roman" w:hAnsi="Times New Roman" w:cs="Times New Roman"/>
                <w:noProof/>
              </w:rPr>
            </w:pPr>
            <w:r>
              <w:rPr>
                <w:rFonts w:ascii="Times New Roman" w:hAnsi="Times New Roman"/>
                <w:noProof/>
              </w:rPr>
              <w:t>169</w:t>
            </w:r>
          </w:p>
        </w:tc>
        <w:tc>
          <w:tcPr>
            <w:tcW w:w="3534" w:type="dxa"/>
            <w:tcBorders>
              <w:top w:val="nil"/>
              <w:left w:val="nil"/>
              <w:bottom w:val="single" w:sz="4" w:space="0" w:color="auto"/>
              <w:right w:val="single" w:sz="4" w:space="0" w:color="auto"/>
            </w:tcBorders>
            <w:shd w:val="clear" w:color="auto" w:fill="C6EFCE"/>
            <w:noWrap/>
          </w:tcPr>
          <w:p w14:paraId="04DDA02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 I6</w:t>
            </w:r>
          </w:p>
          <w:p w14:paraId="64136AC4" w14:textId="31828E9D" w:rsidR="00981F92" w:rsidRPr="000A27B3" w:rsidRDefault="00981F92">
            <w:pPr>
              <w:spacing w:after="0"/>
              <w:jc w:val="both"/>
              <w:rPr>
                <w:rFonts w:ascii="Times New Roman" w:hAnsi="Times New Roman" w:cs="Times New Roman"/>
                <w:noProof/>
              </w:rPr>
            </w:pPr>
            <w:r>
              <w:rPr>
                <w:rFonts w:ascii="Times New Roman" w:hAnsi="Times New Roman"/>
                <w:noProof/>
              </w:rPr>
              <w:t>Digitalizarea în domeniul muncii și protecției sociale</w:t>
            </w:r>
          </w:p>
        </w:tc>
        <w:tc>
          <w:tcPr>
            <w:tcW w:w="1285" w:type="dxa"/>
            <w:tcBorders>
              <w:top w:val="nil"/>
              <w:left w:val="nil"/>
              <w:bottom w:val="single" w:sz="4" w:space="0" w:color="auto"/>
              <w:right w:val="single" w:sz="4" w:space="0" w:color="auto"/>
            </w:tcBorders>
            <w:shd w:val="clear" w:color="auto" w:fill="C6EFCE"/>
            <w:noWrap/>
          </w:tcPr>
          <w:p w14:paraId="57F3CE26" w14:textId="78A5E783"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393" w:type="dxa"/>
            <w:tcBorders>
              <w:top w:val="nil"/>
              <w:left w:val="nil"/>
              <w:bottom w:val="single" w:sz="4" w:space="0" w:color="auto"/>
              <w:right w:val="single" w:sz="4" w:space="0" w:color="auto"/>
            </w:tcBorders>
            <w:shd w:val="clear" w:color="auto" w:fill="C6EFCE"/>
            <w:noWrap/>
          </w:tcPr>
          <w:p w14:paraId="3F3865B1" w14:textId="736CD028" w:rsidR="00981F92" w:rsidRPr="000A27B3" w:rsidRDefault="00981F92">
            <w:pPr>
              <w:spacing w:after="0"/>
              <w:jc w:val="both"/>
              <w:rPr>
                <w:rFonts w:ascii="Times New Roman" w:hAnsi="Times New Roman" w:cs="Times New Roman"/>
                <w:noProof/>
              </w:rPr>
            </w:pPr>
            <w:r>
              <w:rPr>
                <w:rFonts w:ascii="Times New Roman" w:hAnsi="Times New Roman"/>
                <w:noProof/>
              </w:rPr>
              <w:t>Punerea în funcțiune a sistemului REGES-ONLINE</w:t>
            </w:r>
          </w:p>
        </w:tc>
      </w:tr>
      <w:tr w:rsidR="0089663E" w:rsidRPr="00D1375D" w14:paraId="701EA160"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2D79BA5" w14:textId="216BCD8E" w:rsidR="0089663E" w:rsidRPr="00D1375D" w:rsidRDefault="0089663E" w:rsidP="0089663E">
            <w:pPr>
              <w:spacing w:after="0"/>
              <w:jc w:val="center"/>
              <w:rPr>
                <w:rFonts w:ascii="Times New Roman" w:hAnsi="Times New Roman" w:cs="Times New Roman"/>
                <w:noProof/>
              </w:rPr>
            </w:pPr>
            <w:r>
              <w:rPr>
                <w:rFonts w:ascii="Times New Roman" w:hAnsi="Times New Roman"/>
                <w:noProof/>
                <w:color w:val="000000"/>
              </w:rPr>
              <w:t>175</w:t>
            </w:r>
          </w:p>
        </w:tc>
        <w:tc>
          <w:tcPr>
            <w:tcW w:w="3534" w:type="dxa"/>
            <w:tcBorders>
              <w:top w:val="nil"/>
              <w:left w:val="nil"/>
              <w:bottom w:val="single" w:sz="4" w:space="0" w:color="auto"/>
              <w:right w:val="single" w:sz="4" w:space="0" w:color="auto"/>
            </w:tcBorders>
            <w:shd w:val="clear" w:color="auto" w:fill="C6EFCE"/>
            <w:noWrap/>
          </w:tcPr>
          <w:p w14:paraId="3FB9842C" w14:textId="77777777" w:rsidR="0089663E" w:rsidRPr="0089663E" w:rsidRDefault="0089663E" w:rsidP="0089663E">
            <w:pPr>
              <w:spacing w:after="0"/>
              <w:jc w:val="both"/>
              <w:rPr>
                <w:rFonts w:ascii="Times New Roman" w:hAnsi="Times New Roman" w:cs="Times New Roman"/>
                <w:noProof/>
                <w:color w:val="000000"/>
              </w:rPr>
            </w:pPr>
            <w:r>
              <w:rPr>
                <w:rFonts w:ascii="Times New Roman" w:hAnsi="Times New Roman"/>
                <w:noProof/>
                <w:color w:val="000000"/>
              </w:rPr>
              <w:t>C7.I9</w:t>
            </w:r>
          </w:p>
          <w:p w14:paraId="447AD9DD" w14:textId="4B105FAE" w:rsidR="0089663E" w:rsidRPr="000A27B3" w:rsidRDefault="0089663E" w:rsidP="0089663E">
            <w:pPr>
              <w:spacing w:after="0"/>
              <w:jc w:val="both"/>
              <w:rPr>
                <w:rFonts w:ascii="Times New Roman" w:hAnsi="Times New Roman" w:cs="Times New Roman"/>
                <w:noProof/>
              </w:rPr>
            </w:pPr>
            <w:r>
              <w:rPr>
                <w:rFonts w:ascii="Times New Roman" w:hAnsi="Times New Roman"/>
                <w:noProof/>
                <w:color w:val="000000"/>
              </w:rPr>
              <w:t>Digitalizarea sectorului organizațiilor neguvernamentale</w:t>
            </w:r>
          </w:p>
        </w:tc>
        <w:tc>
          <w:tcPr>
            <w:tcW w:w="1285" w:type="dxa"/>
            <w:tcBorders>
              <w:top w:val="nil"/>
              <w:left w:val="nil"/>
              <w:bottom w:val="single" w:sz="4" w:space="0" w:color="auto"/>
              <w:right w:val="single" w:sz="4" w:space="0" w:color="auto"/>
            </w:tcBorders>
            <w:shd w:val="clear" w:color="auto" w:fill="C6EFCE"/>
            <w:noWrap/>
          </w:tcPr>
          <w:p w14:paraId="3804D3B8" w14:textId="4E336BEE" w:rsidR="0089663E" w:rsidRPr="00D1375D" w:rsidRDefault="0089663E" w:rsidP="0089663E">
            <w:pPr>
              <w:spacing w:after="0"/>
              <w:jc w:val="center"/>
              <w:rPr>
                <w:rFonts w:ascii="Times New Roman" w:hAnsi="Times New Roman" w:cs="Times New Roman"/>
                <w:noProof/>
              </w:rPr>
            </w:pPr>
            <w:r>
              <w:rPr>
                <w:rFonts w:ascii="Times New Roman" w:hAnsi="Times New Roman"/>
                <w:noProof/>
                <w:color w:val="000000"/>
              </w:rPr>
              <w:t>T</w:t>
            </w:r>
          </w:p>
        </w:tc>
        <w:tc>
          <w:tcPr>
            <w:tcW w:w="3393" w:type="dxa"/>
            <w:tcBorders>
              <w:top w:val="nil"/>
              <w:left w:val="nil"/>
              <w:bottom w:val="single" w:sz="4" w:space="0" w:color="auto"/>
              <w:right w:val="single" w:sz="4" w:space="0" w:color="auto"/>
            </w:tcBorders>
            <w:shd w:val="clear" w:color="auto" w:fill="C6EFCE"/>
            <w:noWrap/>
          </w:tcPr>
          <w:p w14:paraId="2C3B0AEB" w14:textId="25C05B82" w:rsidR="0089663E" w:rsidRPr="000A27B3" w:rsidRDefault="0089663E" w:rsidP="0089663E">
            <w:pPr>
              <w:spacing w:after="0"/>
              <w:jc w:val="both"/>
              <w:rPr>
                <w:rFonts w:ascii="Times New Roman" w:hAnsi="Times New Roman" w:cs="Times New Roman"/>
                <w:noProof/>
              </w:rPr>
            </w:pPr>
            <w:r>
              <w:rPr>
                <w:rFonts w:ascii="Times New Roman" w:hAnsi="Times New Roman"/>
                <w:noProof/>
                <w:color w:val="000000"/>
              </w:rPr>
              <w:t>Finalizarea proiectelor pentru digitalizarea ONG-urilor</w:t>
            </w:r>
          </w:p>
        </w:tc>
      </w:tr>
      <w:tr w:rsidR="0089663E" w:rsidRPr="000A27B3" w14:paraId="093C3D5F"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054F1EFB" w14:textId="307A9421" w:rsidR="0089663E" w:rsidRPr="000A27B3" w:rsidRDefault="0089663E" w:rsidP="0089663E">
            <w:pPr>
              <w:spacing w:after="0"/>
              <w:jc w:val="center"/>
              <w:rPr>
                <w:rFonts w:ascii="Times New Roman" w:hAnsi="Times New Roman" w:cs="Times New Roman"/>
                <w:noProof/>
              </w:rPr>
            </w:pPr>
            <w:r>
              <w:rPr>
                <w:rFonts w:ascii="Times New Roman" w:hAnsi="Times New Roman"/>
                <w:noProof/>
              </w:rPr>
              <w:t>182</w:t>
            </w:r>
          </w:p>
        </w:tc>
        <w:tc>
          <w:tcPr>
            <w:tcW w:w="3534" w:type="dxa"/>
            <w:tcBorders>
              <w:top w:val="nil"/>
              <w:left w:val="nil"/>
              <w:bottom w:val="single" w:sz="4" w:space="0" w:color="auto"/>
              <w:right w:val="single" w:sz="4" w:space="0" w:color="auto"/>
            </w:tcBorders>
            <w:shd w:val="clear" w:color="auto" w:fill="C6EFCE"/>
            <w:noWrap/>
          </w:tcPr>
          <w:p w14:paraId="476429E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C7.I14</w:t>
            </w:r>
          </w:p>
          <w:p w14:paraId="3A32EB27" w14:textId="62CFD1AF" w:rsidR="0089663E" w:rsidRPr="000A27B3" w:rsidRDefault="0089663E" w:rsidP="0089663E">
            <w:pPr>
              <w:spacing w:after="0"/>
              <w:jc w:val="both"/>
              <w:rPr>
                <w:rFonts w:ascii="Times New Roman" w:hAnsi="Times New Roman" w:cs="Times New Roman"/>
                <w:noProof/>
              </w:rPr>
            </w:pPr>
            <w:r>
              <w:rPr>
                <w:rFonts w:ascii="Times New Roman" w:hAnsi="Times New Roman"/>
                <w:noProof/>
              </w:rPr>
              <w:t>Sporirea rezilienței și a securității cibernetice a serviciilor de infrastructură ale furnizorilor de servicii de internet pentru autoritățile publice din România</w:t>
            </w:r>
          </w:p>
        </w:tc>
        <w:tc>
          <w:tcPr>
            <w:tcW w:w="1285" w:type="dxa"/>
            <w:tcBorders>
              <w:top w:val="nil"/>
              <w:left w:val="nil"/>
              <w:bottom w:val="single" w:sz="4" w:space="0" w:color="auto"/>
              <w:right w:val="single" w:sz="4" w:space="0" w:color="auto"/>
            </w:tcBorders>
            <w:shd w:val="clear" w:color="auto" w:fill="C6EFCE"/>
            <w:noWrap/>
          </w:tcPr>
          <w:p w14:paraId="4E74126E" w14:textId="59AC06A2" w:rsidR="0089663E" w:rsidRPr="000A27B3" w:rsidRDefault="0089663E" w:rsidP="0089663E">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55F3E8F1" w14:textId="37874972" w:rsidR="0089663E" w:rsidRPr="000A27B3" w:rsidRDefault="0089663E" w:rsidP="0089663E">
            <w:pPr>
              <w:spacing w:after="0"/>
              <w:jc w:val="both"/>
              <w:rPr>
                <w:rFonts w:ascii="Times New Roman" w:hAnsi="Times New Roman" w:cs="Times New Roman"/>
                <w:noProof/>
              </w:rPr>
            </w:pPr>
            <w:r>
              <w:rPr>
                <w:rFonts w:ascii="Times New Roman" w:hAnsi="Times New Roman"/>
                <w:noProof/>
              </w:rPr>
              <w:t>Hub-uri care vor permite accesul la serviciile de tip ISP pentru instituțiile și entitățile de interes public de la nivel central și local</w:t>
            </w:r>
          </w:p>
        </w:tc>
      </w:tr>
      <w:tr w:rsidR="0089663E" w:rsidRPr="000A27B3" w14:paraId="7EC9FFD5"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670B147D" w14:textId="5C197706" w:rsidR="0089663E" w:rsidRPr="000A27B3" w:rsidRDefault="0089663E" w:rsidP="0089663E">
            <w:pPr>
              <w:spacing w:after="0"/>
              <w:jc w:val="center"/>
              <w:rPr>
                <w:rFonts w:ascii="Times New Roman" w:hAnsi="Times New Roman" w:cs="Times New Roman"/>
                <w:noProof/>
              </w:rPr>
            </w:pPr>
            <w:r>
              <w:rPr>
                <w:rFonts w:ascii="Times New Roman" w:hAnsi="Times New Roman"/>
                <w:noProof/>
              </w:rPr>
              <w:t>209</w:t>
            </w:r>
          </w:p>
        </w:tc>
        <w:tc>
          <w:tcPr>
            <w:tcW w:w="3534" w:type="dxa"/>
            <w:tcBorders>
              <w:top w:val="nil"/>
              <w:left w:val="nil"/>
              <w:bottom w:val="single" w:sz="4" w:space="0" w:color="auto"/>
              <w:right w:val="single" w:sz="4" w:space="0" w:color="auto"/>
            </w:tcBorders>
            <w:shd w:val="clear" w:color="auto" w:fill="C6EFCE"/>
            <w:noWrap/>
          </w:tcPr>
          <w:p w14:paraId="2F1DFB58"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C8.R5</w:t>
            </w:r>
          </w:p>
          <w:p w14:paraId="338E9460" w14:textId="44C17F6B" w:rsidR="0089663E" w:rsidRPr="000A27B3" w:rsidRDefault="0089663E" w:rsidP="0089663E">
            <w:pPr>
              <w:spacing w:after="0"/>
              <w:jc w:val="both"/>
              <w:rPr>
                <w:rFonts w:ascii="Times New Roman" w:hAnsi="Times New Roman" w:cs="Times New Roman"/>
                <w:noProof/>
              </w:rPr>
            </w:pPr>
            <w:r>
              <w:rPr>
                <w:rFonts w:ascii="Times New Roman" w:hAnsi="Times New Roman"/>
                <w:noProof/>
              </w:rPr>
              <w:t>Crearea și operaționalizarea Băncii Naționale de Dezvoltare</w:t>
            </w:r>
          </w:p>
        </w:tc>
        <w:tc>
          <w:tcPr>
            <w:tcW w:w="1285" w:type="dxa"/>
            <w:tcBorders>
              <w:top w:val="nil"/>
              <w:left w:val="nil"/>
              <w:bottom w:val="single" w:sz="4" w:space="0" w:color="auto"/>
              <w:right w:val="single" w:sz="4" w:space="0" w:color="auto"/>
            </w:tcBorders>
            <w:shd w:val="clear" w:color="auto" w:fill="C6EFCE"/>
            <w:noWrap/>
          </w:tcPr>
          <w:p w14:paraId="7FDF061B" w14:textId="4E41FCB8" w:rsidR="0089663E" w:rsidRPr="000A27B3" w:rsidRDefault="0089663E" w:rsidP="0089663E">
            <w:pPr>
              <w:spacing w:after="0"/>
              <w:jc w:val="center"/>
              <w:rPr>
                <w:rFonts w:ascii="Times New Roman" w:hAnsi="Times New Roman" w:cs="Times New Roman"/>
                <w:noProof/>
              </w:rPr>
            </w:pPr>
            <w:r>
              <w:rPr>
                <w:rFonts w:ascii="Times New Roman" w:hAnsi="Times New Roman"/>
                <w:noProof/>
              </w:rPr>
              <w:t>J</w:t>
            </w:r>
          </w:p>
        </w:tc>
        <w:tc>
          <w:tcPr>
            <w:tcW w:w="3393" w:type="dxa"/>
            <w:tcBorders>
              <w:top w:val="nil"/>
              <w:left w:val="nil"/>
              <w:bottom w:val="single" w:sz="4" w:space="0" w:color="auto"/>
              <w:right w:val="single" w:sz="4" w:space="0" w:color="auto"/>
            </w:tcBorders>
            <w:shd w:val="clear" w:color="auto" w:fill="C6EFCE"/>
            <w:noWrap/>
          </w:tcPr>
          <w:p w14:paraId="29FA34D8" w14:textId="25AAC3E5"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Operaționalizarea Băncii Naționale de Dezvoltare </w:t>
            </w:r>
          </w:p>
        </w:tc>
      </w:tr>
      <w:tr w:rsidR="0089663E" w:rsidRPr="00D1375D" w14:paraId="1348B7EC"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26688584" w14:textId="2329EFD3" w:rsidR="0089663E" w:rsidRPr="000A27B3" w:rsidRDefault="0089663E" w:rsidP="0089663E">
            <w:pPr>
              <w:spacing w:after="0"/>
              <w:jc w:val="center"/>
              <w:rPr>
                <w:rFonts w:ascii="Times New Roman" w:hAnsi="Times New Roman" w:cs="Times New Roman"/>
                <w:noProof/>
              </w:rPr>
            </w:pPr>
            <w:r>
              <w:rPr>
                <w:rFonts w:ascii="Times New Roman" w:hAnsi="Times New Roman"/>
                <w:noProof/>
              </w:rPr>
              <w:t>217</w:t>
            </w:r>
          </w:p>
        </w:tc>
        <w:tc>
          <w:tcPr>
            <w:tcW w:w="3534" w:type="dxa"/>
            <w:tcBorders>
              <w:top w:val="nil"/>
              <w:left w:val="nil"/>
              <w:bottom w:val="single" w:sz="4" w:space="0" w:color="auto"/>
              <w:right w:val="single" w:sz="4" w:space="0" w:color="auto"/>
            </w:tcBorders>
            <w:shd w:val="clear" w:color="auto" w:fill="C6EFCE"/>
            <w:noWrap/>
          </w:tcPr>
          <w:p w14:paraId="12D6EB9A"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C8.I1</w:t>
            </w:r>
          </w:p>
          <w:p w14:paraId="13E657C3" w14:textId="42BD647C"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Creșterea conformării voluntare a contribuabililor prin dezvoltarea serviciilor digitale </w:t>
            </w:r>
          </w:p>
        </w:tc>
        <w:tc>
          <w:tcPr>
            <w:tcW w:w="1285" w:type="dxa"/>
            <w:tcBorders>
              <w:top w:val="nil"/>
              <w:left w:val="nil"/>
              <w:bottom w:val="single" w:sz="4" w:space="0" w:color="auto"/>
              <w:right w:val="single" w:sz="4" w:space="0" w:color="auto"/>
            </w:tcBorders>
            <w:shd w:val="clear" w:color="auto" w:fill="C6EFCE"/>
            <w:noWrap/>
          </w:tcPr>
          <w:p w14:paraId="06C17E1A" w14:textId="76C4C0A3" w:rsidR="0089663E" w:rsidRPr="000A27B3" w:rsidRDefault="0089663E" w:rsidP="0089663E">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480F7001" w14:textId="426DFC07" w:rsidR="0089663E" w:rsidRPr="000A27B3" w:rsidRDefault="0089663E" w:rsidP="0089663E">
            <w:pPr>
              <w:spacing w:after="0"/>
              <w:jc w:val="both"/>
              <w:rPr>
                <w:rFonts w:ascii="Times New Roman" w:hAnsi="Times New Roman" w:cs="Times New Roman"/>
                <w:noProof/>
              </w:rPr>
            </w:pPr>
            <w:r>
              <w:rPr>
                <w:rFonts w:ascii="Times New Roman" w:hAnsi="Times New Roman"/>
                <w:noProof/>
              </w:rPr>
              <w:t>Servicii disponibile online pentru contribuabilii persoane juridice</w:t>
            </w:r>
          </w:p>
        </w:tc>
      </w:tr>
      <w:tr w:rsidR="0089663E" w:rsidRPr="000A27B3" w14:paraId="7027FAD8" w14:textId="77777777">
        <w:trPr>
          <w:trHeight w:val="302"/>
        </w:trPr>
        <w:tc>
          <w:tcPr>
            <w:tcW w:w="1422" w:type="dxa"/>
            <w:tcBorders>
              <w:top w:val="nil"/>
              <w:left w:val="single" w:sz="4" w:space="0" w:color="auto"/>
              <w:bottom w:val="single" w:sz="4" w:space="0" w:color="auto"/>
              <w:right w:val="single" w:sz="4" w:space="0" w:color="auto"/>
            </w:tcBorders>
            <w:shd w:val="clear" w:color="auto" w:fill="C6EFCE"/>
            <w:noWrap/>
          </w:tcPr>
          <w:p w14:paraId="67C49F3D" w14:textId="106A61D3" w:rsidR="0089663E" w:rsidRPr="000A27B3" w:rsidRDefault="0089663E" w:rsidP="0089663E">
            <w:pPr>
              <w:spacing w:after="0"/>
              <w:jc w:val="center"/>
              <w:rPr>
                <w:rFonts w:ascii="Times New Roman" w:hAnsi="Times New Roman" w:cs="Times New Roman"/>
                <w:noProof/>
              </w:rPr>
            </w:pPr>
            <w:r>
              <w:rPr>
                <w:rFonts w:ascii="Times New Roman" w:hAnsi="Times New Roman"/>
                <w:noProof/>
              </w:rPr>
              <w:t>233</w:t>
            </w:r>
          </w:p>
        </w:tc>
        <w:tc>
          <w:tcPr>
            <w:tcW w:w="3534" w:type="dxa"/>
            <w:tcBorders>
              <w:top w:val="nil"/>
              <w:left w:val="nil"/>
              <w:bottom w:val="single" w:sz="4" w:space="0" w:color="auto"/>
              <w:right w:val="single" w:sz="4" w:space="0" w:color="auto"/>
            </w:tcBorders>
            <w:shd w:val="clear" w:color="auto" w:fill="C6EFCE"/>
            <w:noWrap/>
          </w:tcPr>
          <w:p w14:paraId="7D1DE470"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C8.I4</w:t>
            </w:r>
          </w:p>
          <w:p w14:paraId="48C7BC3B" w14:textId="5782CAB4" w:rsidR="0089663E" w:rsidRPr="000A27B3" w:rsidRDefault="0089663E" w:rsidP="0089663E">
            <w:pPr>
              <w:spacing w:after="0"/>
              <w:jc w:val="both"/>
              <w:rPr>
                <w:rFonts w:ascii="Times New Roman" w:hAnsi="Times New Roman" w:cs="Times New Roman"/>
                <w:noProof/>
              </w:rPr>
            </w:pPr>
            <w:r>
              <w:rPr>
                <w:rFonts w:ascii="Times New Roman" w:hAnsi="Times New Roman"/>
                <w:noProof/>
              </w:rPr>
              <w:t>Implementarea vămii electronice</w:t>
            </w:r>
          </w:p>
        </w:tc>
        <w:tc>
          <w:tcPr>
            <w:tcW w:w="1285" w:type="dxa"/>
            <w:tcBorders>
              <w:top w:val="nil"/>
              <w:left w:val="nil"/>
              <w:bottom w:val="single" w:sz="4" w:space="0" w:color="auto"/>
              <w:right w:val="single" w:sz="4" w:space="0" w:color="auto"/>
            </w:tcBorders>
            <w:shd w:val="clear" w:color="auto" w:fill="C6EFCE"/>
            <w:noWrap/>
          </w:tcPr>
          <w:p w14:paraId="318D1075" w14:textId="4FA73228" w:rsidR="0089663E" w:rsidRPr="000A27B3" w:rsidRDefault="0089663E" w:rsidP="0089663E">
            <w:pPr>
              <w:spacing w:after="0"/>
              <w:jc w:val="center"/>
              <w:rPr>
                <w:rFonts w:ascii="Times New Roman" w:hAnsi="Times New Roman" w:cs="Times New Roman"/>
                <w:noProof/>
              </w:rPr>
            </w:pPr>
            <w:r>
              <w:rPr>
                <w:rFonts w:ascii="Times New Roman" w:hAnsi="Times New Roman"/>
                <w:noProof/>
              </w:rPr>
              <w:t>T</w:t>
            </w:r>
          </w:p>
        </w:tc>
        <w:tc>
          <w:tcPr>
            <w:tcW w:w="3393" w:type="dxa"/>
            <w:tcBorders>
              <w:top w:val="nil"/>
              <w:left w:val="nil"/>
              <w:bottom w:val="single" w:sz="4" w:space="0" w:color="auto"/>
              <w:right w:val="single" w:sz="4" w:space="0" w:color="auto"/>
            </w:tcBorders>
            <w:shd w:val="clear" w:color="auto" w:fill="C6EFCE"/>
            <w:noWrap/>
          </w:tcPr>
          <w:p w14:paraId="0BBD16FF" w14:textId="5C3C0F68" w:rsidR="0089663E" w:rsidRPr="000A27B3" w:rsidRDefault="0089663E" w:rsidP="0089663E">
            <w:pPr>
              <w:spacing w:after="0"/>
              <w:jc w:val="both"/>
              <w:rPr>
                <w:rFonts w:ascii="Times New Roman" w:hAnsi="Times New Roman" w:cs="Times New Roman"/>
                <w:noProof/>
              </w:rPr>
            </w:pPr>
            <w:r>
              <w:rPr>
                <w:rFonts w:ascii="Times New Roman" w:hAnsi="Times New Roman"/>
                <w:noProof/>
              </w:rPr>
              <w:t>Procentul activității de vămuire, schimbul de informații între operatorii economici și autoritățile vamale, schimbul de informații între autoritățile vamale din statele membre efectuate pe cale electronică</w:t>
            </w:r>
          </w:p>
        </w:tc>
      </w:tr>
      <w:tr w:rsidR="0089663E" w:rsidRPr="000A27B3" w14:paraId="5EA6209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8CF11E0" w14:textId="0727F1AF"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238</w:t>
            </w:r>
          </w:p>
        </w:tc>
        <w:tc>
          <w:tcPr>
            <w:tcW w:w="3534" w:type="dxa"/>
            <w:tcBorders>
              <w:top w:val="single" w:sz="4" w:space="0" w:color="auto"/>
              <w:left w:val="nil"/>
              <w:bottom w:val="single" w:sz="4" w:space="0" w:color="auto"/>
              <w:right w:val="single" w:sz="4" w:space="0" w:color="auto"/>
            </w:tcBorders>
            <w:shd w:val="clear" w:color="auto" w:fill="C6EFCE"/>
            <w:noWrap/>
          </w:tcPr>
          <w:p w14:paraId="4AED9D4F"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C8.I8</w:t>
            </w:r>
          </w:p>
          <w:p w14:paraId="027ECBA0" w14:textId="43BB64AD"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Operaționalizarea Băncii Naționale de Dezvoltare</w:t>
            </w:r>
          </w:p>
        </w:tc>
        <w:tc>
          <w:tcPr>
            <w:tcW w:w="1285" w:type="dxa"/>
            <w:tcBorders>
              <w:top w:val="single" w:sz="4" w:space="0" w:color="auto"/>
              <w:left w:val="nil"/>
              <w:bottom w:val="single" w:sz="4" w:space="0" w:color="auto"/>
              <w:right w:val="single" w:sz="4" w:space="0" w:color="auto"/>
            </w:tcBorders>
            <w:shd w:val="clear" w:color="auto" w:fill="C6EFCE"/>
            <w:noWrap/>
          </w:tcPr>
          <w:p w14:paraId="55567A76" w14:textId="07120E6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71A4E9B1" w14:textId="408DDFC9"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Achiziționarea de software (licențe) și hardware (laptopuri), servicii IT pentru personal, cursuri de formare pentru personalul Băncii Naționale de Dezvoltare și pentru personalul Ministerului Finanțelor.</w:t>
            </w:r>
          </w:p>
        </w:tc>
      </w:tr>
      <w:tr w:rsidR="0089663E" w:rsidRPr="000A27B3" w14:paraId="572F832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63C187E" w14:textId="1DCEEFDF"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240</w:t>
            </w:r>
          </w:p>
        </w:tc>
        <w:tc>
          <w:tcPr>
            <w:tcW w:w="3534" w:type="dxa"/>
            <w:tcBorders>
              <w:top w:val="single" w:sz="4" w:space="0" w:color="auto"/>
              <w:left w:val="nil"/>
              <w:bottom w:val="single" w:sz="4" w:space="0" w:color="auto"/>
              <w:right w:val="single" w:sz="4" w:space="0" w:color="auto"/>
            </w:tcBorders>
            <w:shd w:val="clear" w:color="auto" w:fill="C6EFCE"/>
            <w:noWrap/>
          </w:tcPr>
          <w:p w14:paraId="6A846DFE"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C8.I10</w:t>
            </w:r>
          </w:p>
          <w:p w14:paraId="45B03658" w14:textId="229ED645"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Eficiență operațională și servicii electronice avansate pentru sistemul național de pensii prin digitalizare </w:t>
            </w:r>
          </w:p>
        </w:tc>
        <w:tc>
          <w:tcPr>
            <w:tcW w:w="1285" w:type="dxa"/>
            <w:tcBorders>
              <w:top w:val="single" w:sz="4" w:space="0" w:color="auto"/>
              <w:left w:val="nil"/>
              <w:bottom w:val="single" w:sz="4" w:space="0" w:color="auto"/>
              <w:right w:val="single" w:sz="4" w:space="0" w:color="auto"/>
            </w:tcBorders>
            <w:shd w:val="clear" w:color="auto" w:fill="C6EFCE"/>
            <w:noWrap/>
          </w:tcPr>
          <w:p w14:paraId="1421A69D" w14:textId="428EDEB9"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6A0183F0" w14:textId="4E717A69"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Sistemul informatic din cadrul Casei Naționale de Pensii Publice este operațional </w:t>
            </w:r>
          </w:p>
        </w:tc>
      </w:tr>
      <w:tr w:rsidR="0089663E" w:rsidRPr="000A27B3" w14:paraId="3B816CC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4C7376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299</w:t>
            </w:r>
          </w:p>
        </w:tc>
        <w:tc>
          <w:tcPr>
            <w:tcW w:w="3534" w:type="dxa"/>
            <w:tcBorders>
              <w:top w:val="single" w:sz="4" w:space="0" w:color="auto"/>
              <w:left w:val="nil"/>
              <w:bottom w:val="single" w:sz="4" w:space="0" w:color="auto"/>
              <w:right w:val="single" w:sz="4" w:space="0" w:color="auto"/>
            </w:tcBorders>
            <w:shd w:val="clear" w:color="auto" w:fill="C6EFCE"/>
            <w:noWrap/>
          </w:tcPr>
          <w:p w14:paraId="79A521C9"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C10.I1</w:t>
            </w:r>
          </w:p>
          <w:p w14:paraId="4F0E2523"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Mobilitate urbană durabilă</w:t>
            </w:r>
          </w:p>
        </w:tc>
        <w:tc>
          <w:tcPr>
            <w:tcW w:w="1285" w:type="dxa"/>
            <w:tcBorders>
              <w:top w:val="single" w:sz="4" w:space="0" w:color="auto"/>
              <w:left w:val="nil"/>
              <w:bottom w:val="single" w:sz="4" w:space="0" w:color="auto"/>
              <w:right w:val="single" w:sz="4" w:space="0" w:color="auto"/>
            </w:tcBorders>
            <w:shd w:val="clear" w:color="auto" w:fill="C6EFCE"/>
            <w:noWrap/>
          </w:tcPr>
          <w:p w14:paraId="6CB39923"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106C35C"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Unități administrativ-teritoriale cu sisteme operaționale dezvoltate/extinse – sisteme de transport inteligente și e-ticketing/alte infrastructuri TIC</w:t>
            </w:r>
          </w:p>
        </w:tc>
      </w:tr>
      <w:tr w:rsidR="0089663E" w:rsidRPr="000A27B3" w14:paraId="10529D31"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6F36C54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365</w:t>
            </w:r>
          </w:p>
        </w:tc>
        <w:tc>
          <w:tcPr>
            <w:tcW w:w="3534" w:type="dxa"/>
            <w:tcBorders>
              <w:top w:val="single" w:sz="4" w:space="0" w:color="auto"/>
              <w:left w:val="nil"/>
              <w:bottom w:val="single" w:sz="4" w:space="0" w:color="auto"/>
              <w:right w:val="single" w:sz="4" w:space="0" w:color="auto"/>
            </w:tcBorders>
            <w:shd w:val="clear" w:color="auto" w:fill="C6EFCE"/>
            <w:noWrap/>
          </w:tcPr>
          <w:p w14:paraId="233B8E29"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C12.R3 </w:t>
            </w:r>
          </w:p>
          <w:p w14:paraId="3EC9927C" w14:textId="0A1AFF2D"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85" w:type="dxa"/>
            <w:tcBorders>
              <w:top w:val="single" w:sz="4" w:space="0" w:color="auto"/>
              <w:left w:val="nil"/>
              <w:bottom w:val="single" w:sz="4" w:space="0" w:color="auto"/>
              <w:right w:val="single" w:sz="4" w:space="0" w:color="auto"/>
            </w:tcBorders>
            <w:shd w:val="clear" w:color="auto" w:fill="C6EFCE"/>
            <w:noWrap/>
          </w:tcPr>
          <w:p w14:paraId="560585D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2CECB7C4"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Operaționalizarea portalului transparenta.ms.ro privind utilizarea resurselor publice</w:t>
            </w:r>
          </w:p>
        </w:tc>
      </w:tr>
      <w:tr w:rsidR="0089663E" w:rsidRPr="000A27B3" w14:paraId="202D9E3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C65231D"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369</w:t>
            </w:r>
          </w:p>
        </w:tc>
        <w:tc>
          <w:tcPr>
            <w:tcW w:w="3534" w:type="dxa"/>
            <w:tcBorders>
              <w:top w:val="single" w:sz="4" w:space="0" w:color="auto"/>
              <w:left w:val="nil"/>
              <w:bottom w:val="single" w:sz="4" w:space="0" w:color="auto"/>
              <w:right w:val="single" w:sz="4" w:space="0" w:color="auto"/>
            </w:tcBorders>
            <w:shd w:val="clear" w:color="auto" w:fill="C6EFCE"/>
            <w:noWrap/>
          </w:tcPr>
          <w:p w14:paraId="5F00DFDB"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C12.I1 </w:t>
            </w:r>
          </w:p>
          <w:p w14:paraId="3F98C9F9"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Dezvoltarea infrastructurii medicale prespitalicești</w:t>
            </w:r>
          </w:p>
        </w:tc>
        <w:tc>
          <w:tcPr>
            <w:tcW w:w="1285" w:type="dxa"/>
            <w:tcBorders>
              <w:top w:val="single" w:sz="4" w:space="0" w:color="auto"/>
              <w:left w:val="nil"/>
              <w:bottom w:val="single" w:sz="4" w:space="0" w:color="auto"/>
              <w:right w:val="single" w:sz="4" w:space="0" w:color="auto"/>
            </w:tcBorders>
            <w:shd w:val="clear" w:color="auto" w:fill="C6EFCE"/>
            <w:noWrap/>
          </w:tcPr>
          <w:p w14:paraId="63892122"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1EC900B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Unități nou-construite/renovate și dotate care oferă asistență medicală ambulatorie</w:t>
            </w:r>
          </w:p>
        </w:tc>
      </w:tr>
      <w:tr w:rsidR="0089663E" w:rsidRPr="000A27B3" w14:paraId="700FFB6E"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11B51C4"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376</w:t>
            </w:r>
          </w:p>
        </w:tc>
        <w:tc>
          <w:tcPr>
            <w:tcW w:w="3534" w:type="dxa"/>
            <w:tcBorders>
              <w:top w:val="single" w:sz="4" w:space="0" w:color="auto"/>
              <w:left w:val="nil"/>
              <w:bottom w:val="single" w:sz="4" w:space="0" w:color="auto"/>
              <w:right w:val="single" w:sz="4" w:space="0" w:color="auto"/>
            </w:tcBorders>
            <w:shd w:val="clear" w:color="auto" w:fill="C6EFCE"/>
            <w:noWrap/>
          </w:tcPr>
          <w:p w14:paraId="601C7F01"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C12.I2</w:t>
            </w:r>
          </w:p>
          <w:p w14:paraId="4041290C" w14:textId="70780B5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Dezvoltarea infrastructurii spitalicești publice </w:t>
            </w:r>
          </w:p>
        </w:tc>
        <w:tc>
          <w:tcPr>
            <w:tcW w:w="1285" w:type="dxa"/>
            <w:tcBorders>
              <w:top w:val="single" w:sz="4" w:space="0" w:color="auto"/>
              <w:left w:val="nil"/>
              <w:bottom w:val="single" w:sz="4" w:space="0" w:color="auto"/>
              <w:right w:val="single" w:sz="4" w:space="0" w:color="auto"/>
            </w:tcBorders>
            <w:shd w:val="clear" w:color="auto" w:fill="C6EFCE"/>
            <w:noWrap/>
          </w:tcPr>
          <w:p w14:paraId="1ED0897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136D82D"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Unități de terapie intensivă pentru nou-născuți dotate, inclusiv cu ambulanțe pentru nou-născuți (pentru centrele regionale) </w:t>
            </w:r>
          </w:p>
        </w:tc>
      </w:tr>
      <w:tr w:rsidR="0089663E" w:rsidRPr="000A27B3" w14:paraId="2CA889AB"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02D96E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388</w:t>
            </w:r>
          </w:p>
        </w:tc>
        <w:tc>
          <w:tcPr>
            <w:tcW w:w="3534" w:type="dxa"/>
            <w:tcBorders>
              <w:top w:val="single" w:sz="4" w:space="0" w:color="auto"/>
              <w:left w:val="nil"/>
              <w:bottom w:val="single" w:sz="4" w:space="0" w:color="auto"/>
              <w:right w:val="single" w:sz="4" w:space="0" w:color="auto"/>
            </w:tcBorders>
            <w:shd w:val="clear" w:color="auto" w:fill="C6EFCE"/>
            <w:noWrap/>
          </w:tcPr>
          <w:p w14:paraId="60041EE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C13.R4</w:t>
            </w:r>
          </w:p>
          <w:p w14:paraId="1923243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Introducerea tichetelor de muncă și formalizarea muncii în domeniul lucrătorilor casnici</w:t>
            </w:r>
          </w:p>
        </w:tc>
        <w:tc>
          <w:tcPr>
            <w:tcW w:w="1285" w:type="dxa"/>
            <w:tcBorders>
              <w:top w:val="single" w:sz="4" w:space="0" w:color="auto"/>
              <w:left w:val="nil"/>
              <w:bottom w:val="single" w:sz="4" w:space="0" w:color="auto"/>
              <w:right w:val="single" w:sz="4" w:space="0" w:color="auto"/>
            </w:tcBorders>
            <w:shd w:val="clear" w:color="auto" w:fill="C6EFCE"/>
            <w:noWrap/>
          </w:tcPr>
          <w:p w14:paraId="74323690"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5641C90"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Beneficiari (care angajează lucrători casnici) </w:t>
            </w:r>
          </w:p>
        </w:tc>
      </w:tr>
      <w:tr w:rsidR="0089663E" w:rsidRPr="000A27B3" w14:paraId="69FA83F1"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8B6384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390</w:t>
            </w:r>
          </w:p>
        </w:tc>
        <w:tc>
          <w:tcPr>
            <w:tcW w:w="3534" w:type="dxa"/>
            <w:tcBorders>
              <w:top w:val="single" w:sz="4" w:space="0" w:color="auto"/>
              <w:left w:val="nil"/>
              <w:bottom w:val="single" w:sz="4" w:space="0" w:color="auto"/>
              <w:right w:val="single" w:sz="4" w:space="0" w:color="auto"/>
            </w:tcBorders>
            <w:shd w:val="clear" w:color="auto" w:fill="C6EFCE"/>
            <w:noWrap/>
          </w:tcPr>
          <w:p w14:paraId="619A608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C13.R4</w:t>
            </w:r>
          </w:p>
          <w:p w14:paraId="7A76C9C0"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Introducerea tichetelor de muncă și formalizarea muncii în domeniul lucrătorilor casnici</w:t>
            </w:r>
          </w:p>
        </w:tc>
        <w:tc>
          <w:tcPr>
            <w:tcW w:w="1285" w:type="dxa"/>
            <w:tcBorders>
              <w:top w:val="single" w:sz="4" w:space="0" w:color="auto"/>
              <w:left w:val="nil"/>
              <w:bottom w:val="single" w:sz="4" w:space="0" w:color="auto"/>
              <w:right w:val="single" w:sz="4" w:space="0" w:color="auto"/>
            </w:tcBorders>
            <w:shd w:val="clear" w:color="auto" w:fill="C6EFCE"/>
            <w:noWrap/>
          </w:tcPr>
          <w:p w14:paraId="3A26C45C"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7C47CFC4"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Lucrătorii casnici/prestatorii casnici înregistrați anterior ca șomeri sau inactivi prestează servicii prin intermediul tichetelor de muncă</w:t>
            </w:r>
          </w:p>
        </w:tc>
      </w:tr>
      <w:tr w:rsidR="0089663E" w:rsidRPr="000A27B3" w14:paraId="526F7C67"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AA4AA90"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394</w:t>
            </w:r>
          </w:p>
        </w:tc>
        <w:tc>
          <w:tcPr>
            <w:tcW w:w="3534" w:type="dxa"/>
            <w:tcBorders>
              <w:top w:val="single" w:sz="4" w:space="0" w:color="auto"/>
              <w:left w:val="nil"/>
              <w:bottom w:val="single" w:sz="4" w:space="0" w:color="auto"/>
              <w:right w:val="single" w:sz="4" w:space="0" w:color="auto"/>
            </w:tcBorders>
            <w:shd w:val="clear" w:color="auto" w:fill="C6EFCE"/>
            <w:noWrap/>
          </w:tcPr>
          <w:p w14:paraId="2A303360"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C13.I1</w:t>
            </w:r>
          </w:p>
          <w:p w14:paraId="162FB448"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Crearea unei rețele de centre de zi pentru copiii expuși riscului de a fi separați de familie</w:t>
            </w:r>
          </w:p>
        </w:tc>
        <w:tc>
          <w:tcPr>
            <w:tcW w:w="1285" w:type="dxa"/>
            <w:tcBorders>
              <w:top w:val="single" w:sz="4" w:space="0" w:color="auto"/>
              <w:left w:val="nil"/>
              <w:bottom w:val="single" w:sz="4" w:space="0" w:color="auto"/>
              <w:right w:val="single" w:sz="4" w:space="0" w:color="auto"/>
            </w:tcBorders>
            <w:shd w:val="clear" w:color="auto" w:fill="C6EFCE"/>
            <w:noWrap/>
          </w:tcPr>
          <w:p w14:paraId="3F23EFCB"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60B31D14"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Centre de zi pentru a preveni separarea copiilor de familie</w:t>
            </w:r>
          </w:p>
        </w:tc>
      </w:tr>
      <w:tr w:rsidR="0089663E" w:rsidRPr="000A27B3" w14:paraId="75E40318"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A046A17"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395</w:t>
            </w:r>
          </w:p>
        </w:tc>
        <w:tc>
          <w:tcPr>
            <w:tcW w:w="3534" w:type="dxa"/>
            <w:tcBorders>
              <w:top w:val="single" w:sz="4" w:space="0" w:color="auto"/>
              <w:left w:val="nil"/>
              <w:bottom w:val="single" w:sz="4" w:space="0" w:color="auto"/>
              <w:right w:val="single" w:sz="4" w:space="0" w:color="auto"/>
            </w:tcBorders>
            <w:shd w:val="clear" w:color="auto" w:fill="C6EFCE"/>
            <w:noWrap/>
          </w:tcPr>
          <w:p w14:paraId="3666B2B2"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C13.I2</w:t>
            </w:r>
          </w:p>
          <w:p w14:paraId="1CE2354D"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Reabilitarea, renovarea și dezvoltarea infrastructurii sociale pentru persoanele cu dizabilități</w:t>
            </w:r>
          </w:p>
        </w:tc>
        <w:tc>
          <w:tcPr>
            <w:tcW w:w="1285" w:type="dxa"/>
            <w:tcBorders>
              <w:top w:val="single" w:sz="4" w:space="0" w:color="auto"/>
              <w:left w:val="nil"/>
              <w:bottom w:val="single" w:sz="4" w:space="0" w:color="auto"/>
              <w:right w:val="single" w:sz="4" w:space="0" w:color="auto"/>
            </w:tcBorders>
            <w:shd w:val="clear" w:color="auto" w:fill="C6EFCE"/>
            <w:noWrap/>
          </w:tcPr>
          <w:p w14:paraId="2D238E42"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8155829"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Servicii comunitare modernizate pentru persoanele cu dizabilități </w:t>
            </w:r>
          </w:p>
        </w:tc>
      </w:tr>
      <w:tr w:rsidR="0089663E" w:rsidRPr="000A27B3" w14:paraId="423B917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757A6A1"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405</w:t>
            </w:r>
          </w:p>
        </w:tc>
        <w:tc>
          <w:tcPr>
            <w:tcW w:w="3534" w:type="dxa"/>
            <w:tcBorders>
              <w:top w:val="single" w:sz="4" w:space="0" w:color="auto"/>
              <w:left w:val="nil"/>
              <w:bottom w:val="single" w:sz="4" w:space="0" w:color="auto"/>
              <w:right w:val="single" w:sz="4" w:space="0" w:color="auto"/>
            </w:tcBorders>
            <w:shd w:val="clear" w:color="auto" w:fill="C6EFCE"/>
            <w:noWrap/>
          </w:tcPr>
          <w:p w14:paraId="08A05285"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C14.R1</w:t>
            </w:r>
          </w:p>
          <w:p w14:paraId="098A7E9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85" w:type="dxa"/>
            <w:tcBorders>
              <w:top w:val="single" w:sz="4" w:space="0" w:color="auto"/>
              <w:left w:val="nil"/>
              <w:bottom w:val="single" w:sz="4" w:space="0" w:color="auto"/>
              <w:right w:val="single" w:sz="4" w:space="0" w:color="auto"/>
            </w:tcBorders>
            <w:shd w:val="clear" w:color="auto" w:fill="C6EFCE"/>
            <w:noWrap/>
          </w:tcPr>
          <w:p w14:paraId="21279BF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0796E0D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Platforma IT pentru monitorizarea inovării în administrația publică este operațională</w:t>
            </w:r>
          </w:p>
        </w:tc>
      </w:tr>
      <w:tr w:rsidR="0089663E" w:rsidRPr="0089663E" w14:paraId="1AA0F69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248260D"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408</w:t>
            </w:r>
          </w:p>
        </w:tc>
        <w:tc>
          <w:tcPr>
            <w:tcW w:w="3534" w:type="dxa"/>
            <w:tcBorders>
              <w:top w:val="single" w:sz="4" w:space="0" w:color="auto"/>
              <w:left w:val="nil"/>
              <w:bottom w:val="single" w:sz="4" w:space="0" w:color="auto"/>
              <w:right w:val="single" w:sz="4" w:space="0" w:color="auto"/>
            </w:tcBorders>
            <w:shd w:val="clear" w:color="auto" w:fill="C6EFCE"/>
            <w:noWrap/>
          </w:tcPr>
          <w:p w14:paraId="24E86D75"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C14.R1</w:t>
            </w:r>
          </w:p>
          <w:p w14:paraId="03BBE5D8"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85" w:type="dxa"/>
            <w:tcBorders>
              <w:top w:val="single" w:sz="4" w:space="0" w:color="auto"/>
              <w:left w:val="nil"/>
              <w:bottom w:val="single" w:sz="4" w:space="0" w:color="auto"/>
              <w:right w:val="single" w:sz="4" w:space="0" w:color="auto"/>
            </w:tcBorders>
            <w:shd w:val="clear" w:color="auto" w:fill="C6EFCE"/>
            <w:noWrap/>
          </w:tcPr>
          <w:p w14:paraId="5A6D4CC2"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2E269EA5"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25 % din instrumentele de prezentare și de motivare îndeplinesc criteriile de calitate stabilite (adică sunt evaluate la un nivel excelent sau satisfăcător) conform metodologiei guvernamentale </w:t>
            </w:r>
          </w:p>
        </w:tc>
      </w:tr>
      <w:tr w:rsidR="0089663E" w:rsidRPr="000A27B3" w14:paraId="08E9A624"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C1FA4E4"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418</w:t>
            </w:r>
          </w:p>
        </w:tc>
        <w:tc>
          <w:tcPr>
            <w:tcW w:w="3534" w:type="dxa"/>
            <w:tcBorders>
              <w:top w:val="single" w:sz="4" w:space="0" w:color="auto"/>
              <w:left w:val="nil"/>
              <w:bottom w:val="single" w:sz="4" w:space="0" w:color="auto"/>
              <w:right w:val="single" w:sz="4" w:space="0" w:color="auto"/>
            </w:tcBorders>
            <w:shd w:val="clear" w:color="auto" w:fill="C6EFCE"/>
            <w:noWrap/>
          </w:tcPr>
          <w:p w14:paraId="5505899B"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C14.R3</w:t>
            </w:r>
          </w:p>
          <w:p w14:paraId="507CE3C9"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Management performant al resurselor umane în sectorul public</w:t>
            </w:r>
          </w:p>
        </w:tc>
        <w:tc>
          <w:tcPr>
            <w:tcW w:w="1285" w:type="dxa"/>
            <w:tcBorders>
              <w:top w:val="single" w:sz="4" w:space="0" w:color="auto"/>
              <w:left w:val="nil"/>
              <w:bottom w:val="single" w:sz="4" w:space="0" w:color="auto"/>
              <w:right w:val="single" w:sz="4" w:space="0" w:color="auto"/>
            </w:tcBorders>
            <w:shd w:val="clear" w:color="auto" w:fill="C6EFCE"/>
            <w:noWrap/>
          </w:tcPr>
          <w:p w14:paraId="623B861C"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2094D630"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Intrarea în vigoare a două acte legislative privind managementul resurselor umane </w:t>
            </w:r>
          </w:p>
        </w:tc>
      </w:tr>
      <w:tr w:rsidR="0089663E" w:rsidRPr="000A27B3" w14:paraId="1556C1A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697571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431</w:t>
            </w:r>
          </w:p>
        </w:tc>
        <w:tc>
          <w:tcPr>
            <w:tcW w:w="3534" w:type="dxa"/>
            <w:tcBorders>
              <w:top w:val="single" w:sz="4" w:space="0" w:color="auto"/>
              <w:left w:val="nil"/>
              <w:bottom w:val="single" w:sz="4" w:space="0" w:color="auto"/>
              <w:right w:val="single" w:sz="4" w:space="0" w:color="auto"/>
            </w:tcBorders>
            <w:shd w:val="clear" w:color="auto" w:fill="C6EFCE"/>
            <w:noWrap/>
          </w:tcPr>
          <w:p w14:paraId="76F601E5"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C14.R7</w:t>
            </w:r>
          </w:p>
          <w:p w14:paraId="56B3B2E3"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Evaluarea și actualizarea legislației privind cadrul de integritate</w:t>
            </w:r>
          </w:p>
        </w:tc>
        <w:tc>
          <w:tcPr>
            <w:tcW w:w="1285" w:type="dxa"/>
            <w:tcBorders>
              <w:top w:val="single" w:sz="4" w:space="0" w:color="auto"/>
              <w:left w:val="nil"/>
              <w:bottom w:val="single" w:sz="4" w:space="0" w:color="auto"/>
              <w:right w:val="single" w:sz="4" w:space="0" w:color="auto"/>
            </w:tcBorders>
            <w:shd w:val="clear" w:color="auto" w:fill="C6EFCE"/>
            <w:noWrap/>
          </w:tcPr>
          <w:p w14:paraId="46E2A2AE"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7F87BC7B"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Intrarea în vigoare a legilor consolidate privind integritatea </w:t>
            </w:r>
          </w:p>
        </w:tc>
      </w:tr>
      <w:tr w:rsidR="0089663E" w:rsidRPr="000A27B3" w14:paraId="42C4893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C4F1C93"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432</w:t>
            </w:r>
          </w:p>
        </w:tc>
        <w:tc>
          <w:tcPr>
            <w:tcW w:w="3534" w:type="dxa"/>
            <w:tcBorders>
              <w:top w:val="single" w:sz="4" w:space="0" w:color="auto"/>
              <w:left w:val="nil"/>
              <w:bottom w:val="single" w:sz="4" w:space="0" w:color="auto"/>
              <w:right w:val="single" w:sz="4" w:space="0" w:color="auto"/>
            </w:tcBorders>
            <w:shd w:val="clear" w:color="auto" w:fill="C6EFCE"/>
            <w:noWrap/>
          </w:tcPr>
          <w:p w14:paraId="4207FA23"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C14.R7</w:t>
            </w:r>
          </w:p>
          <w:p w14:paraId="4713D62C"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Evaluarea și actualizarea legislației privind cadrul de integritate</w:t>
            </w:r>
          </w:p>
        </w:tc>
        <w:tc>
          <w:tcPr>
            <w:tcW w:w="1285" w:type="dxa"/>
            <w:tcBorders>
              <w:top w:val="single" w:sz="4" w:space="0" w:color="auto"/>
              <w:left w:val="nil"/>
              <w:bottom w:val="single" w:sz="4" w:space="0" w:color="auto"/>
              <w:right w:val="single" w:sz="4" w:space="0" w:color="auto"/>
            </w:tcBorders>
            <w:shd w:val="clear" w:color="auto" w:fill="C6EFCE"/>
            <w:noWrap/>
          </w:tcPr>
          <w:p w14:paraId="5F0C3E6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73C40A1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Aprobarea versiunii revizuite a codului de etică și conduită pentru Guvern, în plus față de cele existente pentru funcția publică și adoptarea și implementarea măsurilor de aplicare</w:t>
            </w:r>
          </w:p>
        </w:tc>
      </w:tr>
      <w:tr w:rsidR="0089663E" w:rsidRPr="000A27B3" w14:paraId="392CEAB3"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8D11A44"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483</w:t>
            </w:r>
          </w:p>
        </w:tc>
        <w:tc>
          <w:tcPr>
            <w:tcW w:w="3534" w:type="dxa"/>
            <w:tcBorders>
              <w:top w:val="single" w:sz="4" w:space="0" w:color="auto"/>
              <w:left w:val="nil"/>
              <w:bottom w:val="single" w:sz="4" w:space="0" w:color="auto"/>
              <w:right w:val="single" w:sz="4" w:space="0" w:color="auto"/>
            </w:tcBorders>
            <w:shd w:val="clear" w:color="auto" w:fill="C6EFCE"/>
            <w:noWrap/>
          </w:tcPr>
          <w:p w14:paraId="58E94BEA"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C15.I9 </w:t>
            </w:r>
          </w:p>
          <w:p w14:paraId="0912261B"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Asigurarea echipamentelor și a resurselor tehnologice digitale pentru unitățile de învățământ</w:t>
            </w:r>
          </w:p>
        </w:tc>
        <w:tc>
          <w:tcPr>
            <w:tcW w:w="1285" w:type="dxa"/>
            <w:tcBorders>
              <w:top w:val="single" w:sz="4" w:space="0" w:color="auto"/>
              <w:left w:val="nil"/>
              <w:bottom w:val="single" w:sz="4" w:space="0" w:color="auto"/>
              <w:right w:val="single" w:sz="4" w:space="0" w:color="auto"/>
            </w:tcBorders>
            <w:shd w:val="clear" w:color="auto" w:fill="C6EFCE"/>
            <w:noWrap/>
          </w:tcPr>
          <w:p w14:paraId="184C81F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A22EEB8"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Școli dispunând de infrastructură și echipamente tehnologice</w:t>
            </w:r>
          </w:p>
        </w:tc>
      </w:tr>
      <w:tr w:rsidR="0089663E" w:rsidRPr="000A27B3" w14:paraId="65B557F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B34B76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125</w:t>
            </w:r>
          </w:p>
        </w:tc>
        <w:tc>
          <w:tcPr>
            <w:tcW w:w="3534" w:type="dxa"/>
            <w:tcBorders>
              <w:top w:val="single" w:sz="4" w:space="0" w:color="auto"/>
              <w:left w:val="nil"/>
              <w:bottom w:val="single" w:sz="4" w:space="0" w:color="auto"/>
              <w:right w:val="single" w:sz="4" w:space="0" w:color="auto"/>
            </w:tcBorders>
            <w:shd w:val="clear" w:color="auto" w:fill="C6EFCE"/>
            <w:noWrap/>
          </w:tcPr>
          <w:p w14:paraId="006CFD95"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C6.I1</w:t>
            </w:r>
          </w:p>
          <w:p w14:paraId="7048E6B6"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Noi capacități de producție de energie electrică din surse regenerabile</w:t>
            </w:r>
          </w:p>
        </w:tc>
        <w:tc>
          <w:tcPr>
            <w:tcW w:w="1285" w:type="dxa"/>
            <w:tcBorders>
              <w:top w:val="single" w:sz="4" w:space="0" w:color="auto"/>
              <w:left w:val="nil"/>
              <w:bottom w:val="single" w:sz="4" w:space="0" w:color="auto"/>
              <w:right w:val="single" w:sz="4" w:space="0" w:color="auto"/>
            </w:tcBorders>
            <w:shd w:val="clear" w:color="auto" w:fill="C6EFCE"/>
            <w:noWrap/>
          </w:tcPr>
          <w:p w14:paraId="37C7CD0E"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0712578C"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Capacitate suplimentară instalată din energie din surse regenerabile (energie eoliană și solară)</w:t>
            </w:r>
          </w:p>
        </w:tc>
      </w:tr>
      <w:tr w:rsidR="0089663E" w:rsidRPr="000A27B3" w14:paraId="36E2B98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8FBC0B1"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467</w:t>
            </w:r>
          </w:p>
        </w:tc>
        <w:tc>
          <w:tcPr>
            <w:tcW w:w="3534" w:type="dxa"/>
            <w:tcBorders>
              <w:top w:val="single" w:sz="4" w:space="0" w:color="auto"/>
              <w:left w:val="nil"/>
              <w:bottom w:val="single" w:sz="4" w:space="0" w:color="auto"/>
              <w:right w:val="single" w:sz="4" w:space="0" w:color="auto"/>
            </w:tcBorders>
            <w:shd w:val="clear" w:color="auto" w:fill="C6EFCE"/>
            <w:noWrap/>
          </w:tcPr>
          <w:p w14:paraId="6D1C4813"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C15.I4 </w:t>
            </w:r>
          </w:p>
          <w:p w14:paraId="7105F1D1"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Sprijinirea unităților de învățământ cu risc ridicat de abandon școlar</w:t>
            </w:r>
          </w:p>
        </w:tc>
        <w:tc>
          <w:tcPr>
            <w:tcW w:w="1285" w:type="dxa"/>
            <w:tcBorders>
              <w:top w:val="single" w:sz="4" w:space="0" w:color="auto"/>
              <w:left w:val="nil"/>
              <w:bottom w:val="single" w:sz="4" w:space="0" w:color="auto"/>
              <w:right w:val="single" w:sz="4" w:space="0" w:color="auto"/>
            </w:tcBorders>
            <w:shd w:val="clear" w:color="auto" w:fill="C6EFCE"/>
            <w:noWrap/>
          </w:tcPr>
          <w:p w14:paraId="0C1AD4F1"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7C67D85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Instituții de învățământ incluse în programul de abandon școlar cu săli de clasă digitalizate</w:t>
            </w:r>
          </w:p>
        </w:tc>
      </w:tr>
      <w:tr w:rsidR="0089663E" w:rsidRPr="000A27B3" w14:paraId="33300E6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2F42DB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486</w:t>
            </w:r>
          </w:p>
        </w:tc>
        <w:tc>
          <w:tcPr>
            <w:tcW w:w="3534" w:type="dxa"/>
            <w:tcBorders>
              <w:top w:val="single" w:sz="4" w:space="0" w:color="auto"/>
              <w:left w:val="nil"/>
              <w:bottom w:val="single" w:sz="4" w:space="0" w:color="auto"/>
              <w:right w:val="single" w:sz="4" w:space="0" w:color="auto"/>
            </w:tcBorders>
            <w:shd w:val="clear" w:color="auto" w:fill="C6EFCE"/>
            <w:noWrap/>
          </w:tcPr>
          <w:p w14:paraId="5C8A6566"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C15.I10</w:t>
            </w:r>
          </w:p>
          <w:p w14:paraId="4460E26E"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Dezvoltarea rețelei de școli verzi și achiziționarea de microbuze verzi</w:t>
            </w:r>
          </w:p>
        </w:tc>
        <w:tc>
          <w:tcPr>
            <w:tcW w:w="1285" w:type="dxa"/>
            <w:tcBorders>
              <w:top w:val="single" w:sz="4" w:space="0" w:color="auto"/>
              <w:left w:val="nil"/>
              <w:bottom w:val="single" w:sz="4" w:space="0" w:color="auto"/>
              <w:right w:val="single" w:sz="4" w:space="0" w:color="auto"/>
            </w:tcBorders>
            <w:shd w:val="clear" w:color="auto" w:fill="C6EFCE"/>
            <w:noWrap/>
          </w:tcPr>
          <w:p w14:paraId="53DB70C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24823B77"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Microbuze electrice achiziționate și în folosință</w:t>
            </w:r>
          </w:p>
        </w:tc>
      </w:tr>
      <w:tr w:rsidR="0089663E" w:rsidRPr="000A27B3" w14:paraId="3F5DB7B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5A5A53D"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495</w:t>
            </w:r>
          </w:p>
        </w:tc>
        <w:tc>
          <w:tcPr>
            <w:tcW w:w="3534" w:type="dxa"/>
            <w:tcBorders>
              <w:top w:val="single" w:sz="4" w:space="0" w:color="auto"/>
              <w:left w:val="nil"/>
              <w:bottom w:val="single" w:sz="4" w:space="0" w:color="auto"/>
              <w:right w:val="single" w:sz="4" w:space="0" w:color="auto"/>
            </w:tcBorders>
            <w:shd w:val="clear" w:color="auto" w:fill="C6EFCE"/>
            <w:noWrap/>
          </w:tcPr>
          <w:p w14:paraId="4EC0FFD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C15.R7</w:t>
            </w:r>
          </w:p>
          <w:p w14:paraId="5D24679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Reforma guvernanței sistemului de învățământ preuniversitar și profesionalizarea managementului</w:t>
            </w:r>
          </w:p>
        </w:tc>
        <w:tc>
          <w:tcPr>
            <w:tcW w:w="1285" w:type="dxa"/>
            <w:tcBorders>
              <w:top w:val="single" w:sz="4" w:space="0" w:color="auto"/>
              <w:left w:val="nil"/>
              <w:bottom w:val="single" w:sz="4" w:space="0" w:color="auto"/>
              <w:right w:val="single" w:sz="4" w:space="0" w:color="auto"/>
            </w:tcBorders>
            <w:shd w:val="clear" w:color="auto" w:fill="C6EFCE"/>
            <w:noWrap/>
          </w:tcPr>
          <w:p w14:paraId="58A6454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7DBC6438"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Publicarea și implementarea unui plan de măsuri de reformare a guvernanței, inclusiv a programului de formare și îndrumare pentru manageri și inspectori</w:t>
            </w:r>
          </w:p>
        </w:tc>
      </w:tr>
      <w:tr w:rsidR="0089663E" w:rsidRPr="000A27B3" w14:paraId="1709F61D"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95E05F5"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509</w:t>
            </w:r>
          </w:p>
        </w:tc>
        <w:tc>
          <w:tcPr>
            <w:tcW w:w="3534" w:type="dxa"/>
            <w:tcBorders>
              <w:top w:val="single" w:sz="4" w:space="0" w:color="auto"/>
              <w:left w:val="nil"/>
              <w:bottom w:val="single" w:sz="4" w:space="0" w:color="auto"/>
              <w:right w:val="single" w:sz="4" w:space="0" w:color="auto"/>
            </w:tcBorders>
            <w:shd w:val="clear" w:color="auto" w:fill="C6EFCE"/>
            <w:noWrap/>
          </w:tcPr>
          <w:p w14:paraId="771741FF"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C16.R1</w:t>
            </w:r>
          </w:p>
          <w:p w14:paraId="524BC41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Crearea unui cadru juridic pentru utilizarea terenurilor de stat ca zone de accelerare pentru investițiile în sursele regenerabile de energie</w:t>
            </w:r>
          </w:p>
        </w:tc>
        <w:tc>
          <w:tcPr>
            <w:tcW w:w="1285" w:type="dxa"/>
            <w:tcBorders>
              <w:top w:val="single" w:sz="4" w:space="0" w:color="auto"/>
              <w:left w:val="nil"/>
              <w:bottom w:val="single" w:sz="4" w:space="0" w:color="auto"/>
              <w:right w:val="single" w:sz="4" w:space="0" w:color="auto"/>
            </w:tcBorders>
            <w:shd w:val="clear" w:color="auto" w:fill="C6EFCE"/>
            <w:noWrap/>
          </w:tcPr>
          <w:p w14:paraId="3FAF0C03"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396C9E84"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Intrarea în vigoare a cadrului legal</w:t>
            </w:r>
          </w:p>
        </w:tc>
      </w:tr>
      <w:tr w:rsidR="0089663E" w:rsidRPr="000A27B3" w14:paraId="5D0B50B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43366F0"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510</w:t>
            </w:r>
          </w:p>
        </w:tc>
        <w:tc>
          <w:tcPr>
            <w:tcW w:w="3534" w:type="dxa"/>
            <w:tcBorders>
              <w:top w:val="single" w:sz="4" w:space="0" w:color="auto"/>
              <w:left w:val="nil"/>
              <w:bottom w:val="single" w:sz="4" w:space="0" w:color="auto"/>
              <w:right w:val="single" w:sz="4" w:space="0" w:color="auto"/>
            </w:tcBorders>
            <w:shd w:val="clear" w:color="auto" w:fill="C6EFCE"/>
            <w:noWrap/>
          </w:tcPr>
          <w:p w14:paraId="7300EC10"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C16.R1</w:t>
            </w:r>
          </w:p>
          <w:p w14:paraId="056D0AC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Crearea unui cadru juridic pentru utilizarea terenurilor de stat ca zone de accelerare pentru investițiile în sursele regenerabile de energie</w:t>
            </w:r>
          </w:p>
        </w:tc>
        <w:tc>
          <w:tcPr>
            <w:tcW w:w="1285" w:type="dxa"/>
            <w:tcBorders>
              <w:top w:val="single" w:sz="4" w:space="0" w:color="auto"/>
              <w:left w:val="nil"/>
              <w:bottom w:val="single" w:sz="4" w:space="0" w:color="auto"/>
              <w:right w:val="single" w:sz="4" w:space="0" w:color="auto"/>
            </w:tcBorders>
            <w:shd w:val="clear" w:color="auto" w:fill="C6EFCE"/>
            <w:noWrap/>
          </w:tcPr>
          <w:p w14:paraId="4343AD4B"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165BDBC8"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Crearea unui registru național unic pentru terenurile aflate în proprietatea statului</w:t>
            </w:r>
          </w:p>
        </w:tc>
      </w:tr>
      <w:tr w:rsidR="0089663E" w:rsidRPr="000A27B3" w14:paraId="29FC7AEC"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62433C8"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512</w:t>
            </w:r>
          </w:p>
        </w:tc>
        <w:tc>
          <w:tcPr>
            <w:tcW w:w="3534" w:type="dxa"/>
            <w:tcBorders>
              <w:top w:val="single" w:sz="4" w:space="0" w:color="auto"/>
              <w:left w:val="nil"/>
              <w:bottom w:val="single" w:sz="4" w:space="0" w:color="auto"/>
              <w:right w:val="single" w:sz="4" w:space="0" w:color="auto"/>
            </w:tcBorders>
            <w:shd w:val="clear" w:color="auto" w:fill="C6EFCE"/>
            <w:noWrap/>
          </w:tcPr>
          <w:p w14:paraId="05E33516"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C16.I1</w:t>
            </w:r>
          </w:p>
          <w:p w14:paraId="78782DA8"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Formare pentru dobândirea competențelor în domeniul energiei verzi</w:t>
            </w:r>
          </w:p>
        </w:tc>
        <w:tc>
          <w:tcPr>
            <w:tcW w:w="1285" w:type="dxa"/>
            <w:tcBorders>
              <w:top w:val="single" w:sz="4" w:space="0" w:color="auto"/>
              <w:left w:val="nil"/>
              <w:bottom w:val="single" w:sz="4" w:space="0" w:color="auto"/>
              <w:right w:val="single" w:sz="4" w:space="0" w:color="auto"/>
            </w:tcBorders>
            <w:shd w:val="clear" w:color="auto" w:fill="C6EFCE"/>
            <w:noWrap/>
          </w:tcPr>
          <w:p w14:paraId="357C8DB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0655F09D" w14:textId="74F7B7B3"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Aprobarea standardelor profesionale în domeniul producției de energie din surse regenerabile </w:t>
            </w:r>
          </w:p>
        </w:tc>
      </w:tr>
      <w:tr w:rsidR="0089663E" w:rsidRPr="000A27B3" w14:paraId="60D340F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60478F0"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521</w:t>
            </w:r>
          </w:p>
        </w:tc>
        <w:tc>
          <w:tcPr>
            <w:tcW w:w="3534" w:type="dxa"/>
            <w:tcBorders>
              <w:top w:val="single" w:sz="4" w:space="0" w:color="auto"/>
              <w:left w:val="nil"/>
              <w:bottom w:val="single" w:sz="4" w:space="0" w:color="auto"/>
              <w:right w:val="single" w:sz="4" w:space="0" w:color="auto"/>
            </w:tcBorders>
            <w:shd w:val="clear" w:color="auto" w:fill="C6EFCE"/>
            <w:noWrap/>
          </w:tcPr>
          <w:p w14:paraId="04A07ACA"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C16.I5c</w:t>
            </w:r>
          </w:p>
          <w:p w14:paraId="1B934491"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Optimizarea rețelei de comunicații și crearea unui centru de date – Teletrans SA</w:t>
            </w:r>
          </w:p>
        </w:tc>
        <w:tc>
          <w:tcPr>
            <w:tcW w:w="1285" w:type="dxa"/>
            <w:tcBorders>
              <w:top w:val="single" w:sz="4" w:space="0" w:color="auto"/>
              <w:left w:val="nil"/>
              <w:bottom w:val="single" w:sz="4" w:space="0" w:color="auto"/>
              <w:right w:val="single" w:sz="4" w:space="0" w:color="auto"/>
            </w:tcBorders>
            <w:shd w:val="clear" w:color="auto" w:fill="C6EFCE"/>
            <w:noWrap/>
          </w:tcPr>
          <w:p w14:paraId="7BBA3674"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31C800CB"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Semnarea contractelor de aprovizionare</w:t>
            </w:r>
          </w:p>
        </w:tc>
      </w:tr>
      <w:tr w:rsidR="0089663E" w:rsidRPr="000A27B3" w14:paraId="0572FE1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36F252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208</w:t>
            </w:r>
          </w:p>
        </w:tc>
        <w:tc>
          <w:tcPr>
            <w:tcW w:w="3534" w:type="dxa"/>
            <w:tcBorders>
              <w:top w:val="single" w:sz="4" w:space="0" w:color="auto"/>
              <w:left w:val="nil"/>
              <w:bottom w:val="single" w:sz="4" w:space="0" w:color="auto"/>
              <w:right w:val="single" w:sz="4" w:space="0" w:color="auto"/>
            </w:tcBorders>
            <w:shd w:val="clear" w:color="auto" w:fill="C6EFCE"/>
            <w:noWrap/>
          </w:tcPr>
          <w:p w14:paraId="79F2486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C8.R4</w:t>
            </w:r>
          </w:p>
          <w:p w14:paraId="5ED15AF5"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Revizuirea cadrului fiscal</w:t>
            </w:r>
          </w:p>
        </w:tc>
        <w:tc>
          <w:tcPr>
            <w:tcW w:w="1285" w:type="dxa"/>
            <w:tcBorders>
              <w:top w:val="single" w:sz="4" w:space="0" w:color="auto"/>
              <w:left w:val="nil"/>
              <w:bottom w:val="single" w:sz="4" w:space="0" w:color="auto"/>
              <w:right w:val="single" w:sz="4" w:space="0" w:color="auto"/>
            </w:tcBorders>
            <w:shd w:val="clear" w:color="auto" w:fill="C6EFCE"/>
            <w:noWrap/>
          </w:tcPr>
          <w:p w14:paraId="209B4F6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0143146B"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Intrarea în vigoare a modificărilor aduse Codului Fiscal (Legea nr. 227/2015) care reduc treptat stimulentele fiscale pentru personalul angajat în sectorul construcțiilor </w:t>
            </w:r>
          </w:p>
        </w:tc>
      </w:tr>
      <w:tr w:rsidR="0089663E" w:rsidRPr="000A27B3" w14:paraId="628F12E1"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78AEBE3"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438</w:t>
            </w:r>
          </w:p>
        </w:tc>
        <w:tc>
          <w:tcPr>
            <w:tcW w:w="3534" w:type="dxa"/>
            <w:tcBorders>
              <w:top w:val="single" w:sz="4" w:space="0" w:color="auto"/>
              <w:left w:val="nil"/>
              <w:bottom w:val="single" w:sz="4" w:space="0" w:color="auto"/>
              <w:right w:val="single" w:sz="4" w:space="0" w:color="auto"/>
            </w:tcBorders>
            <w:shd w:val="clear" w:color="auto" w:fill="C6EFCE"/>
            <w:noWrap/>
          </w:tcPr>
          <w:p w14:paraId="17882A88"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C14.R8</w:t>
            </w:r>
          </w:p>
          <w:p w14:paraId="5DD46D65"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Reformarea sistemului național de achiziții publice</w:t>
            </w:r>
          </w:p>
        </w:tc>
        <w:tc>
          <w:tcPr>
            <w:tcW w:w="1285" w:type="dxa"/>
            <w:tcBorders>
              <w:top w:val="single" w:sz="4" w:space="0" w:color="auto"/>
              <w:left w:val="nil"/>
              <w:bottom w:val="single" w:sz="4" w:space="0" w:color="auto"/>
              <w:right w:val="single" w:sz="4" w:space="0" w:color="auto"/>
            </w:tcBorders>
            <w:shd w:val="clear" w:color="auto" w:fill="C6EFCE"/>
            <w:noWrap/>
          </w:tcPr>
          <w:p w14:paraId="3975B6E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73F6EA7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Sistemul electronic de achiziții publice operațional </w:t>
            </w:r>
          </w:p>
        </w:tc>
      </w:tr>
      <w:tr w:rsidR="0089663E" w:rsidRPr="000A27B3" w14:paraId="4F08A64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5D42E9C"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484</w:t>
            </w:r>
          </w:p>
        </w:tc>
        <w:tc>
          <w:tcPr>
            <w:tcW w:w="3534" w:type="dxa"/>
            <w:tcBorders>
              <w:top w:val="single" w:sz="4" w:space="0" w:color="auto"/>
              <w:left w:val="nil"/>
              <w:bottom w:val="single" w:sz="4" w:space="0" w:color="auto"/>
              <w:right w:val="single" w:sz="4" w:space="0" w:color="auto"/>
            </w:tcBorders>
            <w:shd w:val="clear" w:color="auto" w:fill="C6EFCE"/>
            <w:noWrap/>
          </w:tcPr>
          <w:p w14:paraId="580CED96"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C15.I9 </w:t>
            </w:r>
          </w:p>
          <w:p w14:paraId="0303884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Asigurarea echipamentelor și a resurselor tehnologice digitale pentru unitățile de învățământ</w:t>
            </w:r>
          </w:p>
        </w:tc>
        <w:tc>
          <w:tcPr>
            <w:tcW w:w="1285" w:type="dxa"/>
            <w:tcBorders>
              <w:top w:val="single" w:sz="4" w:space="0" w:color="auto"/>
              <w:left w:val="nil"/>
              <w:bottom w:val="single" w:sz="4" w:space="0" w:color="auto"/>
              <w:right w:val="single" w:sz="4" w:space="0" w:color="auto"/>
            </w:tcBorders>
            <w:shd w:val="clear" w:color="auto" w:fill="C6EFCE"/>
            <w:noWrap/>
          </w:tcPr>
          <w:p w14:paraId="3990F8F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09AD0E4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Laboratoare inteligente achiziționate pentru unitățile de învățământ secundar și licee</w:t>
            </w:r>
          </w:p>
        </w:tc>
      </w:tr>
      <w:tr w:rsidR="0089663E" w:rsidRPr="000A27B3" w14:paraId="561629E5"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9DF193B"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118</w:t>
            </w:r>
          </w:p>
        </w:tc>
        <w:tc>
          <w:tcPr>
            <w:tcW w:w="3534" w:type="dxa"/>
            <w:tcBorders>
              <w:top w:val="single" w:sz="4" w:space="0" w:color="auto"/>
              <w:left w:val="nil"/>
              <w:bottom w:val="single" w:sz="4" w:space="0" w:color="auto"/>
              <w:right w:val="single" w:sz="4" w:space="0" w:color="auto"/>
            </w:tcBorders>
            <w:shd w:val="clear" w:color="auto" w:fill="C6EFCE"/>
            <w:noWrap/>
          </w:tcPr>
          <w:p w14:paraId="1ED7AB73"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C6.R1</w:t>
            </w:r>
          </w:p>
          <w:p w14:paraId="52D92B66" w14:textId="245C150A"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1285" w:type="dxa"/>
            <w:tcBorders>
              <w:top w:val="single" w:sz="4" w:space="0" w:color="auto"/>
              <w:left w:val="nil"/>
              <w:bottom w:val="single" w:sz="4" w:space="0" w:color="auto"/>
              <w:right w:val="single" w:sz="4" w:space="0" w:color="auto"/>
            </w:tcBorders>
            <w:shd w:val="clear" w:color="auto" w:fill="C6EFCE"/>
            <w:noWrap/>
          </w:tcPr>
          <w:p w14:paraId="7062D2F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1A44A261"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Semnarea contractelor pentru diferență pentru surse regenerabile </w:t>
            </w:r>
          </w:p>
        </w:tc>
      </w:tr>
      <w:tr w:rsidR="0089663E" w:rsidRPr="000A27B3" w14:paraId="16224879"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B521B0C"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156</w:t>
            </w:r>
          </w:p>
        </w:tc>
        <w:tc>
          <w:tcPr>
            <w:tcW w:w="3534" w:type="dxa"/>
            <w:tcBorders>
              <w:top w:val="single" w:sz="4" w:space="0" w:color="auto"/>
              <w:left w:val="nil"/>
              <w:bottom w:val="single" w:sz="4" w:space="0" w:color="auto"/>
              <w:right w:val="single" w:sz="4" w:space="0" w:color="auto"/>
            </w:tcBorders>
            <w:shd w:val="clear" w:color="auto" w:fill="C6EFCE"/>
            <w:noWrap/>
          </w:tcPr>
          <w:p w14:paraId="07E4619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C7.I2</w:t>
            </w:r>
            <w:r>
              <w:rPr>
                <w:rFonts w:ascii="Times New Roman" w:hAnsi="Times New Roman"/>
                <w:noProof/>
              </w:rPr>
              <w:br/>
              <w:t xml:space="preserve">Dezvoltarea cloudului și migrarea în cloud </w:t>
            </w:r>
          </w:p>
        </w:tc>
        <w:tc>
          <w:tcPr>
            <w:tcW w:w="1285" w:type="dxa"/>
            <w:tcBorders>
              <w:top w:val="single" w:sz="4" w:space="0" w:color="auto"/>
              <w:left w:val="nil"/>
              <w:bottom w:val="single" w:sz="4" w:space="0" w:color="auto"/>
              <w:right w:val="single" w:sz="4" w:space="0" w:color="auto"/>
            </w:tcBorders>
            <w:shd w:val="clear" w:color="auto" w:fill="C6EFCE"/>
            <w:noWrap/>
          </w:tcPr>
          <w:p w14:paraId="5F7FD915"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6B7D990"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Migrarea aplicațiilor de servicii digitale guvernamentale către soluții de tip infrastructură ca serviciu - IaaS/platformă ca serviciu - PaaS</w:t>
            </w:r>
          </w:p>
        </w:tc>
      </w:tr>
      <w:tr w:rsidR="0089663E" w:rsidRPr="000A27B3" w14:paraId="3405FC10"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3C4317A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160</w:t>
            </w:r>
          </w:p>
        </w:tc>
        <w:tc>
          <w:tcPr>
            <w:tcW w:w="3534" w:type="dxa"/>
            <w:tcBorders>
              <w:top w:val="single" w:sz="4" w:space="0" w:color="auto"/>
              <w:left w:val="nil"/>
              <w:bottom w:val="single" w:sz="4" w:space="0" w:color="auto"/>
              <w:right w:val="single" w:sz="4" w:space="0" w:color="auto"/>
            </w:tcBorders>
            <w:shd w:val="clear" w:color="auto" w:fill="C6EFCE"/>
            <w:noWrap/>
          </w:tcPr>
          <w:p w14:paraId="74EF6FBB"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C7.I3 </w:t>
            </w:r>
          </w:p>
          <w:p w14:paraId="209E41C3"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Crearea sistemului de eHealth și telemedicină </w:t>
            </w:r>
          </w:p>
        </w:tc>
        <w:tc>
          <w:tcPr>
            <w:tcW w:w="1285" w:type="dxa"/>
            <w:tcBorders>
              <w:top w:val="single" w:sz="4" w:space="0" w:color="auto"/>
              <w:left w:val="nil"/>
              <w:bottom w:val="single" w:sz="4" w:space="0" w:color="auto"/>
              <w:right w:val="single" w:sz="4" w:space="0" w:color="auto"/>
            </w:tcBorders>
            <w:shd w:val="clear" w:color="auto" w:fill="C6EFCE"/>
            <w:noWrap/>
          </w:tcPr>
          <w:p w14:paraId="724D8DC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24463257"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Noua PIAS (platforma informatică de asigurări de sănătate) este operațională</w:t>
            </w:r>
          </w:p>
        </w:tc>
      </w:tr>
      <w:tr w:rsidR="0089663E" w:rsidRPr="000A27B3" w14:paraId="74C2D48B"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64A3BE1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161</w:t>
            </w:r>
          </w:p>
        </w:tc>
        <w:tc>
          <w:tcPr>
            <w:tcW w:w="3534" w:type="dxa"/>
            <w:tcBorders>
              <w:top w:val="single" w:sz="4" w:space="0" w:color="auto"/>
              <w:left w:val="nil"/>
              <w:bottom w:val="single" w:sz="4" w:space="0" w:color="auto"/>
              <w:right w:val="single" w:sz="4" w:space="0" w:color="auto"/>
            </w:tcBorders>
            <w:shd w:val="clear" w:color="auto" w:fill="C6EFCE"/>
            <w:noWrap/>
          </w:tcPr>
          <w:p w14:paraId="78C04EBF"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C7.I3</w:t>
            </w:r>
          </w:p>
          <w:p w14:paraId="0499DFC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Crearea sistemului de eHealth și telemedicină </w:t>
            </w:r>
          </w:p>
        </w:tc>
        <w:tc>
          <w:tcPr>
            <w:tcW w:w="1285" w:type="dxa"/>
            <w:tcBorders>
              <w:top w:val="single" w:sz="4" w:space="0" w:color="auto"/>
              <w:left w:val="nil"/>
              <w:bottom w:val="single" w:sz="4" w:space="0" w:color="auto"/>
              <w:right w:val="single" w:sz="4" w:space="0" w:color="auto"/>
            </w:tcBorders>
            <w:shd w:val="clear" w:color="auto" w:fill="C6EFCE"/>
            <w:noWrap/>
          </w:tcPr>
          <w:p w14:paraId="1E2AF92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71A57D3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Digitalizarea a 200 de unități sanitare publice</w:t>
            </w:r>
          </w:p>
        </w:tc>
      </w:tr>
      <w:tr w:rsidR="0089663E" w:rsidRPr="000A27B3" w14:paraId="4453E38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160BFAB"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176</w:t>
            </w:r>
          </w:p>
        </w:tc>
        <w:tc>
          <w:tcPr>
            <w:tcW w:w="3534" w:type="dxa"/>
            <w:tcBorders>
              <w:top w:val="single" w:sz="4" w:space="0" w:color="auto"/>
              <w:left w:val="nil"/>
              <w:bottom w:val="single" w:sz="4" w:space="0" w:color="auto"/>
              <w:right w:val="single" w:sz="4" w:space="0" w:color="auto"/>
            </w:tcBorders>
            <w:shd w:val="clear" w:color="auto" w:fill="C6EFCE"/>
            <w:noWrap/>
          </w:tcPr>
          <w:p w14:paraId="27A607F9"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C7.I9</w:t>
            </w:r>
          </w:p>
          <w:p w14:paraId="278C90E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Digitalizarea sectorului organizațiilor neguvernamentale</w:t>
            </w:r>
          </w:p>
        </w:tc>
        <w:tc>
          <w:tcPr>
            <w:tcW w:w="1285" w:type="dxa"/>
            <w:tcBorders>
              <w:top w:val="single" w:sz="4" w:space="0" w:color="auto"/>
              <w:left w:val="nil"/>
              <w:bottom w:val="single" w:sz="4" w:space="0" w:color="auto"/>
              <w:right w:val="single" w:sz="4" w:space="0" w:color="auto"/>
            </w:tcBorders>
            <w:shd w:val="clear" w:color="auto" w:fill="C6EFCE"/>
            <w:noWrap/>
          </w:tcPr>
          <w:p w14:paraId="569EF522"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2B2EFAA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Centru de resurse pentru transformarea digitală a ONG-urilor</w:t>
            </w:r>
          </w:p>
        </w:tc>
      </w:tr>
      <w:tr w:rsidR="0089663E" w:rsidRPr="000A27B3" w14:paraId="257B8B7B"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614D086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361</w:t>
            </w:r>
          </w:p>
        </w:tc>
        <w:tc>
          <w:tcPr>
            <w:tcW w:w="3534" w:type="dxa"/>
            <w:tcBorders>
              <w:top w:val="single" w:sz="4" w:space="0" w:color="auto"/>
              <w:left w:val="nil"/>
              <w:bottom w:val="single" w:sz="4" w:space="0" w:color="auto"/>
              <w:right w:val="single" w:sz="4" w:space="0" w:color="auto"/>
            </w:tcBorders>
            <w:shd w:val="clear" w:color="auto" w:fill="C6EFCE"/>
            <w:noWrap/>
          </w:tcPr>
          <w:p w14:paraId="634897D5"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C12.R3</w:t>
            </w:r>
          </w:p>
          <w:p w14:paraId="72F5B199" w14:textId="42926E8D"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85" w:type="dxa"/>
            <w:tcBorders>
              <w:top w:val="single" w:sz="4" w:space="0" w:color="auto"/>
              <w:left w:val="nil"/>
              <w:bottom w:val="single" w:sz="4" w:space="0" w:color="auto"/>
              <w:right w:val="single" w:sz="4" w:space="0" w:color="auto"/>
            </w:tcBorders>
            <w:shd w:val="clear" w:color="auto" w:fill="C6EFCE"/>
            <w:noWrap/>
          </w:tcPr>
          <w:p w14:paraId="56AB3803"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0190A7A1"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Persoane care au participat la cursuri de formare privind managementul serviciilor de sănătate</w:t>
            </w:r>
          </w:p>
        </w:tc>
      </w:tr>
      <w:tr w:rsidR="0089663E" w:rsidRPr="000A27B3" w14:paraId="5FC51A02"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0FA2A5CF"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362</w:t>
            </w:r>
          </w:p>
        </w:tc>
        <w:tc>
          <w:tcPr>
            <w:tcW w:w="3534" w:type="dxa"/>
            <w:tcBorders>
              <w:top w:val="single" w:sz="4" w:space="0" w:color="auto"/>
              <w:left w:val="nil"/>
              <w:bottom w:val="single" w:sz="4" w:space="0" w:color="auto"/>
              <w:right w:val="single" w:sz="4" w:space="0" w:color="auto"/>
            </w:tcBorders>
            <w:shd w:val="clear" w:color="auto" w:fill="C6EFCE"/>
            <w:noWrap/>
          </w:tcPr>
          <w:p w14:paraId="6DBFB70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C12.R3</w:t>
            </w:r>
          </w:p>
          <w:p w14:paraId="6EDE3C6F" w14:textId="7627E9D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85" w:type="dxa"/>
            <w:tcBorders>
              <w:top w:val="single" w:sz="4" w:space="0" w:color="auto"/>
              <w:left w:val="nil"/>
              <w:bottom w:val="single" w:sz="4" w:space="0" w:color="auto"/>
              <w:right w:val="single" w:sz="4" w:space="0" w:color="auto"/>
            </w:tcBorders>
            <w:shd w:val="clear" w:color="auto" w:fill="C6EFCE"/>
            <w:noWrap/>
          </w:tcPr>
          <w:p w14:paraId="5EC1544D"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39CBF00E"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Persoane care au participat la cursuri de formare privind managementul resurselor umane din instituțiile sanitare</w:t>
            </w:r>
          </w:p>
        </w:tc>
      </w:tr>
      <w:tr w:rsidR="0089663E" w:rsidRPr="000A27B3" w14:paraId="6B3618E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7839F2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363</w:t>
            </w:r>
          </w:p>
        </w:tc>
        <w:tc>
          <w:tcPr>
            <w:tcW w:w="3534" w:type="dxa"/>
            <w:tcBorders>
              <w:top w:val="single" w:sz="4" w:space="0" w:color="auto"/>
              <w:left w:val="nil"/>
              <w:bottom w:val="single" w:sz="4" w:space="0" w:color="auto"/>
              <w:right w:val="single" w:sz="4" w:space="0" w:color="auto"/>
            </w:tcBorders>
            <w:shd w:val="clear" w:color="auto" w:fill="C6EFCE"/>
            <w:noWrap/>
          </w:tcPr>
          <w:p w14:paraId="7F7DB8F7"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C12.R3</w:t>
            </w:r>
          </w:p>
          <w:p w14:paraId="152DCA1A" w14:textId="4361FAC2"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Dezvoltarea capacității pentru managementul serviciilor de sănătate și managementul resurselor umane din sănătate </w:t>
            </w:r>
          </w:p>
        </w:tc>
        <w:tc>
          <w:tcPr>
            <w:tcW w:w="1285" w:type="dxa"/>
            <w:tcBorders>
              <w:top w:val="single" w:sz="4" w:space="0" w:color="auto"/>
              <w:left w:val="nil"/>
              <w:bottom w:val="single" w:sz="4" w:space="0" w:color="auto"/>
              <w:right w:val="single" w:sz="4" w:space="0" w:color="auto"/>
            </w:tcBorders>
            <w:shd w:val="clear" w:color="auto" w:fill="C6EFCE"/>
            <w:noWrap/>
          </w:tcPr>
          <w:p w14:paraId="18AF105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0F131C6C"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Personalul medico-sanitar care a participat la programe de formare în materie de integritate</w:t>
            </w:r>
          </w:p>
        </w:tc>
      </w:tr>
      <w:tr w:rsidR="0089663E" w:rsidRPr="000A27B3" w14:paraId="2CE41BC4"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15661C34"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370</w:t>
            </w:r>
          </w:p>
        </w:tc>
        <w:tc>
          <w:tcPr>
            <w:tcW w:w="3534" w:type="dxa"/>
            <w:tcBorders>
              <w:top w:val="single" w:sz="4" w:space="0" w:color="auto"/>
              <w:left w:val="nil"/>
              <w:bottom w:val="single" w:sz="4" w:space="0" w:color="auto"/>
              <w:right w:val="single" w:sz="4" w:space="0" w:color="auto"/>
            </w:tcBorders>
            <w:shd w:val="clear" w:color="auto" w:fill="C6EFCE"/>
            <w:noWrap/>
          </w:tcPr>
          <w:p w14:paraId="0954B90E"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C12.I1 </w:t>
            </w:r>
          </w:p>
          <w:p w14:paraId="124C107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Dezvoltarea infrastructurii medicale prespitalicești</w:t>
            </w:r>
          </w:p>
        </w:tc>
        <w:tc>
          <w:tcPr>
            <w:tcW w:w="1285" w:type="dxa"/>
            <w:tcBorders>
              <w:top w:val="single" w:sz="4" w:space="0" w:color="auto"/>
              <w:left w:val="nil"/>
              <w:bottom w:val="single" w:sz="4" w:space="0" w:color="auto"/>
              <w:right w:val="single" w:sz="4" w:space="0" w:color="auto"/>
            </w:tcBorders>
            <w:shd w:val="clear" w:color="auto" w:fill="C6EFCE"/>
            <w:noWrap/>
          </w:tcPr>
          <w:p w14:paraId="0B20C941"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03D5672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Centre comunitare integrate nou-construite/renovate și dotate, inclusiv cu personal adecvat</w:t>
            </w:r>
          </w:p>
        </w:tc>
      </w:tr>
      <w:tr w:rsidR="0089663E" w:rsidRPr="000A27B3" w14:paraId="6B376A8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609EFB1"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371</w:t>
            </w:r>
          </w:p>
        </w:tc>
        <w:tc>
          <w:tcPr>
            <w:tcW w:w="3534" w:type="dxa"/>
            <w:tcBorders>
              <w:top w:val="single" w:sz="4" w:space="0" w:color="auto"/>
              <w:left w:val="nil"/>
              <w:bottom w:val="single" w:sz="4" w:space="0" w:color="auto"/>
              <w:right w:val="single" w:sz="4" w:space="0" w:color="auto"/>
            </w:tcBorders>
            <w:shd w:val="clear" w:color="auto" w:fill="C6EFCE"/>
            <w:noWrap/>
          </w:tcPr>
          <w:p w14:paraId="063D29B4"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C12.I1 </w:t>
            </w:r>
          </w:p>
          <w:p w14:paraId="73758E0B"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Dezvoltarea infrastructurii medicale prespitalicești</w:t>
            </w:r>
          </w:p>
        </w:tc>
        <w:tc>
          <w:tcPr>
            <w:tcW w:w="1285" w:type="dxa"/>
            <w:tcBorders>
              <w:top w:val="single" w:sz="4" w:space="0" w:color="auto"/>
              <w:left w:val="nil"/>
              <w:bottom w:val="single" w:sz="4" w:space="0" w:color="auto"/>
              <w:right w:val="single" w:sz="4" w:space="0" w:color="auto"/>
            </w:tcBorders>
            <w:shd w:val="clear" w:color="auto" w:fill="C6EFCE"/>
            <w:noWrap/>
          </w:tcPr>
          <w:p w14:paraId="7FD729EA"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7C6FE1D4"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Comunitățile slab deservite, inclusiv romii, au acces la asistență medicală comunitară</w:t>
            </w:r>
          </w:p>
        </w:tc>
      </w:tr>
      <w:tr w:rsidR="0089663E" w:rsidRPr="000A27B3" w14:paraId="668E292E"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7FF18F5"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373</w:t>
            </w:r>
          </w:p>
        </w:tc>
        <w:tc>
          <w:tcPr>
            <w:tcW w:w="3534" w:type="dxa"/>
            <w:tcBorders>
              <w:top w:val="single" w:sz="4" w:space="0" w:color="auto"/>
              <w:left w:val="nil"/>
              <w:bottom w:val="single" w:sz="4" w:space="0" w:color="auto"/>
              <w:right w:val="single" w:sz="4" w:space="0" w:color="auto"/>
            </w:tcBorders>
            <w:shd w:val="clear" w:color="auto" w:fill="C6EFCE"/>
            <w:noWrap/>
          </w:tcPr>
          <w:p w14:paraId="206D4D57"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 xml:space="preserve">C12.I1 </w:t>
            </w:r>
          </w:p>
          <w:p w14:paraId="1C3CD062"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Dezvoltarea infrastructurii medicale prespitalicești</w:t>
            </w:r>
          </w:p>
        </w:tc>
        <w:tc>
          <w:tcPr>
            <w:tcW w:w="1285" w:type="dxa"/>
            <w:tcBorders>
              <w:top w:val="single" w:sz="4" w:space="0" w:color="auto"/>
              <w:left w:val="nil"/>
              <w:bottom w:val="single" w:sz="4" w:space="0" w:color="auto"/>
              <w:right w:val="single" w:sz="4" w:space="0" w:color="auto"/>
            </w:tcBorders>
            <w:shd w:val="clear" w:color="auto" w:fill="C6EFCE"/>
            <w:noWrap/>
          </w:tcPr>
          <w:p w14:paraId="641307E8"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92333FC"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Sporirea accesului la asistența medicală primară</w:t>
            </w:r>
          </w:p>
        </w:tc>
      </w:tr>
      <w:tr w:rsidR="0089663E" w:rsidRPr="000A27B3" w14:paraId="2F76C9E5"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6CEB35B"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386</w:t>
            </w:r>
          </w:p>
        </w:tc>
        <w:tc>
          <w:tcPr>
            <w:tcW w:w="3534" w:type="dxa"/>
            <w:tcBorders>
              <w:top w:val="single" w:sz="4" w:space="0" w:color="auto"/>
              <w:left w:val="nil"/>
              <w:bottom w:val="single" w:sz="4" w:space="0" w:color="auto"/>
              <w:right w:val="single" w:sz="4" w:space="0" w:color="auto"/>
            </w:tcBorders>
            <w:shd w:val="clear" w:color="auto" w:fill="C6EFCE"/>
            <w:noWrap/>
          </w:tcPr>
          <w:p w14:paraId="72C3AE9B"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C13.R3</w:t>
            </w:r>
          </w:p>
          <w:p w14:paraId="580E5696"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Implementarea venitului minim de incluziune (VMI)</w:t>
            </w:r>
          </w:p>
        </w:tc>
        <w:tc>
          <w:tcPr>
            <w:tcW w:w="1285" w:type="dxa"/>
            <w:tcBorders>
              <w:top w:val="single" w:sz="4" w:space="0" w:color="auto"/>
              <w:left w:val="nil"/>
              <w:bottom w:val="single" w:sz="4" w:space="0" w:color="auto"/>
              <w:right w:val="single" w:sz="4" w:space="0" w:color="auto"/>
            </w:tcBorders>
            <w:shd w:val="clear" w:color="auto" w:fill="C6EFCE"/>
            <w:noWrap/>
          </w:tcPr>
          <w:p w14:paraId="391C9016"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17D05C6F"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Beneficiarul venitului minim de incluziune face obiectul a cel puțin unei măsuri de activare </w:t>
            </w:r>
          </w:p>
        </w:tc>
      </w:tr>
      <w:tr w:rsidR="0089663E" w:rsidRPr="000A27B3" w14:paraId="4770E626"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7B2C192D"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403</w:t>
            </w:r>
          </w:p>
        </w:tc>
        <w:tc>
          <w:tcPr>
            <w:tcW w:w="3534" w:type="dxa"/>
            <w:tcBorders>
              <w:top w:val="single" w:sz="4" w:space="0" w:color="auto"/>
              <w:left w:val="nil"/>
              <w:bottom w:val="single" w:sz="4" w:space="0" w:color="auto"/>
              <w:right w:val="single" w:sz="4" w:space="0" w:color="auto"/>
            </w:tcBorders>
            <w:shd w:val="clear" w:color="auto" w:fill="C6EFCE"/>
            <w:noWrap/>
          </w:tcPr>
          <w:p w14:paraId="65CEBC05"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C14.R1</w:t>
            </w:r>
          </w:p>
          <w:p w14:paraId="47100294"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85" w:type="dxa"/>
            <w:tcBorders>
              <w:top w:val="single" w:sz="4" w:space="0" w:color="auto"/>
              <w:left w:val="nil"/>
              <w:bottom w:val="single" w:sz="4" w:space="0" w:color="auto"/>
              <w:right w:val="single" w:sz="4" w:space="0" w:color="auto"/>
            </w:tcBorders>
            <w:shd w:val="clear" w:color="auto" w:fill="C6EFCE"/>
            <w:noWrap/>
          </w:tcPr>
          <w:p w14:paraId="4C3FBDC8"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44608F93"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 xml:space="preserve">Cel puțin 3 ministere au planificat și implementat bugetele pentru fiecare program </w:t>
            </w:r>
          </w:p>
        </w:tc>
      </w:tr>
      <w:tr w:rsidR="0089663E" w:rsidRPr="000A27B3" w14:paraId="66DF874A"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513A214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517</w:t>
            </w:r>
          </w:p>
        </w:tc>
        <w:tc>
          <w:tcPr>
            <w:tcW w:w="3534" w:type="dxa"/>
            <w:tcBorders>
              <w:top w:val="single" w:sz="4" w:space="0" w:color="auto"/>
              <w:left w:val="nil"/>
              <w:bottom w:val="single" w:sz="4" w:space="0" w:color="auto"/>
              <w:right w:val="single" w:sz="4" w:space="0" w:color="auto"/>
            </w:tcBorders>
            <w:shd w:val="clear" w:color="auto" w:fill="C6EFCE"/>
            <w:noWrap/>
          </w:tcPr>
          <w:p w14:paraId="3E1BD36C"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C16.I5a</w:t>
            </w:r>
          </w:p>
          <w:p w14:paraId="4C8AB146"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Instalarea de panouri solare și instalații de stocare a energiei electrice în centralele Transelectrica</w:t>
            </w:r>
          </w:p>
        </w:tc>
        <w:tc>
          <w:tcPr>
            <w:tcW w:w="1285" w:type="dxa"/>
            <w:tcBorders>
              <w:top w:val="single" w:sz="4" w:space="0" w:color="auto"/>
              <w:left w:val="nil"/>
              <w:bottom w:val="single" w:sz="4" w:space="0" w:color="auto"/>
              <w:right w:val="single" w:sz="4" w:space="0" w:color="auto"/>
            </w:tcBorders>
            <w:shd w:val="clear" w:color="auto" w:fill="C6EFCE"/>
            <w:noWrap/>
          </w:tcPr>
          <w:p w14:paraId="7FBF9880"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J</w:t>
            </w:r>
          </w:p>
        </w:tc>
        <w:tc>
          <w:tcPr>
            <w:tcW w:w="3393" w:type="dxa"/>
            <w:tcBorders>
              <w:top w:val="single" w:sz="4" w:space="0" w:color="auto"/>
              <w:left w:val="nil"/>
              <w:bottom w:val="single" w:sz="4" w:space="0" w:color="auto"/>
              <w:right w:val="single" w:sz="4" w:space="0" w:color="auto"/>
            </w:tcBorders>
            <w:shd w:val="clear" w:color="auto" w:fill="C6EFCE"/>
            <w:noWrap/>
          </w:tcPr>
          <w:p w14:paraId="744A710A"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Semnarea contractelor</w:t>
            </w:r>
          </w:p>
        </w:tc>
      </w:tr>
      <w:tr w:rsidR="0089663E" w:rsidRPr="000A27B3" w14:paraId="41AA609F"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28560910"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520</w:t>
            </w:r>
          </w:p>
        </w:tc>
        <w:tc>
          <w:tcPr>
            <w:tcW w:w="3534" w:type="dxa"/>
            <w:tcBorders>
              <w:top w:val="single" w:sz="4" w:space="0" w:color="auto"/>
              <w:left w:val="nil"/>
              <w:bottom w:val="single" w:sz="4" w:space="0" w:color="auto"/>
              <w:right w:val="single" w:sz="4" w:space="0" w:color="auto"/>
            </w:tcBorders>
            <w:shd w:val="clear" w:color="auto" w:fill="C6EFCE"/>
            <w:noWrap/>
          </w:tcPr>
          <w:p w14:paraId="07A662DD" w14:textId="77777777" w:rsidR="0089663E" w:rsidRPr="000A27B3" w:rsidRDefault="0089663E" w:rsidP="0089663E">
            <w:pPr>
              <w:spacing w:after="0"/>
              <w:jc w:val="both"/>
              <w:rPr>
                <w:rFonts w:ascii="Times New Roman" w:hAnsi="Times New Roman" w:cs="Times New Roman"/>
                <w:noProof/>
              </w:rPr>
            </w:pPr>
            <w:r>
              <w:rPr>
                <w:rFonts w:ascii="Times New Roman" w:hAnsi="Times New Roman"/>
                <w:noProof/>
              </w:rPr>
              <w:t>C16.I5b</w:t>
            </w:r>
          </w:p>
          <w:p w14:paraId="152B66AB"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Retehnologizarea SMART SA</w:t>
            </w:r>
          </w:p>
        </w:tc>
        <w:tc>
          <w:tcPr>
            <w:tcW w:w="1285" w:type="dxa"/>
            <w:tcBorders>
              <w:top w:val="single" w:sz="4" w:space="0" w:color="auto"/>
              <w:left w:val="nil"/>
              <w:bottom w:val="single" w:sz="4" w:space="0" w:color="auto"/>
              <w:right w:val="single" w:sz="4" w:space="0" w:color="auto"/>
            </w:tcBorders>
            <w:shd w:val="clear" w:color="auto" w:fill="C6EFCE"/>
            <w:noWrap/>
          </w:tcPr>
          <w:p w14:paraId="3D0E724E"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T</w:t>
            </w:r>
          </w:p>
        </w:tc>
        <w:tc>
          <w:tcPr>
            <w:tcW w:w="3393" w:type="dxa"/>
            <w:tcBorders>
              <w:top w:val="single" w:sz="4" w:space="0" w:color="auto"/>
              <w:left w:val="nil"/>
              <w:bottom w:val="single" w:sz="4" w:space="0" w:color="auto"/>
              <w:right w:val="single" w:sz="4" w:space="0" w:color="auto"/>
            </w:tcBorders>
            <w:shd w:val="clear" w:color="auto" w:fill="C6EFCE"/>
            <w:noWrap/>
          </w:tcPr>
          <w:p w14:paraId="6E43FF69" w14:textId="77777777" w:rsidR="0089663E" w:rsidRPr="000A27B3" w:rsidRDefault="0089663E" w:rsidP="0089663E">
            <w:pPr>
              <w:spacing w:after="0"/>
              <w:jc w:val="both"/>
              <w:rPr>
                <w:rFonts w:ascii="Times New Roman" w:eastAsia="Times New Roman" w:hAnsi="Times New Roman" w:cs="Times New Roman"/>
                <w:noProof/>
              </w:rPr>
            </w:pPr>
            <w:r>
              <w:rPr>
                <w:rFonts w:ascii="Times New Roman" w:hAnsi="Times New Roman"/>
                <w:noProof/>
              </w:rPr>
              <w:t>Durata medie a intervențiilor în rețeaua OST</w:t>
            </w:r>
          </w:p>
        </w:tc>
      </w:tr>
      <w:tr w:rsidR="0089663E" w:rsidRPr="000A27B3" w14:paraId="7C6407CE" w14:textId="77777777">
        <w:trPr>
          <w:trHeight w:val="302"/>
        </w:trPr>
        <w:tc>
          <w:tcPr>
            <w:tcW w:w="1422" w:type="dxa"/>
            <w:tcBorders>
              <w:top w:val="single" w:sz="4" w:space="0" w:color="auto"/>
              <w:left w:val="single" w:sz="4" w:space="0" w:color="auto"/>
              <w:bottom w:val="single" w:sz="4" w:space="0" w:color="auto"/>
              <w:right w:val="single" w:sz="4" w:space="0" w:color="auto"/>
            </w:tcBorders>
            <w:shd w:val="clear" w:color="auto" w:fill="C6EFCE"/>
            <w:noWrap/>
          </w:tcPr>
          <w:p w14:paraId="404988CE" w14:textId="77777777" w:rsidR="0089663E" w:rsidRPr="009F1DC7" w:rsidRDefault="0089663E" w:rsidP="0089663E">
            <w:pPr>
              <w:spacing w:after="0"/>
              <w:jc w:val="center"/>
              <w:rPr>
                <w:rFonts w:ascii="Times New Roman" w:eastAsia="Times New Roman" w:hAnsi="Times New Roman" w:cs="Times New Roman"/>
                <w:noProof/>
                <w:lang w:val="de-DE" w:eastAsia="en-GB"/>
              </w:rPr>
            </w:pPr>
          </w:p>
        </w:tc>
        <w:tc>
          <w:tcPr>
            <w:tcW w:w="3534" w:type="dxa"/>
            <w:tcBorders>
              <w:top w:val="single" w:sz="4" w:space="0" w:color="auto"/>
              <w:left w:val="nil"/>
              <w:bottom w:val="single" w:sz="4" w:space="0" w:color="auto"/>
              <w:right w:val="single" w:sz="4" w:space="0" w:color="auto"/>
            </w:tcBorders>
            <w:shd w:val="clear" w:color="auto" w:fill="C6EFCE"/>
            <w:noWrap/>
          </w:tcPr>
          <w:p w14:paraId="601226E4" w14:textId="77777777" w:rsidR="0089663E" w:rsidRPr="009F1DC7" w:rsidRDefault="0089663E" w:rsidP="0089663E">
            <w:pPr>
              <w:spacing w:after="0"/>
              <w:jc w:val="both"/>
              <w:rPr>
                <w:rFonts w:ascii="Times New Roman" w:eastAsia="Times New Roman" w:hAnsi="Times New Roman" w:cs="Times New Roman"/>
                <w:noProof/>
                <w:lang w:val="de-DE" w:eastAsia="en-GB"/>
              </w:rPr>
            </w:pPr>
          </w:p>
        </w:tc>
        <w:tc>
          <w:tcPr>
            <w:tcW w:w="1285" w:type="dxa"/>
            <w:tcBorders>
              <w:top w:val="single" w:sz="4" w:space="0" w:color="auto"/>
              <w:left w:val="nil"/>
              <w:bottom w:val="single" w:sz="4" w:space="0" w:color="auto"/>
              <w:right w:val="single" w:sz="4" w:space="0" w:color="auto"/>
            </w:tcBorders>
            <w:shd w:val="clear" w:color="auto" w:fill="C6EFCE"/>
            <w:noWrap/>
          </w:tcPr>
          <w:p w14:paraId="336AF3C9" w14:textId="77777777" w:rsidR="0089663E" w:rsidRPr="000A27B3" w:rsidRDefault="0089663E" w:rsidP="0089663E">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393" w:type="dxa"/>
            <w:tcBorders>
              <w:top w:val="single" w:sz="4" w:space="0" w:color="auto"/>
              <w:left w:val="nil"/>
              <w:bottom w:val="single" w:sz="4" w:space="0" w:color="auto"/>
              <w:right w:val="single" w:sz="4" w:space="0" w:color="auto"/>
            </w:tcBorders>
            <w:shd w:val="clear" w:color="auto" w:fill="C6EFCE"/>
            <w:noWrap/>
            <w:vAlign w:val="center"/>
          </w:tcPr>
          <w:p w14:paraId="291742A2" w14:textId="14CF77E3" w:rsidR="0089663E" w:rsidRPr="000A27B3" w:rsidRDefault="0089663E" w:rsidP="0089663E">
            <w:pPr>
              <w:spacing w:after="0"/>
              <w:jc w:val="right"/>
              <w:rPr>
                <w:rFonts w:ascii="Times New Roman" w:eastAsia="Times New Roman" w:hAnsi="Times New Roman" w:cs="Times New Roman"/>
                <w:noProof/>
              </w:rPr>
            </w:pPr>
            <w:r>
              <w:rPr>
                <w:rFonts w:ascii="Times New Roman" w:hAnsi="Times New Roman"/>
                <w:noProof/>
              </w:rPr>
              <w:t>1 809 818 435 EUR</w:t>
            </w:r>
          </w:p>
        </w:tc>
      </w:tr>
    </w:tbl>
    <w:p w14:paraId="39E0F28D" w14:textId="77777777" w:rsidR="00981F92" w:rsidRPr="000A27B3" w:rsidRDefault="00981F92" w:rsidP="00CA23DD">
      <w:pPr>
        <w:pStyle w:val="Text1"/>
        <w:ind w:left="0"/>
        <w:rPr>
          <w:noProof/>
          <w:szCs w:val="24"/>
        </w:rPr>
      </w:pPr>
    </w:p>
    <w:p w14:paraId="3DDB4244" w14:textId="64A93F76" w:rsidR="00981F92" w:rsidRPr="000A27B3" w:rsidRDefault="00981F92">
      <w:pPr>
        <w:pStyle w:val="Heading3"/>
        <w:rPr>
          <w:noProof/>
          <w:szCs w:val="24"/>
        </w:rPr>
      </w:pPr>
      <w:r>
        <w:rPr>
          <w:noProof/>
        </w:rPr>
        <w:t xml:space="preserve">A șaptea tranșă (sprijin nerambursabil):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43E6472A" w14:textId="77777777">
        <w:trPr>
          <w:trHeight w:val="509"/>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F89EF57"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9AF9EC5"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316AADF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4A040EE"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72E7DBC0"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6B815F4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7444FE2E"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15D82872" w14:textId="77777777" w:rsidR="00981F92" w:rsidRPr="000A27B3" w:rsidRDefault="00981F92">
            <w:pPr>
              <w:spacing w:after="0"/>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0944919"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73C519F2" w14:textId="77777777" w:rsidR="00981F92" w:rsidRPr="000A27B3" w:rsidRDefault="00981F92">
            <w:pPr>
              <w:spacing w:after="0"/>
              <w:rPr>
                <w:rFonts w:ascii="Times New Roman" w:eastAsia="Times New Roman" w:hAnsi="Times New Roman" w:cs="Times New Roman"/>
                <w:b/>
                <w:bCs/>
                <w:noProof/>
                <w:lang w:eastAsia="en-GB"/>
              </w:rPr>
            </w:pPr>
          </w:p>
        </w:tc>
      </w:tr>
      <w:tr w:rsidR="00981F92" w:rsidRPr="000A27B3" w14:paraId="341F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D305B0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162</w:t>
            </w:r>
          </w:p>
        </w:tc>
        <w:tc>
          <w:tcPr>
            <w:tcW w:w="3544" w:type="dxa"/>
            <w:tcBorders>
              <w:top w:val="nil"/>
              <w:left w:val="nil"/>
              <w:bottom w:val="single" w:sz="4" w:space="0" w:color="auto"/>
              <w:right w:val="single" w:sz="4" w:space="0" w:color="auto"/>
            </w:tcBorders>
            <w:shd w:val="clear" w:color="auto" w:fill="C6EFCE"/>
            <w:noWrap/>
          </w:tcPr>
          <w:p w14:paraId="2321766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C7.I3</w:t>
            </w:r>
          </w:p>
          <w:p w14:paraId="55C8639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sistemului de eHealth și telemedicină </w:t>
            </w:r>
          </w:p>
        </w:tc>
        <w:tc>
          <w:tcPr>
            <w:tcW w:w="1275" w:type="dxa"/>
            <w:tcBorders>
              <w:top w:val="nil"/>
              <w:left w:val="nil"/>
              <w:bottom w:val="single" w:sz="4" w:space="0" w:color="auto"/>
              <w:right w:val="single" w:sz="4" w:space="0" w:color="auto"/>
            </w:tcBorders>
            <w:shd w:val="clear" w:color="auto" w:fill="C6EFCE"/>
            <w:noWrap/>
          </w:tcPr>
          <w:p w14:paraId="03A0D88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CA013A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Furnizorii de servicii medicale sunt conectați la noua platformă PIAS</w:t>
            </w:r>
          </w:p>
        </w:tc>
      </w:tr>
      <w:tr w:rsidR="00981F92" w:rsidRPr="000A27B3" w14:paraId="7DA8A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18D259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179</w:t>
            </w:r>
          </w:p>
        </w:tc>
        <w:tc>
          <w:tcPr>
            <w:tcW w:w="3544" w:type="dxa"/>
            <w:tcBorders>
              <w:top w:val="nil"/>
              <w:left w:val="nil"/>
              <w:bottom w:val="single" w:sz="4" w:space="0" w:color="auto"/>
              <w:right w:val="single" w:sz="4" w:space="0" w:color="auto"/>
            </w:tcBorders>
            <w:shd w:val="clear" w:color="auto" w:fill="C6EFCE"/>
            <w:noWrap/>
            <w:hideMark/>
          </w:tcPr>
          <w:p w14:paraId="5EE928C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C7.I12</w:t>
            </w:r>
          </w:p>
          <w:p w14:paraId="31CEBA0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Asigurarea protecției cibernetice atât pentru infrastructurile TIC publice, cât și pentru cele private cu valențe critice pentru securitatea națională, prin utilizarea tehnologiilor inteligente </w:t>
            </w:r>
          </w:p>
        </w:tc>
        <w:tc>
          <w:tcPr>
            <w:tcW w:w="1275" w:type="dxa"/>
            <w:tcBorders>
              <w:top w:val="nil"/>
              <w:left w:val="nil"/>
              <w:bottom w:val="single" w:sz="4" w:space="0" w:color="auto"/>
              <w:right w:val="single" w:sz="4" w:space="0" w:color="auto"/>
            </w:tcBorders>
            <w:shd w:val="clear" w:color="auto" w:fill="C6EFCE"/>
            <w:noWrap/>
            <w:hideMark/>
          </w:tcPr>
          <w:p w14:paraId="62C386E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021BC03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Entități cu infrastructuri TIC securizate</w:t>
            </w:r>
          </w:p>
        </w:tc>
      </w:tr>
      <w:tr w:rsidR="00981F92" w:rsidRPr="000A27B3" w14:paraId="208A4C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AA5ECD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415</w:t>
            </w:r>
          </w:p>
        </w:tc>
        <w:tc>
          <w:tcPr>
            <w:tcW w:w="3544" w:type="dxa"/>
            <w:tcBorders>
              <w:top w:val="nil"/>
              <w:left w:val="nil"/>
              <w:bottom w:val="single" w:sz="4" w:space="0" w:color="auto"/>
              <w:right w:val="single" w:sz="4" w:space="0" w:color="auto"/>
            </w:tcBorders>
            <w:shd w:val="clear" w:color="auto" w:fill="C6EFCE"/>
            <w:noWrap/>
            <w:hideMark/>
          </w:tcPr>
          <w:p w14:paraId="5A7C515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C14.R2</w:t>
            </w:r>
          </w:p>
          <w:p w14:paraId="6E4A6BBF" w14:textId="7551014D"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Întărirea coordonării la nivelul central al guvernului printr-o abordare integrată și coerentă a inițiativelor în domeniul schimbărilor climatice și al dezvoltării durabile </w:t>
            </w:r>
          </w:p>
        </w:tc>
        <w:tc>
          <w:tcPr>
            <w:tcW w:w="1275" w:type="dxa"/>
            <w:tcBorders>
              <w:top w:val="nil"/>
              <w:left w:val="nil"/>
              <w:bottom w:val="single" w:sz="4" w:space="0" w:color="auto"/>
              <w:right w:val="single" w:sz="4" w:space="0" w:color="auto"/>
            </w:tcBorders>
            <w:shd w:val="clear" w:color="auto" w:fill="C6EFCE"/>
            <w:noWrap/>
            <w:hideMark/>
          </w:tcPr>
          <w:p w14:paraId="38146E1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02D0D50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Funcționari publici calificați să îndeplinească funcția de „experți în dezvoltare durabilă” în instituțiile publice de la nivel central și local</w:t>
            </w:r>
          </w:p>
        </w:tc>
      </w:tr>
      <w:tr w:rsidR="00981F92" w:rsidRPr="000A27B3" w14:paraId="1AA591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4A029D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446</w:t>
            </w:r>
          </w:p>
        </w:tc>
        <w:tc>
          <w:tcPr>
            <w:tcW w:w="3544" w:type="dxa"/>
            <w:tcBorders>
              <w:top w:val="nil"/>
              <w:left w:val="nil"/>
              <w:bottom w:val="single" w:sz="4" w:space="0" w:color="auto"/>
              <w:right w:val="single" w:sz="4" w:space="0" w:color="auto"/>
            </w:tcBorders>
            <w:shd w:val="clear" w:color="auto" w:fill="C6EFCE"/>
            <w:noWrap/>
            <w:hideMark/>
          </w:tcPr>
          <w:p w14:paraId="3F71BB0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C14.I2 </w:t>
            </w:r>
          </w:p>
          <w:p w14:paraId="091FDB2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Dezvoltarea infrastructurii logistice (non-IT) necesare luptei împotriva corupției și recuperării produsului și prejudiciilor generate de infracțiuni, inclusiv a formării profesionale în aceste domenii</w:t>
            </w:r>
          </w:p>
        </w:tc>
        <w:tc>
          <w:tcPr>
            <w:tcW w:w="1275" w:type="dxa"/>
            <w:tcBorders>
              <w:top w:val="nil"/>
              <w:left w:val="nil"/>
              <w:bottom w:val="single" w:sz="4" w:space="0" w:color="auto"/>
              <w:right w:val="single" w:sz="4" w:space="0" w:color="auto"/>
            </w:tcBorders>
            <w:shd w:val="clear" w:color="auto" w:fill="C6EFCE"/>
            <w:noWrap/>
            <w:hideMark/>
          </w:tcPr>
          <w:p w14:paraId="2626123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1D95E60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Darea în folosință a depozitelor pentru bunurile confiscate</w:t>
            </w:r>
          </w:p>
        </w:tc>
      </w:tr>
      <w:tr w:rsidR="00981F92" w:rsidRPr="000A27B3" w14:paraId="50DEF1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C30D4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472</w:t>
            </w:r>
          </w:p>
        </w:tc>
        <w:tc>
          <w:tcPr>
            <w:tcW w:w="3544" w:type="dxa"/>
            <w:tcBorders>
              <w:top w:val="nil"/>
              <w:left w:val="nil"/>
              <w:bottom w:val="single" w:sz="4" w:space="0" w:color="auto"/>
              <w:right w:val="single" w:sz="4" w:space="0" w:color="auto"/>
            </w:tcBorders>
            <w:shd w:val="clear" w:color="auto" w:fill="C6EFCE"/>
            <w:noWrap/>
          </w:tcPr>
          <w:p w14:paraId="41E08D3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C15.I6 </w:t>
            </w:r>
          </w:p>
          <w:p w14:paraId="5E967AE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a 10 consorții regionale și dezvoltarea și dotarea a 10 campusuri profesionale integrate</w:t>
            </w:r>
          </w:p>
        </w:tc>
        <w:tc>
          <w:tcPr>
            <w:tcW w:w="1275" w:type="dxa"/>
            <w:tcBorders>
              <w:top w:val="nil"/>
              <w:left w:val="nil"/>
              <w:bottom w:val="single" w:sz="4" w:space="0" w:color="auto"/>
              <w:right w:val="single" w:sz="4" w:space="0" w:color="auto"/>
            </w:tcBorders>
            <w:shd w:val="clear" w:color="auto" w:fill="C6EFCE"/>
            <w:noWrap/>
          </w:tcPr>
          <w:p w14:paraId="4DF6D14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0C7825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10 campusuri profesionale integrate nou-construite </w:t>
            </w:r>
          </w:p>
        </w:tc>
      </w:tr>
      <w:tr w:rsidR="00981F92" w:rsidRPr="000A27B3" w14:paraId="31FFD6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E9958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475</w:t>
            </w:r>
          </w:p>
        </w:tc>
        <w:tc>
          <w:tcPr>
            <w:tcW w:w="3544" w:type="dxa"/>
            <w:tcBorders>
              <w:top w:val="nil"/>
              <w:left w:val="nil"/>
              <w:bottom w:val="single" w:sz="4" w:space="0" w:color="auto"/>
              <w:right w:val="single" w:sz="4" w:space="0" w:color="auto"/>
            </w:tcBorders>
            <w:shd w:val="clear" w:color="auto" w:fill="C6EFCE"/>
            <w:noWrap/>
          </w:tcPr>
          <w:p w14:paraId="0319E0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C15.I7</w:t>
            </w:r>
          </w:p>
          <w:p w14:paraId="12D36390" w14:textId="41A53186"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Transformarea liceelor agricole în centre de profesionalizare</w:t>
            </w:r>
          </w:p>
        </w:tc>
        <w:tc>
          <w:tcPr>
            <w:tcW w:w="1275" w:type="dxa"/>
            <w:tcBorders>
              <w:top w:val="nil"/>
              <w:left w:val="nil"/>
              <w:bottom w:val="single" w:sz="4" w:space="0" w:color="auto"/>
              <w:right w:val="single" w:sz="4" w:space="0" w:color="auto"/>
            </w:tcBorders>
            <w:shd w:val="clear" w:color="auto" w:fill="C6EFCE"/>
            <w:noWrap/>
          </w:tcPr>
          <w:p w14:paraId="529F3B6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1B759E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57 de licee agricole au beneficiat de sprijin prin intermediul granturilor</w:t>
            </w:r>
          </w:p>
        </w:tc>
      </w:tr>
      <w:tr w:rsidR="00981F92" w:rsidRPr="000A27B3" w14:paraId="46E08B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EDC28D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476</w:t>
            </w:r>
          </w:p>
        </w:tc>
        <w:tc>
          <w:tcPr>
            <w:tcW w:w="3544" w:type="dxa"/>
            <w:tcBorders>
              <w:top w:val="nil"/>
              <w:left w:val="nil"/>
              <w:bottom w:val="single" w:sz="4" w:space="0" w:color="auto"/>
              <w:right w:val="single" w:sz="4" w:space="0" w:color="auto"/>
            </w:tcBorders>
            <w:shd w:val="clear" w:color="auto" w:fill="C6EFCE"/>
            <w:noWrap/>
          </w:tcPr>
          <w:p w14:paraId="1F182A4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C15.I7 </w:t>
            </w:r>
          </w:p>
          <w:p w14:paraId="7D19F180" w14:textId="6990805F"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Transformarea liceelor agricole în centre de profesionalizare</w:t>
            </w:r>
          </w:p>
        </w:tc>
        <w:tc>
          <w:tcPr>
            <w:tcW w:w="1275" w:type="dxa"/>
            <w:tcBorders>
              <w:top w:val="nil"/>
              <w:left w:val="nil"/>
              <w:bottom w:val="single" w:sz="4" w:space="0" w:color="auto"/>
              <w:right w:val="single" w:sz="4" w:space="0" w:color="auto"/>
            </w:tcBorders>
            <w:shd w:val="clear" w:color="auto" w:fill="C6EFCE"/>
            <w:noWrap/>
          </w:tcPr>
          <w:p w14:paraId="6752BF4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C81B3E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Numărul de elevi înmatriculați în cadrul liceelor agricole</w:t>
            </w:r>
          </w:p>
        </w:tc>
      </w:tr>
      <w:tr w:rsidR="00981F92" w:rsidRPr="000A27B3" w14:paraId="324DF9A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60F9E4"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480</w:t>
            </w:r>
          </w:p>
        </w:tc>
        <w:tc>
          <w:tcPr>
            <w:tcW w:w="3544" w:type="dxa"/>
            <w:tcBorders>
              <w:top w:val="nil"/>
              <w:left w:val="nil"/>
              <w:bottom w:val="single" w:sz="4" w:space="0" w:color="auto"/>
              <w:right w:val="single" w:sz="4" w:space="0" w:color="auto"/>
            </w:tcBorders>
            <w:shd w:val="clear" w:color="auto" w:fill="C6EFCE"/>
            <w:noWrap/>
          </w:tcPr>
          <w:p w14:paraId="365F6A4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C15.I8</w:t>
            </w:r>
          </w:p>
          <w:p w14:paraId="057E214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Program de formare la locul de muncă pentru personalul didactic</w:t>
            </w:r>
          </w:p>
        </w:tc>
        <w:tc>
          <w:tcPr>
            <w:tcW w:w="1275" w:type="dxa"/>
            <w:tcBorders>
              <w:top w:val="nil"/>
              <w:left w:val="nil"/>
              <w:bottom w:val="single" w:sz="4" w:space="0" w:color="auto"/>
              <w:right w:val="single" w:sz="4" w:space="0" w:color="auto"/>
            </w:tcBorders>
            <w:shd w:val="clear" w:color="auto" w:fill="C6EFCE"/>
            <w:noWrap/>
          </w:tcPr>
          <w:p w14:paraId="52D0878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4ECFA6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Cadre didactice care au urmat cursuri de formare pentru predarea online, prin îmbunătățirea competențelor specifice de pedagogie digitală</w:t>
            </w:r>
          </w:p>
        </w:tc>
      </w:tr>
      <w:tr w:rsidR="00981F92" w:rsidRPr="0089663E" w14:paraId="5A795C3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46F987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481</w:t>
            </w:r>
          </w:p>
        </w:tc>
        <w:tc>
          <w:tcPr>
            <w:tcW w:w="3544" w:type="dxa"/>
            <w:tcBorders>
              <w:top w:val="nil"/>
              <w:left w:val="nil"/>
              <w:bottom w:val="single" w:sz="4" w:space="0" w:color="auto"/>
              <w:right w:val="single" w:sz="4" w:space="0" w:color="auto"/>
            </w:tcBorders>
            <w:shd w:val="clear" w:color="auto" w:fill="C6EFCE"/>
            <w:noWrap/>
          </w:tcPr>
          <w:p w14:paraId="7839FA4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C15.I8</w:t>
            </w:r>
          </w:p>
          <w:p w14:paraId="6343743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Program de formare la locul de muncă pentru personalul didactic</w:t>
            </w:r>
          </w:p>
        </w:tc>
        <w:tc>
          <w:tcPr>
            <w:tcW w:w="1275" w:type="dxa"/>
            <w:tcBorders>
              <w:top w:val="nil"/>
              <w:left w:val="nil"/>
              <w:bottom w:val="single" w:sz="4" w:space="0" w:color="auto"/>
              <w:right w:val="single" w:sz="4" w:space="0" w:color="auto"/>
            </w:tcBorders>
            <w:shd w:val="clear" w:color="auto" w:fill="C6EFCE"/>
            <w:noWrap/>
          </w:tcPr>
          <w:p w14:paraId="2DCD8C7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193679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Cadre didactice care publică materiale educaționale deschise pe platforma edu.cred pentru schimbul de practici</w:t>
            </w:r>
          </w:p>
          <w:p w14:paraId="4EF9A69B" w14:textId="77777777" w:rsidR="00981F92" w:rsidRPr="000A27B3" w:rsidRDefault="00981F92">
            <w:pPr>
              <w:spacing w:after="0"/>
              <w:jc w:val="both"/>
              <w:rPr>
                <w:rFonts w:ascii="Times New Roman" w:eastAsia="Times New Roman" w:hAnsi="Times New Roman" w:cs="Times New Roman"/>
                <w:noProof/>
                <w:lang w:val="en-IE" w:eastAsia="en-GB"/>
              </w:rPr>
            </w:pPr>
          </w:p>
        </w:tc>
      </w:tr>
      <w:tr w:rsidR="00981F92" w:rsidRPr="000A27B3" w14:paraId="24A4C8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CD407B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61</w:t>
            </w:r>
          </w:p>
        </w:tc>
        <w:tc>
          <w:tcPr>
            <w:tcW w:w="3544" w:type="dxa"/>
            <w:tcBorders>
              <w:top w:val="nil"/>
              <w:left w:val="nil"/>
              <w:bottom w:val="single" w:sz="4" w:space="0" w:color="auto"/>
              <w:right w:val="single" w:sz="4" w:space="0" w:color="auto"/>
            </w:tcBorders>
            <w:shd w:val="clear" w:color="auto" w:fill="C6EFCE"/>
            <w:noWrap/>
          </w:tcPr>
          <w:p w14:paraId="6D37FD5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C4.R1</w:t>
            </w:r>
            <w:r>
              <w:rPr>
                <w:rFonts w:ascii="Times New Roman" w:hAnsi="Times New Roman"/>
                <w:noProof/>
              </w:rPr>
              <w:br/>
              <w:t>Transport sustenabil, decarbonizare și siguranță rutieră /</w:t>
            </w:r>
            <w:r>
              <w:rPr>
                <w:rFonts w:ascii="Times New Roman" w:hAnsi="Times New Roman"/>
                <w:noProof/>
              </w:rPr>
              <w:br/>
              <w:t xml:space="preserve">Decarbonizarea rutieră în conformitate cu principiul „poluatorul plătește” </w:t>
            </w:r>
          </w:p>
        </w:tc>
        <w:tc>
          <w:tcPr>
            <w:tcW w:w="1275" w:type="dxa"/>
            <w:tcBorders>
              <w:top w:val="nil"/>
              <w:left w:val="nil"/>
              <w:bottom w:val="single" w:sz="4" w:space="0" w:color="auto"/>
              <w:right w:val="single" w:sz="4" w:space="0" w:color="auto"/>
            </w:tcBorders>
            <w:shd w:val="clear" w:color="auto" w:fill="C6EFCE"/>
            <w:noWrap/>
          </w:tcPr>
          <w:p w14:paraId="17FF167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00E036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Vehicule noi nepoluante achiziționate de către entități publice, cu cel puțin 3 % peste pragurile din Directiva privind vehiculele nepoluante</w:t>
            </w:r>
          </w:p>
        </w:tc>
      </w:tr>
      <w:tr w:rsidR="00981F92" w:rsidRPr="000A27B3" w14:paraId="19824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A23C0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70</w:t>
            </w:r>
          </w:p>
        </w:tc>
        <w:tc>
          <w:tcPr>
            <w:tcW w:w="3544" w:type="dxa"/>
            <w:tcBorders>
              <w:top w:val="nil"/>
              <w:left w:val="nil"/>
              <w:bottom w:val="single" w:sz="4" w:space="0" w:color="auto"/>
              <w:right w:val="single" w:sz="4" w:space="0" w:color="auto"/>
            </w:tcBorders>
            <w:shd w:val="clear" w:color="auto" w:fill="C6EFCE"/>
            <w:noWrap/>
          </w:tcPr>
          <w:p w14:paraId="4AE6968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C4.R1 </w:t>
            </w:r>
            <w:r>
              <w:rPr>
                <w:rFonts w:ascii="Times New Roman" w:hAnsi="Times New Roman"/>
                <w:noProof/>
              </w:rPr>
              <w:br/>
              <w:t xml:space="preserve">Transport sustenabil, decarbonizare și siguranță rutieră / </w:t>
            </w:r>
            <w:r>
              <w:rPr>
                <w:rFonts w:ascii="Times New Roman" w:hAnsi="Times New Roman"/>
                <w:noProof/>
              </w:rPr>
              <w:br/>
              <w:t>Dezvoltarea infrastructurii feroviare și managementul traficului feroviar</w:t>
            </w:r>
          </w:p>
        </w:tc>
        <w:tc>
          <w:tcPr>
            <w:tcW w:w="1275" w:type="dxa"/>
            <w:tcBorders>
              <w:top w:val="nil"/>
              <w:left w:val="nil"/>
              <w:bottom w:val="single" w:sz="4" w:space="0" w:color="auto"/>
              <w:right w:val="single" w:sz="4" w:space="0" w:color="auto"/>
            </w:tcBorders>
            <w:shd w:val="clear" w:color="auto" w:fill="C6EFCE"/>
            <w:noWrap/>
          </w:tcPr>
          <w:p w14:paraId="0B2A017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5877AE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Publicarea și implementarea planului național de acțiune privind Sistemul european de management al traficului feroviar (ERTMS)</w:t>
            </w:r>
          </w:p>
        </w:tc>
      </w:tr>
      <w:tr w:rsidR="00981F92" w:rsidRPr="000A27B3" w14:paraId="6D4DC2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02154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119</w:t>
            </w:r>
          </w:p>
        </w:tc>
        <w:tc>
          <w:tcPr>
            <w:tcW w:w="3544" w:type="dxa"/>
            <w:tcBorders>
              <w:top w:val="nil"/>
              <w:left w:val="nil"/>
              <w:bottom w:val="single" w:sz="4" w:space="0" w:color="auto"/>
              <w:right w:val="single" w:sz="4" w:space="0" w:color="auto"/>
            </w:tcBorders>
            <w:shd w:val="clear" w:color="auto" w:fill="C6EFCE"/>
            <w:noWrap/>
          </w:tcPr>
          <w:p w14:paraId="2BF7E3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C6.R1</w:t>
            </w:r>
          </w:p>
          <w:p w14:paraId="5FECAA2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1275" w:type="dxa"/>
            <w:tcBorders>
              <w:top w:val="nil"/>
              <w:left w:val="nil"/>
              <w:bottom w:val="single" w:sz="4" w:space="0" w:color="auto"/>
              <w:right w:val="single" w:sz="4" w:space="0" w:color="auto"/>
            </w:tcBorders>
            <w:shd w:val="clear" w:color="auto" w:fill="C6EFCE"/>
            <w:noWrap/>
          </w:tcPr>
          <w:p w14:paraId="1547E44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20DFA7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Scoaterea din operare a capacității de producție a energiei electrice pe bază de lignit </w:t>
            </w:r>
          </w:p>
        </w:tc>
      </w:tr>
      <w:tr w:rsidR="00981F92" w:rsidRPr="000A27B3" w14:paraId="600D3B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1E2AB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155</w:t>
            </w:r>
          </w:p>
        </w:tc>
        <w:tc>
          <w:tcPr>
            <w:tcW w:w="3544" w:type="dxa"/>
            <w:tcBorders>
              <w:top w:val="nil"/>
              <w:left w:val="nil"/>
              <w:bottom w:val="single" w:sz="4" w:space="0" w:color="auto"/>
              <w:right w:val="single" w:sz="4" w:space="0" w:color="auto"/>
            </w:tcBorders>
            <w:shd w:val="clear" w:color="auto" w:fill="C6EFCE"/>
            <w:noWrap/>
          </w:tcPr>
          <w:p w14:paraId="2F5A53A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C7.I1</w:t>
            </w:r>
            <w:r>
              <w:rPr>
                <w:rFonts w:ascii="Times New Roman" w:hAnsi="Times New Roman"/>
                <w:noProof/>
              </w:rPr>
              <w:br/>
              <w:t xml:space="preserve">Implementarea infrastructurii de cloud guvernamental </w:t>
            </w:r>
          </w:p>
        </w:tc>
        <w:tc>
          <w:tcPr>
            <w:tcW w:w="1275" w:type="dxa"/>
            <w:tcBorders>
              <w:top w:val="nil"/>
              <w:left w:val="nil"/>
              <w:bottom w:val="single" w:sz="4" w:space="0" w:color="auto"/>
              <w:right w:val="single" w:sz="4" w:space="0" w:color="auto"/>
            </w:tcBorders>
            <w:shd w:val="clear" w:color="auto" w:fill="C6EFCE"/>
            <w:noWrap/>
          </w:tcPr>
          <w:p w14:paraId="3748E47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271BA8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Centre de date Tier III și Tier IV de la momentul conceperii, infrastructură și tehnologii pentru servicii de cloud</w:t>
            </w:r>
          </w:p>
        </w:tc>
      </w:tr>
      <w:tr w:rsidR="00981F92" w:rsidRPr="000A27B3" w14:paraId="5D7757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6B0D71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164</w:t>
            </w:r>
          </w:p>
        </w:tc>
        <w:tc>
          <w:tcPr>
            <w:tcW w:w="3544" w:type="dxa"/>
            <w:tcBorders>
              <w:top w:val="nil"/>
              <w:left w:val="nil"/>
              <w:bottom w:val="single" w:sz="4" w:space="0" w:color="auto"/>
              <w:right w:val="single" w:sz="4" w:space="0" w:color="auto"/>
            </w:tcBorders>
            <w:shd w:val="clear" w:color="auto" w:fill="C6EFCE"/>
            <w:noWrap/>
          </w:tcPr>
          <w:p w14:paraId="7938C8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C7.I4 </w:t>
            </w:r>
          </w:p>
          <w:p w14:paraId="125D93D3" w14:textId="0F0F13FC" w:rsidR="00981F92" w:rsidRPr="000A27B3" w:rsidRDefault="00981F92">
            <w:pPr>
              <w:spacing w:after="0"/>
              <w:jc w:val="both"/>
              <w:rPr>
                <w:rFonts w:ascii="Times New Roman" w:hAnsi="Times New Roman" w:cs="Times New Roman"/>
                <w:noProof/>
              </w:rPr>
            </w:pPr>
            <w:r>
              <w:rPr>
                <w:rFonts w:ascii="Times New Roman" w:hAnsi="Times New Roman"/>
                <w:noProof/>
              </w:rPr>
              <w:t xml:space="preserve">Digitalizarea sistemului judiciar </w:t>
            </w:r>
          </w:p>
        </w:tc>
        <w:tc>
          <w:tcPr>
            <w:tcW w:w="1275" w:type="dxa"/>
            <w:tcBorders>
              <w:top w:val="nil"/>
              <w:left w:val="nil"/>
              <w:bottom w:val="single" w:sz="4" w:space="0" w:color="auto"/>
              <w:right w:val="single" w:sz="4" w:space="0" w:color="auto"/>
            </w:tcBorders>
            <w:shd w:val="clear" w:color="auto" w:fill="C6EFCE"/>
            <w:noWrap/>
          </w:tcPr>
          <w:p w14:paraId="2AFCC7D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E8A5F5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operaționalizării ECRIS V (Sistemul electronic de management al cauzelor)</w:t>
            </w:r>
          </w:p>
        </w:tc>
      </w:tr>
      <w:tr w:rsidR="00981F92" w:rsidRPr="000A27B3" w14:paraId="35C7FA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65F08F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170</w:t>
            </w:r>
          </w:p>
        </w:tc>
        <w:tc>
          <w:tcPr>
            <w:tcW w:w="3544" w:type="dxa"/>
            <w:tcBorders>
              <w:top w:val="nil"/>
              <w:left w:val="nil"/>
              <w:bottom w:val="single" w:sz="4" w:space="0" w:color="auto"/>
              <w:right w:val="single" w:sz="4" w:space="0" w:color="auto"/>
            </w:tcBorders>
            <w:shd w:val="clear" w:color="auto" w:fill="C6EFCE"/>
            <w:noWrap/>
          </w:tcPr>
          <w:p w14:paraId="46E89DF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C7.I6</w:t>
            </w:r>
          </w:p>
          <w:p w14:paraId="6500CE3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Digitalizarea în domeniul muncii și protecției sociale </w:t>
            </w:r>
          </w:p>
        </w:tc>
        <w:tc>
          <w:tcPr>
            <w:tcW w:w="1275" w:type="dxa"/>
            <w:tcBorders>
              <w:top w:val="nil"/>
              <w:left w:val="nil"/>
              <w:bottom w:val="single" w:sz="4" w:space="0" w:color="auto"/>
              <w:right w:val="single" w:sz="4" w:space="0" w:color="auto"/>
            </w:tcBorders>
            <w:shd w:val="clear" w:color="auto" w:fill="C6EFCE"/>
            <w:noWrap/>
          </w:tcPr>
          <w:p w14:paraId="6AF40AB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F4CF10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Implementarea serviciilor digitale în domeniul muncii și protecției sociale </w:t>
            </w:r>
          </w:p>
        </w:tc>
      </w:tr>
      <w:tr w:rsidR="00981F92" w:rsidRPr="000A27B3" w14:paraId="5A3103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E3DEF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177</w:t>
            </w:r>
          </w:p>
        </w:tc>
        <w:tc>
          <w:tcPr>
            <w:tcW w:w="3544" w:type="dxa"/>
            <w:tcBorders>
              <w:top w:val="nil"/>
              <w:left w:val="nil"/>
              <w:bottom w:val="single" w:sz="4" w:space="0" w:color="auto"/>
              <w:right w:val="single" w:sz="4" w:space="0" w:color="auto"/>
            </w:tcBorders>
            <w:shd w:val="clear" w:color="auto" w:fill="C6EFCE"/>
            <w:noWrap/>
          </w:tcPr>
          <w:p w14:paraId="67EDB19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C7.I10</w:t>
            </w:r>
          </w:p>
          <w:p w14:paraId="24C23A4F" w14:textId="1BCA13C4"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Transformarea digitală în managementul funcției publice </w:t>
            </w:r>
          </w:p>
        </w:tc>
        <w:tc>
          <w:tcPr>
            <w:tcW w:w="1275" w:type="dxa"/>
            <w:tcBorders>
              <w:top w:val="nil"/>
              <w:left w:val="nil"/>
              <w:bottom w:val="single" w:sz="4" w:space="0" w:color="auto"/>
              <w:right w:val="single" w:sz="4" w:space="0" w:color="auto"/>
            </w:tcBorders>
            <w:shd w:val="clear" w:color="auto" w:fill="C6EFCE"/>
            <w:noWrap/>
          </w:tcPr>
          <w:p w14:paraId="4A439D6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EF939F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S-au instituit și sunt operaționale platforme interactive și colaborative pentru managementul standardizat al resurselor umane în administrația publică centrală</w:t>
            </w:r>
          </w:p>
        </w:tc>
      </w:tr>
      <w:tr w:rsidR="00981F92" w:rsidRPr="000A27B3" w14:paraId="4B28AE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55E73B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178</w:t>
            </w:r>
          </w:p>
        </w:tc>
        <w:tc>
          <w:tcPr>
            <w:tcW w:w="3544" w:type="dxa"/>
            <w:tcBorders>
              <w:top w:val="nil"/>
              <w:left w:val="nil"/>
              <w:bottom w:val="single" w:sz="4" w:space="0" w:color="auto"/>
              <w:right w:val="single" w:sz="4" w:space="0" w:color="auto"/>
            </w:tcBorders>
            <w:shd w:val="clear" w:color="auto" w:fill="C6EFCE"/>
            <w:noWrap/>
          </w:tcPr>
          <w:p w14:paraId="338A605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C7.I11</w:t>
            </w:r>
            <w:r>
              <w:rPr>
                <w:rFonts w:ascii="Times New Roman" w:hAnsi="Times New Roman"/>
                <w:noProof/>
              </w:rPr>
              <w:br/>
              <w:t xml:space="preserve">Implementarea unei scheme de sprijinire a utilizării serviciilor de comunicații prin diferite tipuri de instrumente pentru beneficiari, cu accent pe zonele albe </w:t>
            </w:r>
          </w:p>
        </w:tc>
        <w:tc>
          <w:tcPr>
            <w:tcW w:w="1275" w:type="dxa"/>
            <w:tcBorders>
              <w:top w:val="nil"/>
              <w:left w:val="nil"/>
              <w:bottom w:val="single" w:sz="4" w:space="0" w:color="auto"/>
              <w:right w:val="single" w:sz="4" w:space="0" w:color="auto"/>
            </w:tcBorders>
            <w:shd w:val="clear" w:color="auto" w:fill="C6EFCE"/>
            <w:noWrap/>
          </w:tcPr>
          <w:p w14:paraId="5E9EC52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BFEDB1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Conectarea satelor din zonele albe la internet de foarte mare viteză </w:t>
            </w:r>
          </w:p>
        </w:tc>
      </w:tr>
      <w:tr w:rsidR="00981F92" w:rsidRPr="000A27B3" w14:paraId="4916810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2C9517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180</w:t>
            </w:r>
          </w:p>
        </w:tc>
        <w:tc>
          <w:tcPr>
            <w:tcW w:w="3544" w:type="dxa"/>
            <w:tcBorders>
              <w:top w:val="nil"/>
              <w:left w:val="nil"/>
              <w:bottom w:val="single" w:sz="4" w:space="0" w:color="auto"/>
              <w:right w:val="single" w:sz="4" w:space="0" w:color="auto"/>
            </w:tcBorders>
            <w:shd w:val="clear" w:color="auto" w:fill="C6EFCE"/>
            <w:noWrap/>
          </w:tcPr>
          <w:p w14:paraId="3048164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C7.I12</w:t>
            </w:r>
          </w:p>
          <w:p w14:paraId="588AA08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Asigurarea protecției cibernetice atât pentru infrastructurile TIC publice, cât și pentru cele private cu valențe critice pentru securitatea națională, prin utilizarea tehnologiilor inteligente </w:t>
            </w:r>
          </w:p>
          <w:p w14:paraId="593DC1AC" w14:textId="77777777" w:rsidR="00981F92" w:rsidRPr="009F1DC7" w:rsidRDefault="00981F92">
            <w:pPr>
              <w:spacing w:after="0"/>
              <w:jc w:val="both"/>
              <w:rPr>
                <w:rFonts w:ascii="Times New Roman" w:hAnsi="Times New Roman" w:cs="Times New Roman"/>
                <w:noProof/>
              </w:rPr>
            </w:pPr>
          </w:p>
        </w:tc>
        <w:tc>
          <w:tcPr>
            <w:tcW w:w="1275" w:type="dxa"/>
            <w:tcBorders>
              <w:top w:val="nil"/>
              <w:left w:val="nil"/>
              <w:bottom w:val="single" w:sz="4" w:space="0" w:color="auto"/>
              <w:right w:val="single" w:sz="4" w:space="0" w:color="auto"/>
            </w:tcBorders>
            <w:shd w:val="clear" w:color="auto" w:fill="C6EFCE"/>
            <w:noWrap/>
          </w:tcPr>
          <w:p w14:paraId="313BC0C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C5F24E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Consolidarea centrului național de securitate cibernetică</w:t>
            </w:r>
          </w:p>
        </w:tc>
      </w:tr>
      <w:tr w:rsidR="00981F92" w:rsidRPr="000A27B3" w14:paraId="32DACE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602F8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186</w:t>
            </w:r>
          </w:p>
        </w:tc>
        <w:tc>
          <w:tcPr>
            <w:tcW w:w="3544" w:type="dxa"/>
            <w:tcBorders>
              <w:top w:val="nil"/>
              <w:left w:val="nil"/>
              <w:bottom w:val="single" w:sz="4" w:space="0" w:color="auto"/>
              <w:right w:val="single" w:sz="4" w:space="0" w:color="auto"/>
            </w:tcBorders>
            <w:shd w:val="clear" w:color="auto" w:fill="C6EFCE"/>
            <w:noWrap/>
          </w:tcPr>
          <w:p w14:paraId="280CF76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C7.I17</w:t>
            </w:r>
            <w:r>
              <w:rPr>
                <w:rFonts w:ascii="Times New Roman" w:hAnsi="Times New Roman"/>
                <w:noProof/>
              </w:rPr>
              <w:br/>
              <w:t xml:space="preserve">Scheme de finanțare pentru biblioteci pentru a deveni hub-uri de dezvoltare a competențelor digitale </w:t>
            </w:r>
          </w:p>
        </w:tc>
        <w:tc>
          <w:tcPr>
            <w:tcW w:w="1275" w:type="dxa"/>
            <w:tcBorders>
              <w:top w:val="nil"/>
              <w:left w:val="nil"/>
              <w:bottom w:val="single" w:sz="4" w:space="0" w:color="auto"/>
              <w:right w:val="single" w:sz="4" w:space="0" w:color="auto"/>
            </w:tcBorders>
            <w:shd w:val="clear" w:color="auto" w:fill="C6EFCE"/>
            <w:noWrap/>
          </w:tcPr>
          <w:p w14:paraId="147D349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2585C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Biblioteci transformate în centre digitale</w:t>
            </w:r>
          </w:p>
        </w:tc>
      </w:tr>
      <w:tr w:rsidR="00981F92" w:rsidRPr="000A27B3" w14:paraId="7E996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F33788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196</w:t>
            </w:r>
          </w:p>
        </w:tc>
        <w:tc>
          <w:tcPr>
            <w:tcW w:w="3544" w:type="dxa"/>
            <w:tcBorders>
              <w:top w:val="nil"/>
              <w:left w:val="nil"/>
              <w:bottom w:val="single" w:sz="4" w:space="0" w:color="auto"/>
              <w:right w:val="single" w:sz="4" w:space="0" w:color="auto"/>
            </w:tcBorders>
            <w:shd w:val="clear" w:color="auto" w:fill="C6EFCE"/>
            <w:noWrap/>
          </w:tcPr>
          <w:p w14:paraId="44A3A37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C8.R1</w:t>
            </w:r>
          </w:p>
          <w:p w14:paraId="54C1FC1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Agenției Naționale de Administrare Fiscală (ANAF) prin digitalizare </w:t>
            </w:r>
          </w:p>
        </w:tc>
        <w:tc>
          <w:tcPr>
            <w:tcW w:w="1275" w:type="dxa"/>
            <w:tcBorders>
              <w:top w:val="nil"/>
              <w:left w:val="nil"/>
              <w:bottom w:val="single" w:sz="4" w:space="0" w:color="auto"/>
              <w:right w:val="single" w:sz="4" w:space="0" w:color="auto"/>
            </w:tcBorders>
            <w:shd w:val="clear" w:color="auto" w:fill="C6EFCE"/>
            <w:noWrap/>
          </w:tcPr>
          <w:p w14:paraId="30F0061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326B2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Creșterea ponderii veniturilor colectate de administrația fiscală cu cel puțin 2,5 puncte procentuale din PIB </w:t>
            </w:r>
          </w:p>
        </w:tc>
      </w:tr>
      <w:tr w:rsidR="00981F92" w:rsidRPr="000A27B3" w14:paraId="434D08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D200C0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198</w:t>
            </w:r>
          </w:p>
        </w:tc>
        <w:tc>
          <w:tcPr>
            <w:tcW w:w="3544" w:type="dxa"/>
            <w:tcBorders>
              <w:top w:val="nil"/>
              <w:left w:val="nil"/>
              <w:bottom w:val="single" w:sz="4" w:space="0" w:color="auto"/>
              <w:right w:val="single" w:sz="4" w:space="0" w:color="auto"/>
            </w:tcBorders>
            <w:shd w:val="clear" w:color="auto" w:fill="C6EFCE"/>
            <w:noWrap/>
          </w:tcPr>
          <w:p w14:paraId="317A0DE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C8.R2</w:t>
            </w:r>
          </w:p>
          <w:p w14:paraId="327555C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Modernizarea sistemului vamal și implementarea vămii electronice </w:t>
            </w:r>
          </w:p>
        </w:tc>
        <w:tc>
          <w:tcPr>
            <w:tcW w:w="1275" w:type="dxa"/>
            <w:tcBorders>
              <w:top w:val="nil"/>
              <w:left w:val="nil"/>
              <w:bottom w:val="single" w:sz="4" w:space="0" w:color="auto"/>
              <w:right w:val="single" w:sz="4" w:space="0" w:color="auto"/>
            </w:tcBorders>
            <w:shd w:val="clear" w:color="auto" w:fill="C6EFCE"/>
            <w:noWrap/>
          </w:tcPr>
          <w:p w14:paraId="5A697A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B87C99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modificărilor aduse cadrului de reglementare în vigoare pentru a se îmbunătăți funcționarea Autorității Vamale</w:t>
            </w:r>
          </w:p>
        </w:tc>
      </w:tr>
      <w:tr w:rsidR="00981F92" w:rsidRPr="000A27B3" w14:paraId="7FE07A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D486F3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223</w:t>
            </w:r>
          </w:p>
        </w:tc>
        <w:tc>
          <w:tcPr>
            <w:tcW w:w="3544" w:type="dxa"/>
            <w:tcBorders>
              <w:top w:val="nil"/>
              <w:left w:val="nil"/>
              <w:bottom w:val="single" w:sz="4" w:space="0" w:color="auto"/>
              <w:right w:val="single" w:sz="4" w:space="0" w:color="auto"/>
            </w:tcBorders>
            <w:shd w:val="clear" w:color="auto" w:fill="C6EFCE"/>
            <w:noWrap/>
          </w:tcPr>
          <w:p w14:paraId="5EDFB7B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4797075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0801B97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5343BA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Ponderea numărului de desk-audituri raportată la numărul total de audituri efectuate de administrația fiscală: 60 % </w:t>
            </w:r>
          </w:p>
        </w:tc>
      </w:tr>
      <w:tr w:rsidR="00981F92" w:rsidRPr="000A27B3" w14:paraId="29A5AC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1D90EC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224</w:t>
            </w:r>
          </w:p>
        </w:tc>
        <w:tc>
          <w:tcPr>
            <w:tcW w:w="3544" w:type="dxa"/>
            <w:tcBorders>
              <w:top w:val="nil"/>
              <w:left w:val="nil"/>
              <w:bottom w:val="single" w:sz="4" w:space="0" w:color="auto"/>
              <w:right w:val="single" w:sz="4" w:space="0" w:color="auto"/>
            </w:tcBorders>
            <w:shd w:val="clear" w:color="auto" w:fill="C6EFCE"/>
            <w:noWrap/>
          </w:tcPr>
          <w:p w14:paraId="5F19783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6F2569C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095735E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1BAE30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Sporirea numărului de audituri cu 10 % </w:t>
            </w:r>
          </w:p>
        </w:tc>
      </w:tr>
      <w:tr w:rsidR="00981F92" w:rsidRPr="000A27B3" w14:paraId="658440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EA272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225</w:t>
            </w:r>
          </w:p>
        </w:tc>
        <w:tc>
          <w:tcPr>
            <w:tcW w:w="3544" w:type="dxa"/>
            <w:tcBorders>
              <w:top w:val="nil"/>
              <w:left w:val="nil"/>
              <w:bottom w:val="single" w:sz="4" w:space="0" w:color="auto"/>
              <w:right w:val="single" w:sz="4" w:space="0" w:color="auto"/>
            </w:tcBorders>
            <w:shd w:val="clear" w:color="auto" w:fill="C6EFCE"/>
            <w:noWrap/>
          </w:tcPr>
          <w:p w14:paraId="58EDA4D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2FD9AE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4D07B7D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C24A96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Registrul electronic al riscurilor va fi pe deplin operațional</w:t>
            </w:r>
          </w:p>
        </w:tc>
      </w:tr>
      <w:tr w:rsidR="00981F92" w:rsidRPr="000A27B3" w14:paraId="24F983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DA90F5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226</w:t>
            </w:r>
          </w:p>
        </w:tc>
        <w:tc>
          <w:tcPr>
            <w:tcW w:w="3544" w:type="dxa"/>
            <w:tcBorders>
              <w:top w:val="nil"/>
              <w:left w:val="nil"/>
              <w:bottom w:val="single" w:sz="4" w:space="0" w:color="auto"/>
              <w:right w:val="single" w:sz="4" w:space="0" w:color="auto"/>
            </w:tcBorders>
            <w:shd w:val="clear" w:color="auto" w:fill="C6EFCE"/>
            <w:noWrap/>
          </w:tcPr>
          <w:p w14:paraId="79BE196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0CE06E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proceselor de administrare a impozitelor și taxelor, inclusiv prin implementarea managementului integrat al riscurilor </w:t>
            </w:r>
          </w:p>
        </w:tc>
        <w:tc>
          <w:tcPr>
            <w:tcW w:w="1275" w:type="dxa"/>
            <w:tcBorders>
              <w:top w:val="nil"/>
              <w:left w:val="nil"/>
              <w:bottom w:val="single" w:sz="4" w:space="0" w:color="auto"/>
              <w:right w:val="single" w:sz="4" w:space="0" w:color="auto"/>
            </w:tcBorders>
            <w:shd w:val="clear" w:color="auto" w:fill="C6EFCE"/>
            <w:noWrap/>
          </w:tcPr>
          <w:p w14:paraId="18FB799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273867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S-a instituit și este operațională platforma de tip big data/analiză </w:t>
            </w:r>
          </w:p>
        </w:tc>
      </w:tr>
      <w:tr w:rsidR="00981F92" w:rsidRPr="000A27B3" w14:paraId="0839C5A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47040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232</w:t>
            </w:r>
          </w:p>
        </w:tc>
        <w:tc>
          <w:tcPr>
            <w:tcW w:w="3544" w:type="dxa"/>
            <w:tcBorders>
              <w:top w:val="nil"/>
              <w:left w:val="nil"/>
              <w:bottom w:val="single" w:sz="4" w:space="0" w:color="auto"/>
              <w:right w:val="single" w:sz="4" w:space="0" w:color="auto"/>
            </w:tcBorders>
            <w:shd w:val="clear" w:color="auto" w:fill="C6EFCE"/>
            <w:noWrap/>
          </w:tcPr>
          <w:p w14:paraId="267149D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C8.I4</w:t>
            </w:r>
          </w:p>
          <w:p w14:paraId="632BA9A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Implementarea vămii electronice</w:t>
            </w:r>
          </w:p>
        </w:tc>
        <w:tc>
          <w:tcPr>
            <w:tcW w:w="1275" w:type="dxa"/>
            <w:tcBorders>
              <w:top w:val="nil"/>
              <w:left w:val="nil"/>
              <w:bottom w:val="single" w:sz="4" w:space="0" w:color="auto"/>
              <w:right w:val="single" w:sz="4" w:space="0" w:color="auto"/>
            </w:tcBorders>
            <w:shd w:val="clear" w:color="auto" w:fill="C6EFCE"/>
            <w:noWrap/>
          </w:tcPr>
          <w:p w14:paraId="1D17797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89C1E0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Sunt operaționale sisteme informatice destinate vămilor</w:t>
            </w:r>
          </w:p>
        </w:tc>
      </w:tr>
      <w:tr w:rsidR="00981F92" w:rsidRPr="000A27B3" w14:paraId="7905DF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B610F0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237</w:t>
            </w:r>
          </w:p>
        </w:tc>
        <w:tc>
          <w:tcPr>
            <w:tcW w:w="3544" w:type="dxa"/>
            <w:tcBorders>
              <w:top w:val="nil"/>
              <w:left w:val="nil"/>
              <w:bottom w:val="single" w:sz="4" w:space="0" w:color="auto"/>
              <w:right w:val="single" w:sz="4" w:space="0" w:color="auto"/>
            </w:tcBorders>
            <w:shd w:val="clear" w:color="auto" w:fill="C6EFCE"/>
            <w:noWrap/>
          </w:tcPr>
          <w:p w14:paraId="45898A0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C8.I7</w:t>
            </w:r>
          </w:p>
          <w:p w14:paraId="48821C1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Asistență tehnică pentru revizuirea cadrului fiscal</w:t>
            </w:r>
          </w:p>
        </w:tc>
        <w:tc>
          <w:tcPr>
            <w:tcW w:w="1275" w:type="dxa"/>
            <w:tcBorders>
              <w:top w:val="nil"/>
              <w:left w:val="nil"/>
              <w:bottom w:val="single" w:sz="4" w:space="0" w:color="auto"/>
              <w:right w:val="single" w:sz="4" w:space="0" w:color="auto"/>
            </w:tcBorders>
            <w:shd w:val="clear" w:color="auto" w:fill="C6EFCE"/>
            <w:noWrap/>
          </w:tcPr>
          <w:p w14:paraId="427D8D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5A4A97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Sistem informatic care permite implementarea unui model automat de evaluare a proprietăților</w:t>
            </w:r>
          </w:p>
        </w:tc>
      </w:tr>
      <w:tr w:rsidR="00981F92" w:rsidRPr="000A27B3" w14:paraId="574FCC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163829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372</w:t>
            </w:r>
          </w:p>
        </w:tc>
        <w:tc>
          <w:tcPr>
            <w:tcW w:w="3544" w:type="dxa"/>
            <w:tcBorders>
              <w:top w:val="nil"/>
              <w:left w:val="nil"/>
              <w:bottom w:val="single" w:sz="4" w:space="0" w:color="auto"/>
              <w:right w:val="single" w:sz="4" w:space="0" w:color="auto"/>
            </w:tcBorders>
            <w:shd w:val="clear" w:color="auto" w:fill="C6EFCE"/>
            <w:noWrap/>
          </w:tcPr>
          <w:p w14:paraId="11967783" w14:textId="77777777" w:rsidR="00981F92" w:rsidRPr="000A27B3" w:rsidRDefault="00981F92">
            <w:pPr>
              <w:spacing w:after="0"/>
              <w:rPr>
                <w:rFonts w:ascii="Times New Roman" w:hAnsi="Times New Roman" w:cs="Times New Roman"/>
                <w:noProof/>
              </w:rPr>
            </w:pPr>
            <w:r>
              <w:rPr>
                <w:rFonts w:ascii="Times New Roman" w:hAnsi="Times New Roman"/>
                <w:noProof/>
              </w:rPr>
              <w:t>C12.I1 Dezvoltarea infrastructurii medicale prespitalicești</w:t>
            </w:r>
          </w:p>
        </w:tc>
        <w:tc>
          <w:tcPr>
            <w:tcW w:w="1275" w:type="dxa"/>
            <w:tcBorders>
              <w:top w:val="nil"/>
              <w:left w:val="nil"/>
              <w:bottom w:val="single" w:sz="4" w:space="0" w:color="auto"/>
              <w:right w:val="single" w:sz="4" w:space="0" w:color="auto"/>
            </w:tcBorders>
            <w:shd w:val="clear" w:color="auto" w:fill="C6EFCE"/>
            <w:noWrap/>
          </w:tcPr>
          <w:p w14:paraId="5473922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0BB2A3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Cabinete de planificare familială dotate sau dotate și renovate</w:t>
            </w:r>
          </w:p>
        </w:tc>
      </w:tr>
      <w:tr w:rsidR="00981F92" w:rsidRPr="000A27B3" w14:paraId="120594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B5819B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396</w:t>
            </w:r>
          </w:p>
        </w:tc>
        <w:tc>
          <w:tcPr>
            <w:tcW w:w="3544" w:type="dxa"/>
            <w:tcBorders>
              <w:top w:val="nil"/>
              <w:left w:val="nil"/>
              <w:bottom w:val="single" w:sz="4" w:space="0" w:color="auto"/>
              <w:right w:val="single" w:sz="4" w:space="0" w:color="auto"/>
            </w:tcBorders>
            <w:shd w:val="clear" w:color="auto" w:fill="C6EFCE"/>
            <w:noWrap/>
          </w:tcPr>
          <w:p w14:paraId="6DDE31C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C13.I2</w:t>
            </w:r>
          </w:p>
          <w:p w14:paraId="00288C0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Reabilitarea, renovarea și dezvoltarea infrastructurii sociale pentru persoanele cu dizabilități</w:t>
            </w:r>
          </w:p>
        </w:tc>
        <w:tc>
          <w:tcPr>
            <w:tcW w:w="1275" w:type="dxa"/>
            <w:tcBorders>
              <w:top w:val="nil"/>
              <w:left w:val="nil"/>
              <w:bottom w:val="single" w:sz="4" w:space="0" w:color="auto"/>
              <w:right w:val="single" w:sz="4" w:space="0" w:color="auto"/>
            </w:tcBorders>
            <w:shd w:val="clear" w:color="auto" w:fill="C6EFCE"/>
            <w:noWrap/>
          </w:tcPr>
          <w:p w14:paraId="2E903E8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EBADEE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Noi servicii comunitare pentru persoanele cu dizabilități</w:t>
            </w:r>
          </w:p>
        </w:tc>
      </w:tr>
      <w:tr w:rsidR="00981F92" w:rsidRPr="000A27B3" w14:paraId="025A8A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B2419E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406</w:t>
            </w:r>
          </w:p>
        </w:tc>
        <w:tc>
          <w:tcPr>
            <w:tcW w:w="3544" w:type="dxa"/>
            <w:tcBorders>
              <w:top w:val="nil"/>
              <w:left w:val="nil"/>
              <w:bottom w:val="single" w:sz="4" w:space="0" w:color="auto"/>
              <w:right w:val="single" w:sz="4" w:space="0" w:color="auto"/>
            </w:tcBorders>
            <w:shd w:val="clear" w:color="auto" w:fill="C6EFCE"/>
            <w:noWrap/>
          </w:tcPr>
          <w:p w14:paraId="3302102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r>
              <w:rPr>
                <w:rFonts w:ascii="Times New Roman" w:hAnsi="Times New Roman"/>
                <w:noProof/>
              </w:rPr>
              <w:b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administrației</w:t>
            </w:r>
          </w:p>
        </w:tc>
        <w:tc>
          <w:tcPr>
            <w:tcW w:w="1275" w:type="dxa"/>
            <w:tcBorders>
              <w:top w:val="nil"/>
              <w:left w:val="nil"/>
              <w:bottom w:val="single" w:sz="4" w:space="0" w:color="auto"/>
              <w:right w:val="single" w:sz="4" w:space="0" w:color="auto"/>
            </w:tcBorders>
            <w:shd w:val="clear" w:color="auto" w:fill="C6EFCE"/>
            <w:noWrap/>
          </w:tcPr>
          <w:p w14:paraId="7132773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8146B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800 de reprezentanți ai organizațiilor societății civile au urmat cursuri de formare pentru a spori capacitatea administrativă și digitalizarea structurilor lor</w:t>
            </w:r>
          </w:p>
        </w:tc>
      </w:tr>
      <w:tr w:rsidR="00981F92" w:rsidRPr="000A27B3" w14:paraId="22A292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79F82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419</w:t>
            </w:r>
          </w:p>
        </w:tc>
        <w:tc>
          <w:tcPr>
            <w:tcW w:w="3544" w:type="dxa"/>
            <w:tcBorders>
              <w:top w:val="nil"/>
              <w:left w:val="nil"/>
              <w:bottom w:val="single" w:sz="4" w:space="0" w:color="auto"/>
              <w:right w:val="single" w:sz="4" w:space="0" w:color="auto"/>
            </w:tcBorders>
            <w:shd w:val="clear" w:color="auto" w:fill="C6EFCE"/>
            <w:noWrap/>
          </w:tcPr>
          <w:p w14:paraId="7032EEF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C14.R3. Management performant al resurselor umane în sectorul public</w:t>
            </w:r>
          </w:p>
        </w:tc>
        <w:tc>
          <w:tcPr>
            <w:tcW w:w="1275" w:type="dxa"/>
            <w:tcBorders>
              <w:top w:val="nil"/>
              <w:left w:val="nil"/>
              <w:bottom w:val="single" w:sz="4" w:space="0" w:color="auto"/>
              <w:right w:val="single" w:sz="4" w:space="0" w:color="auto"/>
            </w:tcBorders>
            <w:shd w:val="clear" w:color="auto" w:fill="C6EFCE"/>
            <w:noWrap/>
          </w:tcPr>
          <w:p w14:paraId="6D06DDB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B756B4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Cadrele de competență în administrația publică centrală sunt operaționale</w:t>
            </w:r>
          </w:p>
        </w:tc>
      </w:tr>
      <w:tr w:rsidR="00981F92" w:rsidRPr="000A27B3" w14:paraId="5AA3AFA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1E7ED1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425</w:t>
            </w:r>
          </w:p>
        </w:tc>
        <w:tc>
          <w:tcPr>
            <w:tcW w:w="3544" w:type="dxa"/>
            <w:tcBorders>
              <w:top w:val="nil"/>
              <w:left w:val="nil"/>
              <w:bottom w:val="single" w:sz="4" w:space="0" w:color="auto"/>
              <w:right w:val="single" w:sz="4" w:space="0" w:color="auto"/>
            </w:tcBorders>
            <w:shd w:val="clear" w:color="auto" w:fill="C6EFCE"/>
            <w:noWrap/>
          </w:tcPr>
          <w:p w14:paraId="4980556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C14.R5. Garantarea independenței justiției, creșterea calității și eficienței acesteia</w:t>
            </w:r>
          </w:p>
        </w:tc>
        <w:tc>
          <w:tcPr>
            <w:tcW w:w="1275" w:type="dxa"/>
            <w:tcBorders>
              <w:top w:val="nil"/>
              <w:left w:val="nil"/>
              <w:bottom w:val="single" w:sz="4" w:space="0" w:color="auto"/>
              <w:right w:val="single" w:sz="4" w:space="0" w:color="auto"/>
            </w:tcBorders>
            <w:shd w:val="clear" w:color="auto" w:fill="C6EFCE"/>
            <w:noWrap/>
          </w:tcPr>
          <w:p w14:paraId="5B59A23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8B1089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Cel puțin 6 000 de membri ai personalului judiciar (cum ar fi judecători, procurori și grefieri) au participat la cursuri de formare pentru a îmbunătăți calitatea și eficiența sistemului judiciar</w:t>
            </w:r>
          </w:p>
        </w:tc>
      </w:tr>
      <w:tr w:rsidR="00981F92" w:rsidRPr="000A27B3" w14:paraId="28B12A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96338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427</w:t>
            </w:r>
          </w:p>
        </w:tc>
        <w:tc>
          <w:tcPr>
            <w:tcW w:w="3544" w:type="dxa"/>
            <w:tcBorders>
              <w:top w:val="nil"/>
              <w:left w:val="nil"/>
              <w:bottom w:val="single" w:sz="4" w:space="0" w:color="auto"/>
              <w:right w:val="single" w:sz="4" w:space="0" w:color="auto"/>
            </w:tcBorders>
            <w:shd w:val="clear" w:color="auto" w:fill="C6EFCE"/>
            <w:noWrap/>
          </w:tcPr>
          <w:p w14:paraId="214342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C14.R6. </w:t>
            </w:r>
          </w:p>
          <w:p w14:paraId="2C54F95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Intensificarea luptei împotriva corupției </w:t>
            </w:r>
          </w:p>
        </w:tc>
        <w:tc>
          <w:tcPr>
            <w:tcW w:w="1275" w:type="dxa"/>
            <w:tcBorders>
              <w:top w:val="nil"/>
              <w:left w:val="nil"/>
              <w:bottom w:val="single" w:sz="4" w:space="0" w:color="auto"/>
              <w:right w:val="single" w:sz="4" w:space="0" w:color="auto"/>
            </w:tcBorders>
            <w:shd w:val="clear" w:color="auto" w:fill="C6EFCE"/>
            <w:noWrap/>
          </w:tcPr>
          <w:p w14:paraId="52ED7FF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C5374B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 creștere a valorii activelor sechestrate gestionate de Agenția Națională de Administrare a Bunurilor Indisponibilizate</w:t>
            </w:r>
          </w:p>
        </w:tc>
      </w:tr>
      <w:tr w:rsidR="00981F92" w:rsidRPr="000A27B3" w14:paraId="4DD546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AEEC0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428</w:t>
            </w:r>
          </w:p>
        </w:tc>
        <w:tc>
          <w:tcPr>
            <w:tcW w:w="3544" w:type="dxa"/>
            <w:tcBorders>
              <w:top w:val="nil"/>
              <w:left w:val="nil"/>
              <w:bottom w:val="single" w:sz="4" w:space="0" w:color="auto"/>
              <w:right w:val="single" w:sz="4" w:space="0" w:color="auto"/>
            </w:tcBorders>
            <w:shd w:val="clear" w:color="auto" w:fill="C6EFCE"/>
            <w:noWrap/>
          </w:tcPr>
          <w:p w14:paraId="64A1E8B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C14.R6. </w:t>
            </w:r>
          </w:p>
          <w:p w14:paraId="326A81D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Intensificarea luptei împotriva corupției </w:t>
            </w:r>
          </w:p>
        </w:tc>
        <w:tc>
          <w:tcPr>
            <w:tcW w:w="1275" w:type="dxa"/>
            <w:tcBorders>
              <w:top w:val="nil"/>
              <w:left w:val="nil"/>
              <w:bottom w:val="single" w:sz="4" w:space="0" w:color="auto"/>
              <w:right w:val="single" w:sz="4" w:space="0" w:color="auto"/>
            </w:tcBorders>
            <w:shd w:val="clear" w:color="auto" w:fill="C6EFCE"/>
            <w:noWrap/>
          </w:tcPr>
          <w:p w14:paraId="3B03CD2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BE225E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a cel puțin 70 % din măsurile prevăzute în noua strategie anticorupție</w:t>
            </w:r>
          </w:p>
        </w:tc>
      </w:tr>
      <w:tr w:rsidR="00981F92" w:rsidRPr="000A27B3" w14:paraId="519963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9F2AAE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435</w:t>
            </w:r>
          </w:p>
        </w:tc>
        <w:tc>
          <w:tcPr>
            <w:tcW w:w="3544" w:type="dxa"/>
            <w:tcBorders>
              <w:top w:val="nil"/>
              <w:left w:val="nil"/>
              <w:bottom w:val="single" w:sz="4" w:space="0" w:color="auto"/>
              <w:right w:val="single" w:sz="4" w:space="0" w:color="auto"/>
            </w:tcBorders>
            <w:shd w:val="clear" w:color="auto" w:fill="C6EFCE"/>
            <w:noWrap/>
          </w:tcPr>
          <w:p w14:paraId="3D9254D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C14.R8. </w:t>
            </w:r>
          </w:p>
          <w:p w14:paraId="31CE04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Reformarea sistemului național de achiziții publice</w:t>
            </w:r>
          </w:p>
        </w:tc>
        <w:tc>
          <w:tcPr>
            <w:tcW w:w="1275" w:type="dxa"/>
            <w:tcBorders>
              <w:top w:val="nil"/>
              <w:left w:val="nil"/>
              <w:bottom w:val="single" w:sz="4" w:space="0" w:color="auto"/>
              <w:right w:val="single" w:sz="4" w:space="0" w:color="auto"/>
            </w:tcBorders>
            <w:shd w:val="clear" w:color="auto" w:fill="C6EFCE"/>
            <w:noWrap/>
          </w:tcPr>
          <w:p w14:paraId="4785783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661D0F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Organisme operaționale centralizate de achiziții publice (CPB) pentru autoritățile locale</w:t>
            </w:r>
          </w:p>
        </w:tc>
      </w:tr>
      <w:tr w:rsidR="00981F92" w:rsidRPr="000A27B3" w14:paraId="0945F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496766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454</w:t>
            </w:r>
          </w:p>
        </w:tc>
        <w:tc>
          <w:tcPr>
            <w:tcW w:w="3544" w:type="dxa"/>
            <w:tcBorders>
              <w:top w:val="nil"/>
              <w:left w:val="nil"/>
              <w:bottom w:val="single" w:sz="4" w:space="0" w:color="auto"/>
              <w:right w:val="single" w:sz="4" w:space="0" w:color="auto"/>
            </w:tcBorders>
            <w:shd w:val="clear" w:color="auto" w:fill="C6EFCE"/>
            <w:noWrap/>
          </w:tcPr>
          <w:p w14:paraId="1B4A34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C15.2. </w:t>
            </w:r>
          </w:p>
          <w:p w14:paraId="08C6303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unui sistem de servicii de educație timpurie unitar, incluziv și de calitate</w:t>
            </w:r>
          </w:p>
        </w:tc>
        <w:tc>
          <w:tcPr>
            <w:tcW w:w="1275" w:type="dxa"/>
            <w:tcBorders>
              <w:top w:val="nil"/>
              <w:left w:val="nil"/>
              <w:bottom w:val="single" w:sz="4" w:space="0" w:color="auto"/>
              <w:right w:val="single" w:sz="4" w:space="0" w:color="auto"/>
            </w:tcBorders>
            <w:shd w:val="clear" w:color="auto" w:fill="C6EFCE"/>
            <w:noWrap/>
          </w:tcPr>
          <w:p w14:paraId="3635771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C2598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Rata de participare a copiilor cu vârste cuprinse între 0 și 3 ani la serviciile de educație timpurie</w:t>
            </w:r>
          </w:p>
        </w:tc>
      </w:tr>
      <w:tr w:rsidR="00981F92" w:rsidRPr="000A27B3" w14:paraId="5C5D8F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3A4A2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455</w:t>
            </w:r>
          </w:p>
        </w:tc>
        <w:tc>
          <w:tcPr>
            <w:tcW w:w="3544" w:type="dxa"/>
            <w:tcBorders>
              <w:top w:val="nil"/>
              <w:left w:val="nil"/>
              <w:bottom w:val="single" w:sz="4" w:space="0" w:color="auto"/>
              <w:right w:val="single" w:sz="4" w:space="0" w:color="auto"/>
            </w:tcBorders>
            <w:shd w:val="clear" w:color="auto" w:fill="C6EFCE"/>
            <w:noWrap/>
          </w:tcPr>
          <w:p w14:paraId="433AE85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C15.R2. </w:t>
            </w:r>
          </w:p>
          <w:p w14:paraId="45F06AA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unui sistem de servicii de educație timpurie unitar, incluziv și de calitate</w:t>
            </w:r>
          </w:p>
        </w:tc>
        <w:tc>
          <w:tcPr>
            <w:tcW w:w="1275" w:type="dxa"/>
            <w:tcBorders>
              <w:top w:val="nil"/>
              <w:left w:val="nil"/>
              <w:bottom w:val="single" w:sz="4" w:space="0" w:color="auto"/>
              <w:right w:val="single" w:sz="4" w:space="0" w:color="auto"/>
            </w:tcBorders>
            <w:shd w:val="clear" w:color="auto" w:fill="C6EFCE"/>
            <w:noWrap/>
          </w:tcPr>
          <w:p w14:paraId="333998F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3ACEF1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Rata de participare a copiilor cu vârste cuprinse între 3 și 6 ani la serviciile de educație timpurie</w:t>
            </w:r>
          </w:p>
        </w:tc>
      </w:tr>
      <w:tr w:rsidR="00981F92" w:rsidRPr="000A27B3" w14:paraId="7C3B5C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68B03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457</w:t>
            </w:r>
          </w:p>
        </w:tc>
        <w:tc>
          <w:tcPr>
            <w:tcW w:w="3544" w:type="dxa"/>
            <w:tcBorders>
              <w:top w:val="nil"/>
              <w:left w:val="nil"/>
              <w:bottom w:val="single" w:sz="4" w:space="0" w:color="auto"/>
              <w:right w:val="single" w:sz="4" w:space="0" w:color="auto"/>
            </w:tcBorders>
            <w:shd w:val="clear" w:color="auto" w:fill="C6EFCE"/>
            <w:noWrap/>
          </w:tcPr>
          <w:p w14:paraId="273C7A9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 </w:t>
            </w:r>
          </w:p>
          <w:p w14:paraId="563768B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echiparea și operaționalizarea a 110 creșe</w:t>
            </w:r>
          </w:p>
        </w:tc>
        <w:tc>
          <w:tcPr>
            <w:tcW w:w="1275" w:type="dxa"/>
            <w:tcBorders>
              <w:top w:val="nil"/>
              <w:left w:val="nil"/>
              <w:bottom w:val="single" w:sz="4" w:space="0" w:color="auto"/>
              <w:right w:val="single" w:sz="4" w:space="0" w:color="auto"/>
            </w:tcBorders>
            <w:shd w:val="clear" w:color="auto" w:fill="C6EFCE"/>
            <w:noWrap/>
          </w:tcPr>
          <w:p w14:paraId="26BA06D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9A5E4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Creșe nou-construite, echipate și operaționalizate</w:t>
            </w:r>
          </w:p>
        </w:tc>
      </w:tr>
      <w:tr w:rsidR="00981F92" w:rsidRPr="000A27B3" w14:paraId="07524C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5BC3C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461</w:t>
            </w:r>
          </w:p>
        </w:tc>
        <w:tc>
          <w:tcPr>
            <w:tcW w:w="3544" w:type="dxa"/>
            <w:tcBorders>
              <w:top w:val="nil"/>
              <w:left w:val="nil"/>
              <w:bottom w:val="single" w:sz="4" w:space="0" w:color="auto"/>
              <w:right w:val="single" w:sz="4" w:space="0" w:color="auto"/>
            </w:tcBorders>
            <w:shd w:val="clear" w:color="auto" w:fill="C6EFCE"/>
            <w:noWrap/>
          </w:tcPr>
          <w:p w14:paraId="377288A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C15.I3. </w:t>
            </w:r>
          </w:p>
          <w:p w14:paraId="3FF2377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programului-cadru pentru formarea continuă a profesioniștilor care lucrează în servicii de educație timpurie</w:t>
            </w:r>
          </w:p>
        </w:tc>
        <w:tc>
          <w:tcPr>
            <w:tcW w:w="1275" w:type="dxa"/>
            <w:tcBorders>
              <w:top w:val="nil"/>
              <w:left w:val="nil"/>
              <w:bottom w:val="single" w:sz="4" w:space="0" w:color="auto"/>
              <w:right w:val="single" w:sz="4" w:space="0" w:color="auto"/>
            </w:tcBorders>
            <w:shd w:val="clear" w:color="auto" w:fill="C6EFCE"/>
            <w:noWrap/>
          </w:tcPr>
          <w:p w14:paraId="4A46387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2F18A4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Personal instruit, care lucrează în cadrul serviciilor de educație timpurie standard și complementare, acordând prioritate celor din cadrul serviciilor nou-înființate</w:t>
            </w:r>
          </w:p>
        </w:tc>
      </w:tr>
      <w:tr w:rsidR="00981F92" w:rsidRPr="000A27B3" w14:paraId="61CF8B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B57AA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487</w:t>
            </w:r>
          </w:p>
        </w:tc>
        <w:tc>
          <w:tcPr>
            <w:tcW w:w="3544" w:type="dxa"/>
            <w:tcBorders>
              <w:top w:val="nil"/>
              <w:left w:val="nil"/>
              <w:bottom w:val="single" w:sz="4" w:space="0" w:color="auto"/>
              <w:right w:val="single" w:sz="4" w:space="0" w:color="auto"/>
            </w:tcBorders>
            <w:shd w:val="clear" w:color="auto" w:fill="C6EFCE"/>
            <w:noWrap/>
          </w:tcPr>
          <w:p w14:paraId="6D3718F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C15.I10. </w:t>
            </w:r>
          </w:p>
          <w:p w14:paraId="75C685F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rețelei de școli verzi și achiziționarea de microbuze verzi</w:t>
            </w:r>
          </w:p>
        </w:tc>
        <w:tc>
          <w:tcPr>
            <w:tcW w:w="1275" w:type="dxa"/>
            <w:tcBorders>
              <w:top w:val="nil"/>
              <w:left w:val="nil"/>
              <w:bottom w:val="single" w:sz="4" w:space="0" w:color="auto"/>
              <w:right w:val="single" w:sz="4" w:space="0" w:color="auto"/>
            </w:tcBorders>
            <w:shd w:val="clear" w:color="auto" w:fill="C6EFCE"/>
            <w:noWrap/>
          </w:tcPr>
          <w:p w14:paraId="5C0D34E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1B397B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Unități de învățământ preuniversitar reabilitate pentru a deveni școli verzi</w:t>
            </w:r>
          </w:p>
        </w:tc>
      </w:tr>
      <w:tr w:rsidR="000A27B3" w:rsidRPr="000A27B3" w14:paraId="51284B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22EBAB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488</w:t>
            </w:r>
          </w:p>
        </w:tc>
        <w:tc>
          <w:tcPr>
            <w:tcW w:w="3544" w:type="dxa"/>
            <w:tcBorders>
              <w:top w:val="nil"/>
              <w:left w:val="nil"/>
              <w:bottom w:val="single" w:sz="4" w:space="0" w:color="auto"/>
              <w:right w:val="single" w:sz="4" w:space="0" w:color="auto"/>
            </w:tcBorders>
            <w:shd w:val="clear" w:color="auto" w:fill="C6EFCE"/>
            <w:noWrap/>
          </w:tcPr>
          <w:p w14:paraId="05BE4F9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C15.I10. </w:t>
            </w:r>
          </w:p>
          <w:p w14:paraId="7100C5A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rețelei de școli verzi și achiziționarea de microbuze verzi</w:t>
            </w:r>
          </w:p>
        </w:tc>
        <w:tc>
          <w:tcPr>
            <w:tcW w:w="1275" w:type="dxa"/>
            <w:tcBorders>
              <w:top w:val="nil"/>
              <w:left w:val="nil"/>
              <w:bottom w:val="single" w:sz="4" w:space="0" w:color="auto"/>
              <w:right w:val="single" w:sz="4" w:space="0" w:color="auto"/>
            </w:tcBorders>
            <w:shd w:val="clear" w:color="auto" w:fill="C6EFCE"/>
            <w:noWrap/>
          </w:tcPr>
          <w:p w14:paraId="45AB511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851B20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Noua zonă școlară verde construită și operațională </w:t>
            </w:r>
          </w:p>
        </w:tc>
      </w:tr>
      <w:tr w:rsidR="000A27B3" w:rsidRPr="000A27B3" w14:paraId="6A19EC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1D32F2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226a</w:t>
            </w:r>
          </w:p>
        </w:tc>
        <w:tc>
          <w:tcPr>
            <w:tcW w:w="3544" w:type="dxa"/>
            <w:tcBorders>
              <w:top w:val="nil"/>
              <w:left w:val="nil"/>
              <w:bottom w:val="single" w:sz="4" w:space="0" w:color="auto"/>
              <w:right w:val="single" w:sz="4" w:space="0" w:color="auto"/>
            </w:tcBorders>
            <w:shd w:val="clear" w:color="auto" w:fill="C6EFCE"/>
            <w:noWrap/>
          </w:tcPr>
          <w:p w14:paraId="6DC3A17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C8.I2</w:t>
            </w:r>
          </w:p>
          <w:p w14:paraId="0516069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proceselor de administrare a impozitelor și taxelor, inclusiv prin implementarea managementului integrat al riscurilor</w:t>
            </w:r>
          </w:p>
        </w:tc>
        <w:tc>
          <w:tcPr>
            <w:tcW w:w="1275" w:type="dxa"/>
            <w:tcBorders>
              <w:top w:val="nil"/>
              <w:left w:val="nil"/>
              <w:bottom w:val="single" w:sz="4" w:space="0" w:color="auto"/>
              <w:right w:val="single" w:sz="4" w:space="0" w:color="auto"/>
            </w:tcBorders>
            <w:shd w:val="clear" w:color="auto" w:fill="C6EFCE"/>
            <w:noWrap/>
          </w:tcPr>
          <w:p w14:paraId="390840F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CB07F8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Operaționalizarea sistemelor de administrare fiscală</w:t>
            </w:r>
          </w:p>
        </w:tc>
      </w:tr>
      <w:tr w:rsidR="000A27B3" w:rsidRPr="000A27B3" w14:paraId="5CE848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F91331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511</w:t>
            </w:r>
          </w:p>
        </w:tc>
        <w:tc>
          <w:tcPr>
            <w:tcW w:w="3544" w:type="dxa"/>
            <w:tcBorders>
              <w:top w:val="nil"/>
              <w:left w:val="nil"/>
              <w:bottom w:val="single" w:sz="4" w:space="0" w:color="auto"/>
              <w:right w:val="single" w:sz="4" w:space="0" w:color="auto"/>
            </w:tcBorders>
            <w:shd w:val="clear" w:color="auto" w:fill="C6EFCE"/>
            <w:noWrap/>
          </w:tcPr>
          <w:p w14:paraId="006223D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C16.R1</w:t>
            </w:r>
          </w:p>
          <w:p w14:paraId="5004EBC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Crearea unui cadru juridic pentru utilizarea terenurilor de stat ca zone de accelerare pentru investițiile în sursele regenerabile de energie</w:t>
            </w:r>
          </w:p>
        </w:tc>
        <w:tc>
          <w:tcPr>
            <w:tcW w:w="1275" w:type="dxa"/>
            <w:tcBorders>
              <w:top w:val="nil"/>
              <w:left w:val="nil"/>
              <w:bottom w:val="single" w:sz="4" w:space="0" w:color="auto"/>
              <w:right w:val="single" w:sz="4" w:space="0" w:color="auto"/>
            </w:tcBorders>
            <w:shd w:val="clear" w:color="auto" w:fill="C6EFCE"/>
            <w:noWrap/>
          </w:tcPr>
          <w:p w14:paraId="67D53B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A52FE0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de concesiune în zonele de accelerare</w:t>
            </w:r>
          </w:p>
        </w:tc>
      </w:tr>
      <w:tr w:rsidR="000A27B3" w:rsidRPr="000A27B3" w14:paraId="375AF8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42AC0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516</w:t>
            </w:r>
          </w:p>
        </w:tc>
        <w:tc>
          <w:tcPr>
            <w:tcW w:w="3544" w:type="dxa"/>
            <w:tcBorders>
              <w:top w:val="nil"/>
              <w:left w:val="nil"/>
              <w:bottom w:val="single" w:sz="4" w:space="0" w:color="auto"/>
              <w:right w:val="single" w:sz="4" w:space="0" w:color="auto"/>
            </w:tcBorders>
            <w:shd w:val="clear" w:color="auto" w:fill="C6EFCE"/>
            <w:noWrap/>
          </w:tcPr>
          <w:p w14:paraId="56CD582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C16.I4</w:t>
            </w:r>
          </w:p>
          <w:p w14:paraId="1EBC06C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Schema de granturi sub formă de bonuri valorice pentru accelerarea utilizării energiei din surse regenerabile de către gospodării</w:t>
            </w:r>
          </w:p>
        </w:tc>
        <w:tc>
          <w:tcPr>
            <w:tcW w:w="1275" w:type="dxa"/>
            <w:tcBorders>
              <w:top w:val="nil"/>
              <w:left w:val="nil"/>
              <w:bottom w:val="single" w:sz="4" w:space="0" w:color="auto"/>
              <w:right w:val="single" w:sz="4" w:space="0" w:color="auto"/>
            </w:tcBorders>
            <w:shd w:val="clear" w:color="auto" w:fill="C6EFCE"/>
            <w:noWrap/>
          </w:tcPr>
          <w:p w14:paraId="2E5C804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DB2971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Instalarea de către gospodării a capacității de producție din surse regenerabile solare </w:t>
            </w:r>
          </w:p>
        </w:tc>
      </w:tr>
      <w:tr w:rsidR="00981F92" w:rsidRPr="000A27B3" w14:paraId="4373A9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38026B26"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4FD55F07" w14:textId="77777777" w:rsidR="00981F92" w:rsidRPr="009F1DC7" w:rsidRDefault="00981F92">
            <w:pPr>
              <w:spacing w:after="0"/>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47AB81A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1999FC60" w14:textId="4BF473CC"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1 548 157 938 EUR</w:t>
            </w:r>
          </w:p>
        </w:tc>
      </w:tr>
    </w:tbl>
    <w:p w14:paraId="47365C36" w14:textId="77777777" w:rsidR="00981F92" w:rsidRPr="000A27B3" w:rsidRDefault="00981F92">
      <w:pPr>
        <w:pStyle w:val="NumPar2"/>
        <w:tabs>
          <w:tab w:val="clear" w:pos="850"/>
        </w:tabs>
        <w:ind w:left="0" w:firstLine="0"/>
        <w:rPr>
          <w:noProof/>
          <w:szCs w:val="24"/>
        </w:rPr>
        <w:sectPr w:rsidR="00981F92" w:rsidRPr="000A27B3">
          <w:headerReference w:type="even" r:id="rId355"/>
          <w:headerReference w:type="default" r:id="rId356"/>
          <w:footerReference w:type="even" r:id="rId357"/>
          <w:footerReference w:type="default" r:id="rId358"/>
          <w:headerReference w:type="first" r:id="rId359"/>
          <w:footerReference w:type="first" r:id="rId360"/>
          <w:pgSz w:w="11907" w:h="16839"/>
          <w:pgMar w:top="1134" w:right="1134" w:bottom="1134" w:left="1134" w:header="567" w:footer="567" w:gutter="0"/>
          <w:cols w:space="720"/>
          <w:docGrid w:linePitch="360"/>
        </w:sectPr>
      </w:pPr>
    </w:p>
    <w:p w14:paraId="0B7C5944" w14:textId="7C0B4275" w:rsidR="00981F92" w:rsidRPr="000A27B3" w:rsidRDefault="00981F92">
      <w:pPr>
        <w:pStyle w:val="Heading3"/>
        <w:rPr>
          <w:noProof/>
          <w:szCs w:val="24"/>
        </w:rPr>
      </w:pPr>
      <w:r>
        <w:rPr>
          <w:noProof/>
        </w:rPr>
        <w:t xml:space="preserve">A opta tranșă (sprijin nerambursabil):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3426302C" w14:textId="77777777">
        <w:trPr>
          <w:trHeight w:val="567"/>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C792A6B"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F5D24D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035BEB89"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867918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3847C390"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73B7061"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3812DF0D"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703D21C"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8A05496"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39D9E538"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72F736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3E532DA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63</w:t>
            </w:r>
          </w:p>
        </w:tc>
        <w:tc>
          <w:tcPr>
            <w:tcW w:w="3544" w:type="dxa"/>
            <w:tcBorders>
              <w:top w:val="nil"/>
              <w:left w:val="nil"/>
              <w:bottom w:val="single" w:sz="4" w:space="0" w:color="auto"/>
              <w:right w:val="single" w:sz="4" w:space="0" w:color="auto"/>
            </w:tcBorders>
            <w:shd w:val="clear" w:color="auto" w:fill="C6EFCE"/>
            <w:noWrap/>
            <w:hideMark/>
          </w:tcPr>
          <w:p w14:paraId="180C2A2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C4.R1</w:t>
            </w:r>
            <w:r>
              <w:rPr>
                <w:rFonts w:ascii="Times New Roman" w:hAnsi="Times New Roman"/>
                <w:noProof/>
              </w:rPr>
              <w:br/>
              <w:t>Transport sustenabil, decarbonizare și siguranță rutieră /</w:t>
            </w:r>
            <w:r>
              <w:rPr>
                <w:rFonts w:ascii="Times New Roman" w:hAnsi="Times New Roman"/>
                <w:noProof/>
              </w:rPr>
              <w:br/>
              <w:t>Decarbonizarea rutieră în conformitate cu principiul „poluatorul plătește”</w:t>
            </w:r>
          </w:p>
        </w:tc>
        <w:tc>
          <w:tcPr>
            <w:tcW w:w="1275" w:type="dxa"/>
            <w:tcBorders>
              <w:top w:val="nil"/>
              <w:left w:val="nil"/>
              <w:bottom w:val="single" w:sz="4" w:space="0" w:color="auto"/>
              <w:right w:val="single" w:sz="4" w:space="0" w:color="auto"/>
            </w:tcBorders>
            <w:shd w:val="clear" w:color="auto" w:fill="C6EFCE"/>
            <w:noWrap/>
            <w:hideMark/>
          </w:tcPr>
          <w:p w14:paraId="25BAE28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0D9046C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Creșterea numărului de vehicule cu emisii zero </w:t>
            </w:r>
          </w:p>
        </w:tc>
      </w:tr>
      <w:tr w:rsidR="00981F92" w:rsidRPr="000A27B3" w14:paraId="72B12E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10EFC50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68</w:t>
            </w:r>
          </w:p>
        </w:tc>
        <w:tc>
          <w:tcPr>
            <w:tcW w:w="3544" w:type="dxa"/>
            <w:tcBorders>
              <w:top w:val="nil"/>
              <w:left w:val="nil"/>
              <w:bottom w:val="single" w:sz="4" w:space="0" w:color="auto"/>
              <w:right w:val="single" w:sz="4" w:space="0" w:color="auto"/>
            </w:tcBorders>
            <w:shd w:val="clear" w:color="auto" w:fill="C6EFCE"/>
            <w:noWrap/>
            <w:hideMark/>
          </w:tcPr>
          <w:p w14:paraId="596721E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C4.R1</w:t>
            </w:r>
            <w:r>
              <w:rPr>
                <w:rFonts w:ascii="Times New Roman" w:hAnsi="Times New Roman"/>
                <w:noProof/>
              </w:rPr>
              <w:br/>
              <w:t xml:space="preserve">Transport sustenabil, decarbonizare și siguranță rutieră / </w:t>
            </w:r>
            <w:r>
              <w:rPr>
                <w:rFonts w:ascii="Times New Roman" w:hAnsi="Times New Roman"/>
                <w:noProof/>
              </w:rPr>
              <w:br/>
              <w:t>Siguranță rutieră</w:t>
            </w:r>
          </w:p>
        </w:tc>
        <w:tc>
          <w:tcPr>
            <w:tcW w:w="1275" w:type="dxa"/>
            <w:tcBorders>
              <w:top w:val="nil"/>
              <w:left w:val="nil"/>
              <w:bottom w:val="single" w:sz="4" w:space="0" w:color="auto"/>
              <w:right w:val="single" w:sz="4" w:space="0" w:color="auto"/>
            </w:tcBorders>
            <w:shd w:val="clear" w:color="auto" w:fill="C6EFCE"/>
            <w:noWrap/>
            <w:hideMark/>
          </w:tcPr>
          <w:p w14:paraId="648D15E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138F11F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Reducerea numărului de victime ale accidentelor rutiere (persoane grav rănite și decese) cu 25 % față de nivelul de referință din 2019</w:t>
            </w:r>
          </w:p>
        </w:tc>
      </w:tr>
      <w:tr w:rsidR="00981F92" w:rsidRPr="000A27B3" w14:paraId="7D8590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123EF78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181</w:t>
            </w:r>
          </w:p>
        </w:tc>
        <w:tc>
          <w:tcPr>
            <w:tcW w:w="3544" w:type="dxa"/>
            <w:tcBorders>
              <w:top w:val="nil"/>
              <w:left w:val="nil"/>
              <w:bottom w:val="single" w:sz="4" w:space="0" w:color="auto"/>
              <w:right w:val="single" w:sz="4" w:space="0" w:color="auto"/>
            </w:tcBorders>
            <w:shd w:val="clear" w:color="auto" w:fill="C6EFCE"/>
            <w:noWrap/>
            <w:hideMark/>
          </w:tcPr>
          <w:p w14:paraId="14AB49D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C7.I13</w:t>
            </w:r>
          </w:p>
          <w:p w14:paraId="0A3D903C" w14:textId="6A4C3188"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Dezvoltarea de sisteme de securitate pentru protecția spectrului guvernamental </w:t>
            </w:r>
          </w:p>
        </w:tc>
        <w:tc>
          <w:tcPr>
            <w:tcW w:w="1275" w:type="dxa"/>
            <w:tcBorders>
              <w:top w:val="nil"/>
              <w:left w:val="nil"/>
              <w:bottom w:val="single" w:sz="4" w:space="0" w:color="auto"/>
              <w:right w:val="single" w:sz="4" w:space="0" w:color="auto"/>
            </w:tcBorders>
            <w:shd w:val="clear" w:color="auto" w:fill="C6EFCE"/>
            <w:noWrap/>
            <w:hideMark/>
          </w:tcPr>
          <w:p w14:paraId="76D3055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187FE51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Sunt operaționale amplasamente de recepție la nivel național </w:t>
            </w:r>
          </w:p>
        </w:tc>
      </w:tr>
      <w:tr w:rsidR="00981F92" w:rsidRPr="000A27B3" w14:paraId="4E01C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815DCE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292</w:t>
            </w:r>
          </w:p>
        </w:tc>
        <w:tc>
          <w:tcPr>
            <w:tcW w:w="3544" w:type="dxa"/>
            <w:tcBorders>
              <w:top w:val="nil"/>
              <w:left w:val="nil"/>
              <w:bottom w:val="single" w:sz="4" w:space="0" w:color="auto"/>
              <w:right w:val="single" w:sz="4" w:space="0" w:color="auto"/>
            </w:tcBorders>
            <w:shd w:val="clear" w:color="auto" w:fill="C6EFCE"/>
            <w:noWrap/>
          </w:tcPr>
          <w:p w14:paraId="49C8F0E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C10.R1</w:t>
            </w:r>
          </w:p>
          <w:p w14:paraId="3CCF678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Crearea cadrului pentru mobilitate urbană durabilă </w:t>
            </w:r>
          </w:p>
        </w:tc>
        <w:tc>
          <w:tcPr>
            <w:tcW w:w="1275" w:type="dxa"/>
            <w:tcBorders>
              <w:top w:val="nil"/>
              <w:left w:val="nil"/>
              <w:bottom w:val="single" w:sz="4" w:space="0" w:color="auto"/>
              <w:right w:val="single" w:sz="4" w:space="0" w:color="auto"/>
            </w:tcBorders>
            <w:shd w:val="clear" w:color="auto" w:fill="C6EFCE"/>
            <w:noWrap/>
          </w:tcPr>
          <w:p w14:paraId="7BC2643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B8AFC6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Reducerea cu 25 % a numărului de persoane decedate sau grav rănite ca urmare a accidentelor rutiere în municipalități urbane comparativ cu anul de referință 2019</w:t>
            </w:r>
          </w:p>
        </w:tc>
      </w:tr>
      <w:tr w:rsidR="00981F92" w:rsidRPr="000A27B3" w14:paraId="05FEA5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932B6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391</w:t>
            </w:r>
          </w:p>
        </w:tc>
        <w:tc>
          <w:tcPr>
            <w:tcW w:w="3544" w:type="dxa"/>
            <w:tcBorders>
              <w:top w:val="nil"/>
              <w:left w:val="nil"/>
              <w:bottom w:val="single" w:sz="4" w:space="0" w:color="auto"/>
              <w:right w:val="single" w:sz="4" w:space="0" w:color="auto"/>
            </w:tcBorders>
            <w:shd w:val="clear" w:color="auto" w:fill="C6EFCE"/>
            <w:noWrap/>
          </w:tcPr>
          <w:p w14:paraId="69F5690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C13.R4</w:t>
            </w:r>
          </w:p>
          <w:p w14:paraId="06CC3F5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Introducerea tichetelor de muncă și formalizarea muncii în domeniul lucrătorilor casnici</w:t>
            </w:r>
          </w:p>
        </w:tc>
        <w:tc>
          <w:tcPr>
            <w:tcW w:w="1275" w:type="dxa"/>
            <w:tcBorders>
              <w:top w:val="nil"/>
              <w:left w:val="nil"/>
              <w:bottom w:val="single" w:sz="4" w:space="0" w:color="auto"/>
              <w:right w:val="single" w:sz="4" w:space="0" w:color="auto"/>
            </w:tcBorders>
            <w:shd w:val="clear" w:color="auto" w:fill="C6EFCE"/>
            <w:noWrap/>
          </w:tcPr>
          <w:p w14:paraId="64A6ACB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93DE17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Lucrătorii casnici/prestatorii casnici înregistrați anterior ca șomeri sau inactivi prestează servicii prin intermediul tichetelor de muncă</w:t>
            </w:r>
          </w:p>
        </w:tc>
      </w:tr>
      <w:tr w:rsidR="00981F92" w:rsidRPr="000A27B3" w14:paraId="1987DD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52EB64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409</w:t>
            </w:r>
          </w:p>
        </w:tc>
        <w:tc>
          <w:tcPr>
            <w:tcW w:w="3544" w:type="dxa"/>
            <w:tcBorders>
              <w:top w:val="nil"/>
              <w:left w:val="nil"/>
              <w:bottom w:val="single" w:sz="4" w:space="0" w:color="auto"/>
              <w:right w:val="single" w:sz="4" w:space="0" w:color="auto"/>
            </w:tcBorders>
            <w:shd w:val="clear" w:color="auto" w:fill="C6EFCE"/>
            <w:noWrap/>
          </w:tcPr>
          <w:p w14:paraId="3C13A03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C14.R1 </w:t>
            </w:r>
          </w:p>
          <w:p w14:paraId="57F5BFA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75" w:type="dxa"/>
            <w:tcBorders>
              <w:top w:val="nil"/>
              <w:left w:val="nil"/>
              <w:bottom w:val="single" w:sz="4" w:space="0" w:color="auto"/>
              <w:right w:val="single" w:sz="4" w:space="0" w:color="auto"/>
            </w:tcBorders>
            <w:shd w:val="clear" w:color="auto" w:fill="C6EFCE"/>
            <w:noWrap/>
          </w:tcPr>
          <w:p w14:paraId="09C5946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BDAF22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Cel puțin 50 % din inițiativele legislative propuse, incluse în Planul anual de lucru al Guvernului sunt aprobate în termenul stabilit</w:t>
            </w:r>
          </w:p>
        </w:tc>
      </w:tr>
      <w:tr w:rsidR="00981F92" w:rsidRPr="000A27B3" w14:paraId="2AD51B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47F34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414</w:t>
            </w:r>
          </w:p>
        </w:tc>
        <w:tc>
          <w:tcPr>
            <w:tcW w:w="3544" w:type="dxa"/>
            <w:tcBorders>
              <w:top w:val="nil"/>
              <w:left w:val="nil"/>
              <w:bottom w:val="single" w:sz="4" w:space="0" w:color="auto"/>
              <w:right w:val="single" w:sz="4" w:space="0" w:color="auto"/>
            </w:tcBorders>
            <w:shd w:val="clear" w:color="auto" w:fill="C6EFCE"/>
            <w:noWrap/>
          </w:tcPr>
          <w:p w14:paraId="3F4CA4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C14.R2</w:t>
            </w:r>
          </w:p>
          <w:p w14:paraId="7A4F2400" w14:textId="2CA1CB43"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Întărirea coordonării la nivelul central al guvernului printr-o abordare integrată și coerentă a inițiativelor în domeniul schimbărilor climatice și al dezvoltării durabile </w:t>
            </w:r>
          </w:p>
        </w:tc>
        <w:tc>
          <w:tcPr>
            <w:tcW w:w="1275" w:type="dxa"/>
            <w:tcBorders>
              <w:top w:val="nil"/>
              <w:left w:val="nil"/>
              <w:bottom w:val="single" w:sz="4" w:space="0" w:color="auto"/>
              <w:right w:val="single" w:sz="4" w:space="0" w:color="auto"/>
            </w:tcBorders>
            <w:shd w:val="clear" w:color="auto" w:fill="C6EFCE"/>
            <w:noWrap/>
          </w:tcPr>
          <w:p w14:paraId="492516F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EEF3BC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Realizarea a 90 % din prioritățile stabilite de Comitetul interinstituțional privind schimbările climatice pentru 2025 </w:t>
            </w:r>
          </w:p>
        </w:tc>
      </w:tr>
      <w:tr w:rsidR="00981F92" w:rsidRPr="000A27B3" w14:paraId="0EE98F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92D81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447</w:t>
            </w:r>
          </w:p>
        </w:tc>
        <w:tc>
          <w:tcPr>
            <w:tcW w:w="3544" w:type="dxa"/>
            <w:tcBorders>
              <w:top w:val="nil"/>
              <w:left w:val="nil"/>
              <w:bottom w:val="single" w:sz="4" w:space="0" w:color="auto"/>
              <w:right w:val="single" w:sz="4" w:space="0" w:color="auto"/>
            </w:tcBorders>
            <w:shd w:val="clear" w:color="auto" w:fill="C6EFCE"/>
            <w:noWrap/>
          </w:tcPr>
          <w:p w14:paraId="3879D9C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C14.I3</w:t>
            </w:r>
          </w:p>
          <w:p w14:paraId="35A584A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Crearea de structuri parteneriale locale între autoritățile locale și societatea civilă</w:t>
            </w:r>
          </w:p>
        </w:tc>
        <w:tc>
          <w:tcPr>
            <w:tcW w:w="1275" w:type="dxa"/>
            <w:tcBorders>
              <w:top w:val="nil"/>
              <w:left w:val="nil"/>
              <w:bottom w:val="single" w:sz="4" w:space="0" w:color="auto"/>
              <w:right w:val="single" w:sz="4" w:space="0" w:color="auto"/>
            </w:tcBorders>
            <w:shd w:val="clear" w:color="auto" w:fill="C6EFCE"/>
            <w:noWrap/>
          </w:tcPr>
          <w:p w14:paraId="29E0070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27ADFD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Parteneriatele dintre autoritățile administrației publice locale (APL) și ONG-uri sunt înființate și operaționale</w:t>
            </w:r>
          </w:p>
        </w:tc>
      </w:tr>
      <w:tr w:rsidR="00981F92" w:rsidRPr="000A27B3" w14:paraId="3A3A6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1389FA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448</w:t>
            </w:r>
          </w:p>
        </w:tc>
        <w:tc>
          <w:tcPr>
            <w:tcW w:w="3544" w:type="dxa"/>
            <w:tcBorders>
              <w:top w:val="nil"/>
              <w:left w:val="nil"/>
              <w:bottom w:val="single" w:sz="4" w:space="0" w:color="auto"/>
              <w:right w:val="single" w:sz="4" w:space="0" w:color="auto"/>
            </w:tcBorders>
            <w:shd w:val="clear" w:color="auto" w:fill="C6EFCE"/>
            <w:noWrap/>
          </w:tcPr>
          <w:p w14:paraId="6451CD6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C14.I4</w:t>
            </w:r>
          </w:p>
          <w:p w14:paraId="31415B9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Creșterea capacității organizațiilor societății civile de stimulare a cetățeniei active, de implicare profesionistă în planificarea și implementarea politicilor publice privind drepturile sociale vizate de planul național de redresare și reziliență și monitorizarea reformelor asociate</w:t>
            </w:r>
          </w:p>
        </w:tc>
        <w:tc>
          <w:tcPr>
            <w:tcW w:w="1275" w:type="dxa"/>
            <w:tcBorders>
              <w:top w:val="nil"/>
              <w:left w:val="nil"/>
              <w:bottom w:val="single" w:sz="4" w:space="0" w:color="auto"/>
              <w:right w:val="single" w:sz="4" w:space="0" w:color="auto"/>
            </w:tcBorders>
            <w:shd w:val="clear" w:color="auto" w:fill="C6EFCE"/>
            <w:noWrap/>
          </w:tcPr>
          <w:p w14:paraId="336420D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34C1E7D" w14:textId="4B186DE6"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Inițiative de colaborare funcțională ale sectorului neguvernamental operaționale </w:t>
            </w:r>
          </w:p>
        </w:tc>
      </w:tr>
      <w:tr w:rsidR="00981F92" w:rsidRPr="000A27B3" w14:paraId="1CA31B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CABE50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473</w:t>
            </w:r>
          </w:p>
        </w:tc>
        <w:tc>
          <w:tcPr>
            <w:tcW w:w="3544" w:type="dxa"/>
            <w:tcBorders>
              <w:top w:val="nil"/>
              <w:left w:val="nil"/>
              <w:bottom w:val="single" w:sz="4" w:space="0" w:color="auto"/>
              <w:right w:val="single" w:sz="4" w:space="0" w:color="auto"/>
            </w:tcBorders>
            <w:shd w:val="clear" w:color="auto" w:fill="C6EFCE"/>
            <w:noWrap/>
          </w:tcPr>
          <w:p w14:paraId="197F364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C15.I6 </w:t>
            </w:r>
          </w:p>
          <w:p w14:paraId="40524D1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Dezvoltarea a 10 consorții regionale și dezvoltarea și dotarea a 10 campusuri profesionale integrate</w:t>
            </w:r>
          </w:p>
        </w:tc>
        <w:tc>
          <w:tcPr>
            <w:tcW w:w="1275" w:type="dxa"/>
            <w:tcBorders>
              <w:top w:val="nil"/>
              <w:left w:val="nil"/>
              <w:bottom w:val="single" w:sz="4" w:space="0" w:color="auto"/>
              <w:right w:val="single" w:sz="4" w:space="0" w:color="auto"/>
            </w:tcBorders>
            <w:shd w:val="clear" w:color="auto" w:fill="C6EFCE"/>
            <w:noWrap/>
          </w:tcPr>
          <w:p w14:paraId="3064122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A19D8E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Centre de învățământ dual integrate, finalizate și operaționale, corelate cu cerințele operatorilor economici din zona respectivă</w:t>
            </w:r>
          </w:p>
        </w:tc>
      </w:tr>
      <w:tr w:rsidR="00981F92" w:rsidRPr="000A27B3" w14:paraId="44BF2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8664B7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26</w:t>
            </w:r>
          </w:p>
        </w:tc>
        <w:tc>
          <w:tcPr>
            <w:tcW w:w="3544" w:type="dxa"/>
            <w:tcBorders>
              <w:top w:val="nil"/>
              <w:left w:val="nil"/>
              <w:bottom w:val="single" w:sz="4" w:space="0" w:color="auto"/>
              <w:right w:val="single" w:sz="4" w:space="0" w:color="auto"/>
            </w:tcBorders>
            <w:shd w:val="clear" w:color="auto" w:fill="C6EFCE"/>
            <w:noWrap/>
          </w:tcPr>
          <w:p w14:paraId="476B00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C2.I1 </w:t>
            </w:r>
          </w:p>
          <w:p w14:paraId="6EF4C10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Campania națională de împădurire și reîmpădurire, inclusiv păduri urbane </w:t>
            </w:r>
          </w:p>
        </w:tc>
        <w:tc>
          <w:tcPr>
            <w:tcW w:w="1275" w:type="dxa"/>
            <w:tcBorders>
              <w:top w:val="nil"/>
              <w:left w:val="nil"/>
              <w:bottom w:val="single" w:sz="4" w:space="0" w:color="auto"/>
              <w:right w:val="single" w:sz="4" w:space="0" w:color="auto"/>
            </w:tcBorders>
            <w:shd w:val="clear" w:color="auto" w:fill="C6EFCE"/>
            <w:noWrap/>
          </w:tcPr>
          <w:p w14:paraId="3E9D40F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1D147E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Suprafețe noi de teren împădurite sau reîmpădurite</w:t>
            </w:r>
          </w:p>
        </w:tc>
      </w:tr>
      <w:tr w:rsidR="00981F92" w:rsidRPr="000A27B3" w14:paraId="25F09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1CDE5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w:t>
            </w:r>
          </w:p>
        </w:tc>
        <w:tc>
          <w:tcPr>
            <w:tcW w:w="3544" w:type="dxa"/>
            <w:tcBorders>
              <w:top w:val="nil"/>
              <w:left w:val="nil"/>
              <w:bottom w:val="single" w:sz="4" w:space="0" w:color="auto"/>
              <w:right w:val="single" w:sz="4" w:space="0" w:color="auto"/>
            </w:tcBorders>
            <w:shd w:val="clear" w:color="auto" w:fill="C6EFCE"/>
            <w:noWrap/>
          </w:tcPr>
          <w:p w14:paraId="6F8A5D2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C2.I1 </w:t>
            </w:r>
          </w:p>
          <w:p w14:paraId="2A24D88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Campania națională de împădurire și reîmpădurire, inclusiv păduri urbane</w:t>
            </w:r>
          </w:p>
        </w:tc>
        <w:tc>
          <w:tcPr>
            <w:tcW w:w="1275" w:type="dxa"/>
            <w:tcBorders>
              <w:top w:val="nil"/>
              <w:left w:val="nil"/>
              <w:bottom w:val="single" w:sz="4" w:space="0" w:color="auto"/>
              <w:right w:val="single" w:sz="4" w:space="0" w:color="auto"/>
            </w:tcBorders>
            <w:shd w:val="clear" w:color="auto" w:fill="C6EFCE"/>
            <w:noWrap/>
          </w:tcPr>
          <w:p w14:paraId="62932C1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30EB2D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Crearea de noi zone de păduri urbane</w:t>
            </w:r>
          </w:p>
        </w:tc>
      </w:tr>
      <w:tr w:rsidR="00981F92" w:rsidRPr="000A27B3" w14:paraId="4867C1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A40C60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62</w:t>
            </w:r>
          </w:p>
        </w:tc>
        <w:tc>
          <w:tcPr>
            <w:tcW w:w="3544" w:type="dxa"/>
            <w:tcBorders>
              <w:top w:val="nil"/>
              <w:left w:val="nil"/>
              <w:bottom w:val="single" w:sz="4" w:space="0" w:color="auto"/>
              <w:right w:val="single" w:sz="4" w:space="0" w:color="auto"/>
            </w:tcBorders>
            <w:shd w:val="clear" w:color="auto" w:fill="C6EFCE"/>
            <w:noWrap/>
          </w:tcPr>
          <w:p w14:paraId="41FA507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r>
              <w:rPr>
                <w:rFonts w:ascii="Times New Roman" w:hAnsi="Times New Roman"/>
                <w:noProof/>
              </w:rPr>
              <w:br/>
              <w:t>Transport sustenabil, decarbonizare și siguranță rutieră /</w:t>
            </w:r>
            <w:r>
              <w:rPr>
                <w:rFonts w:ascii="Times New Roman" w:hAnsi="Times New Roman"/>
                <w:noProof/>
              </w:rPr>
              <w:br/>
              <w:t>Decarbonizarea rutieră în conformitate cu principiul „poluatorul plătește”</w:t>
            </w:r>
          </w:p>
        </w:tc>
        <w:tc>
          <w:tcPr>
            <w:tcW w:w="1275" w:type="dxa"/>
            <w:tcBorders>
              <w:top w:val="nil"/>
              <w:left w:val="nil"/>
              <w:bottom w:val="single" w:sz="4" w:space="0" w:color="auto"/>
              <w:right w:val="single" w:sz="4" w:space="0" w:color="auto"/>
            </w:tcBorders>
            <w:shd w:val="clear" w:color="auto" w:fill="C6EFCE"/>
            <w:noWrap/>
          </w:tcPr>
          <w:p w14:paraId="3AEDAF1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B63A2C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Autovehicule poluante casate (cu standard de emisii EURO 3 sau inferior)</w:t>
            </w:r>
          </w:p>
        </w:tc>
      </w:tr>
      <w:tr w:rsidR="00981F92" w:rsidRPr="000A27B3" w14:paraId="045F672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F6F4BC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64</w:t>
            </w:r>
          </w:p>
        </w:tc>
        <w:tc>
          <w:tcPr>
            <w:tcW w:w="3544" w:type="dxa"/>
            <w:tcBorders>
              <w:top w:val="nil"/>
              <w:left w:val="nil"/>
              <w:bottom w:val="single" w:sz="4" w:space="0" w:color="auto"/>
              <w:right w:val="single" w:sz="4" w:space="0" w:color="auto"/>
            </w:tcBorders>
            <w:shd w:val="clear" w:color="auto" w:fill="C6EFCE"/>
            <w:noWrap/>
          </w:tcPr>
          <w:p w14:paraId="7BBA58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C4.R1</w:t>
            </w:r>
            <w:r>
              <w:rPr>
                <w:rFonts w:ascii="Times New Roman" w:hAnsi="Times New Roman"/>
                <w:noProof/>
              </w:rPr>
              <w:br/>
              <w:t>Transport sustenabil, decarbonizare și siguranță rutieră /</w:t>
            </w:r>
            <w:r>
              <w:rPr>
                <w:rFonts w:ascii="Times New Roman" w:hAnsi="Times New Roman"/>
                <w:noProof/>
              </w:rPr>
              <w:br/>
              <w:t>Decarbonizarea rutieră în conformitate cu principiul „poluatorul plătește”</w:t>
            </w:r>
          </w:p>
        </w:tc>
        <w:tc>
          <w:tcPr>
            <w:tcW w:w="1275" w:type="dxa"/>
            <w:tcBorders>
              <w:top w:val="nil"/>
              <w:left w:val="nil"/>
              <w:bottom w:val="single" w:sz="4" w:space="0" w:color="auto"/>
              <w:right w:val="single" w:sz="4" w:space="0" w:color="auto"/>
            </w:tcBorders>
            <w:shd w:val="clear" w:color="auto" w:fill="C6EFCE"/>
            <w:noWrap/>
          </w:tcPr>
          <w:p w14:paraId="36ED659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C5F702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Puncte de reîncărcare pentru vehicule electrice instalate la nivel național</w:t>
            </w:r>
          </w:p>
        </w:tc>
      </w:tr>
      <w:tr w:rsidR="00981F92" w:rsidRPr="000A27B3" w14:paraId="702EF9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0455B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75</w:t>
            </w:r>
          </w:p>
        </w:tc>
        <w:tc>
          <w:tcPr>
            <w:tcW w:w="3544" w:type="dxa"/>
            <w:tcBorders>
              <w:top w:val="nil"/>
              <w:left w:val="nil"/>
              <w:bottom w:val="single" w:sz="4" w:space="0" w:color="auto"/>
              <w:right w:val="single" w:sz="4" w:space="0" w:color="auto"/>
            </w:tcBorders>
            <w:shd w:val="clear" w:color="auto" w:fill="C6EFCE"/>
            <w:noWrap/>
          </w:tcPr>
          <w:p w14:paraId="50587F6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C4.I1</w:t>
            </w:r>
            <w:r>
              <w:rPr>
                <w:rFonts w:ascii="Times New Roman" w:hAnsi="Times New Roman"/>
                <w:noProof/>
              </w:rPr>
              <w:br/>
              <w:t xml:space="preserve">Modernizarea și reînnoirea infrastructurii feroviare </w:t>
            </w:r>
          </w:p>
        </w:tc>
        <w:tc>
          <w:tcPr>
            <w:tcW w:w="1275" w:type="dxa"/>
            <w:tcBorders>
              <w:top w:val="nil"/>
              <w:left w:val="nil"/>
              <w:bottom w:val="single" w:sz="4" w:space="0" w:color="auto"/>
              <w:right w:val="single" w:sz="4" w:space="0" w:color="auto"/>
            </w:tcBorders>
            <w:shd w:val="clear" w:color="auto" w:fill="C6EFCE"/>
            <w:noWrap/>
          </w:tcPr>
          <w:p w14:paraId="6E1C884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7A5014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Kilometri de infrastructură feroviară nouă/modernizată care este operațională</w:t>
            </w:r>
          </w:p>
        </w:tc>
      </w:tr>
      <w:tr w:rsidR="00981F92" w:rsidRPr="000A27B3" w14:paraId="0A326E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53214B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77</w:t>
            </w:r>
          </w:p>
        </w:tc>
        <w:tc>
          <w:tcPr>
            <w:tcW w:w="3544" w:type="dxa"/>
            <w:tcBorders>
              <w:top w:val="nil"/>
              <w:left w:val="nil"/>
              <w:bottom w:val="single" w:sz="4" w:space="0" w:color="auto"/>
              <w:right w:val="single" w:sz="4" w:space="0" w:color="auto"/>
            </w:tcBorders>
            <w:shd w:val="clear" w:color="auto" w:fill="C6EFCE"/>
            <w:noWrap/>
          </w:tcPr>
          <w:p w14:paraId="7D51E2B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C4.I2</w:t>
            </w:r>
            <w:r>
              <w:rPr>
                <w:rFonts w:ascii="Times New Roman" w:hAnsi="Times New Roman"/>
                <w:noProof/>
              </w:rPr>
              <w:br/>
              <w:t xml:space="preserve">Material rulant feroviar </w:t>
            </w:r>
          </w:p>
        </w:tc>
        <w:tc>
          <w:tcPr>
            <w:tcW w:w="1275" w:type="dxa"/>
            <w:tcBorders>
              <w:top w:val="nil"/>
              <w:left w:val="nil"/>
              <w:bottom w:val="single" w:sz="4" w:space="0" w:color="auto"/>
              <w:right w:val="single" w:sz="4" w:space="0" w:color="auto"/>
            </w:tcBorders>
            <w:shd w:val="clear" w:color="auto" w:fill="C6EFCE"/>
            <w:noWrap/>
          </w:tcPr>
          <w:p w14:paraId="497424D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7B6C86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Material rulant electric nou în funcțiune</w:t>
            </w:r>
          </w:p>
        </w:tc>
      </w:tr>
      <w:tr w:rsidR="00981F92" w:rsidRPr="000A27B3" w14:paraId="19576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BBAC4D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120</w:t>
            </w:r>
          </w:p>
        </w:tc>
        <w:tc>
          <w:tcPr>
            <w:tcW w:w="3544" w:type="dxa"/>
            <w:tcBorders>
              <w:top w:val="nil"/>
              <w:left w:val="nil"/>
              <w:bottom w:val="single" w:sz="4" w:space="0" w:color="auto"/>
              <w:right w:val="single" w:sz="4" w:space="0" w:color="auto"/>
            </w:tcBorders>
            <w:shd w:val="clear" w:color="auto" w:fill="C6EFCE"/>
            <w:noWrap/>
          </w:tcPr>
          <w:p w14:paraId="571E40E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C6.R1</w:t>
            </w:r>
          </w:p>
          <w:p w14:paraId="3EAD8F40" w14:textId="55601AB0" w:rsidR="00981F92" w:rsidRPr="000A27B3" w:rsidRDefault="00981F92">
            <w:pPr>
              <w:spacing w:after="0"/>
              <w:jc w:val="both"/>
              <w:rPr>
                <w:rFonts w:ascii="Times New Roman" w:hAnsi="Times New Roman" w:cs="Times New Roman"/>
                <w:noProof/>
              </w:rPr>
            </w:pPr>
            <w:r>
              <w:rPr>
                <w:rFonts w:ascii="Times New Roman" w:hAnsi="Times New Roman"/>
                <w:noProof/>
              </w:rPr>
              <w:t>Reforma pieței de energie electrică, prin înlocuirea cărbunelui din mixul energetic și susținerea unui cadru legislativ și de reglementare stimulativ pentru investițiile private în producția de electricitate din surse regenerabile</w:t>
            </w:r>
          </w:p>
        </w:tc>
        <w:tc>
          <w:tcPr>
            <w:tcW w:w="1275" w:type="dxa"/>
            <w:tcBorders>
              <w:top w:val="nil"/>
              <w:left w:val="nil"/>
              <w:bottom w:val="single" w:sz="4" w:space="0" w:color="auto"/>
              <w:right w:val="single" w:sz="4" w:space="0" w:color="auto"/>
            </w:tcBorders>
            <w:shd w:val="clear" w:color="auto" w:fill="C6EFCE"/>
            <w:noWrap/>
          </w:tcPr>
          <w:p w14:paraId="235D6B3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1E6ABB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Capacitate suplimentară de energie din surse regenerabile dată în folosință </w:t>
            </w:r>
          </w:p>
        </w:tc>
      </w:tr>
      <w:tr w:rsidR="00981F92" w:rsidRPr="000A27B3" w14:paraId="27CDA7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978EB5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157</w:t>
            </w:r>
          </w:p>
        </w:tc>
        <w:tc>
          <w:tcPr>
            <w:tcW w:w="3544" w:type="dxa"/>
            <w:tcBorders>
              <w:top w:val="nil"/>
              <w:left w:val="nil"/>
              <w:bottom w:val="single" w:sz="4" w:space="0" w:color="auto"/>
              <w:right w:val="single" w:sz="4" w:space="0" w:color="auto"/>
            </w:tcBorders>
            <w:shd w:val="clear" w:color="auto" w:fill="C6EFCE"/>
            <w:noWrap/>
          </w:tcPr>
          <w:p w14:paraId="3EE8328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C7.I2</w:t>
            </w:r>
            <w:r>
              <w:rPr>
                <w:rFonts w:ascii="Times New Roman" w:hAnsi="Times New Roman"/>
                <w:noProof/>
              </w:rPr>
              <w:br/>
              <w:t xml:space="preserve">Dezvoltarea cloudului și migrarea în cloud </w:t>
            </w:r>
          </w:p>
        </w:tc>
        <w:tc>
          <w:tcPr>
            <w:tcW w:w="1275" w:type="dxa"/>
            <w:tcBorders>
              <w:top w:val="nil"/>
              <w:left w:val="nil"/>
              <w:bottom w:val="single" w:sz="4" w:space="0" w:color="auto"/>
              <w:right w:val="single" w:sz="4" w:space="0" w:color="auto"/>
            </w:tcBorders>
            <w:shd w:val="clear" w:color="auto" w:fill="C6EFCE"/>
            <w:noWrap/>
          </w:tcPr>
          <w:p w14:paraId="6CE7566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1EACD2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Migrarea aplicațiilor de servicii digitale guvernamentale către soluții de tip infrastructură ca serviciu - IaaS/platformă ca serviciu - PaaS</w:t>
            </w:r>
          </w:p>
        </w:tc>
      </w:tr>
      <w:tr w:rsidR="00981F92" w:rsidRPr="000A27B3" w14:paraId="17F3E3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B265B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165</w:t>
            </w:r>
          </w:p>
        </w:tc>
        <w:tc>
          <w:tcPr>
            <w:tcW w:w="3544" w:type="dxa"/>
            <w:tcBorders>
              <w:top w:val="nil"/>
              <w:left w:val="nil"/>
              <w:bottom w:val="single" w:sz="4" w:space="0" w:color="auto"/>
              <w:right w:val="single" w:sz="4" w:space="0" w:color="auto"/>
            </w:tcBorders>
            <w:shd w:val="clear" w:color="auto" w:fill="C6EFCE"/>
            <w:noWrap/>
          </w:tcPr>
          <w:p w14:paraId="31F3D41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C7.I4</w:t>
            </w:r>
          </w:p>
          <w:p w14:paraId="721BAD26" w14:textId="2C86D9F8" w:rsidR="00981F92" w:rsidRPr="000A27B3" w:rsidRDefault="00981F92">
            <w:pPr>
              <w:spacing w:after="0"/>
              <w:jc w:val="both"/>
              <w:rPr>
                <w:rFonts w:ascii="Times New Roman" w:hAnsi="Times New Roman" w:cs="Times New Roman"/>
                <w:noProof/>
              </w:rPr>
            </w:pPr>
            <w:r>
              <w:rPr>
                <w:rFonts w:ascii="Times New Roman" w:hAnsi="Times New Roman"/>
                <w:noProof/>
              </w:rPr>
              <w:t xml:space="preserve"> Digitalizarea sistemului judiciar </w:t>
            </w:r>
          </w:p>
        </w:tc>
        <w:tc>
          <w:tcPr>
            <w:tcW w:w="1275" w:type="dxa"/>
            <w:tcBorders>
              <w:top w:val="nil"/>
              <w:left w:val="nil"/>
              <w:bottom w:val="single" w:sz="4" w:space="0" w:color="auto"/>
              <w:right w:val="single" w:sz="4" w:space="0" w:color="auto"/>
            </w:tcBorders>
            <w:shd w:val="clear" w:color="auto" w:fill="C6EFCE"/>
            <w:noWrap/>
          </w:tcPr>
          <w:p w14:paraId="2ACE794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E0E5C3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Digitalizarea autorităților publice centrale din sectorul judiciar</w:t>
            </w:r>
          </w:p>
        </w:tc>
      </w:tr>
      <w:tr w:rsidR="00981F92" w:rsidRPr="000A27B3" w14:paraId="777B78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5C165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166</w:t>
            </w:r>
          </w:p>
        </w:tc>
        <w:tc>
          <w:tcPr>
            <w:tcW w:w="3544" w:type="dxa"/>
            <w:tcBorders>
              <w:top w:val="nil"/>
              <w:left w:val="nil"/>
              <w:bottom w:val="single" w:sz="4" w:space="0" w:color="auto"/>
              <w:right w:val="single" w:sz="4" w:space="0" w:color="auto"/>
            </w:tcBorders>
            <w:shd w:val="clear" w:color="auto" w:fill="C6EFCE"/>
            <w:noWrap/>
          </w:tcPr>
          <w:p w14:paraId="21D2D74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C7.I4</w:t>
            </w:r>
          </w:p>
          <w:p w14:paraId="3099DBC5" w14:textId="52760AEB" w:rsidR="00981F92" w:rsidRPr="000A27B3" w:rsidRDefault="00981F92">
            <w:pPr>
              <w:spacing w:after="0"/>
              <w:jc w:val="both"/>
              <w:rPr>
                <w:rFonts w:ascii="Times New Roman" w:hAnsi="Times New Roman" w:cs="Times New Roman"/>
                <w:noProof/>
              </w:rPr>
            </w:pPr>
            <w:r>
              <w:rPr>
                <w:rFonts w:ascii="Times New Roman" w:hAnsi="Times New Roman"/>
                <w:noProof/>
              </w:rPr>
              <w:t xml:space="preserve"> Digitalizarea sistemului judiciar </w:t>
            </w:r>
          </w:p>
        </w:tc>
        <w:tc>
          <w:tcPr>
            <w:tcW w:w="1275" w:type="dxa"/>
            <w:tcBorders>
              <w:top w:val="nil"/>
              <w:left w:val="nil"/>
              <w:bottom w:val="single" w:sz="4" w:space="0" w:color="auto"/>
              <w:right w:val="single" w:sz="4" w:space="0" w:color="auto"/>
            </w:tcBorders>
            <w:shd w:val="clear" w:color="auto" w:fill="C6EFCE"/>
            <w:noWrap/>
          </w:tcPr>
          <w:p w14:paraId="1990F3A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8E0146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Centrul de date este operațional</w:t>
            </w:r>
          </w:p>
        </w:tc>
      </w:tr>
      <w:tr w:rsidR="00981F92" w:rsidRPr="000A27B3" w14:paraId="1547BC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D911D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168</w:t>
            </w:r>
          </w:p>
        </w:tc>
        <w:tc>
          <w:tcPr>
            <w:tcW w:w="3544" w:type="dxa"/>
            <w:tcBorders>
              <w:top w:val="nil"/>
              <w:left w:val="nil"/>
              <w:bottom w:val="single" w:sz="4" w:space="0" w:color="auto"/>
              <w:right w:val="single" w:sz="4" w:space="0" w:color="auto"/>
            </w:tcBorders>
            <w:shd w:val="clear" w:color="auto" w:fill="C6EFCE"/>
            <w:noWrap/>
          </w:tcPr>
          <w:p w14:paraId="608DAD9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C7.I5</w:t>
            </w:r>
            <w:r>
              <w:rPr>
                <w:rFonts w:ascii="Times New Roman" w:hAnsi="Times New Roman"/>
                <w:noProof/>
              </w:rPr>
              <w:br/>
              <w:t>Digitalizare în domeniul mediului</w:t>
            </w:r>
          </w:p>
        </w:tc>
        <w:tc>
          <w:tcPr>
            <w:tcW w:w="1275" w:type="dxa"/>
            <w:tcBorders>
              <w:top w:val="nil"/>
              <w:left w:val="nil"/>
              <w:bottom w:val="single" w:sz="4" w:space="0" w:color="auto"/>
              <w:right w:val="single" w:sz="4" w:space="0" w:color="auto"/>
            </w:tcBorders>
            <w:shd w:val="clear" w:color="auto" w:fill="C6EFCE"/>
            <w:noWrap/>
          </w:tcPr>
          <w:p w14:paraId="3649167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CF02EF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Servicii publice de mediu digitalizate</w:t>
            </w:r>
          </w:p>
        </w:tc>
      </w:tr>
      <w:tr w:rsidR="00981F92" w:rsidRPr="000A27B3" w14:paraId="5DCD9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C28F86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171</w:t>
            </w:r>
          </w:p>
        </w:tc>
        <w:tc>
          <w:tcPr>
            <w:tcW w:w="3544" w:type="dxa"/>
            <w:tcBorders>
              <w:top w:val="nil"/>
              <w:left w:val="nil"/>
              <w:bottom w:val="single" w:sz="4" w:space="0" w:color="auto"/>
              <w:right w:val="single" w:sz="4" w:space="0" w:color="auto"/>
            </w:tcBorders>
            <w:shd w:val="clear" w:color="auto" w:fill="C6EFCE"/>
            <w:noWrap/>
          </w:tcPr>
          <w:p w14:paraId="4ACEEC8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C7.I6</w:t>
            </w:r>
          </w:p>
          <w:p w14:paraId="7F55A26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Digitalizarea în domeniul muncii și protecției sociale</w:t>
            </w:r>
          </w:p>
        </w:tc>
        <w:tc>
          <w:tcPr>
            <w:tcW w:w="1275" w:type="dxa"/>
            <w:tcBorders>
              <w:top w:val="nil"/>
              <w:left w:val="nil"/>
              <w:bottom w:val="single" w:sz="4" w:space="0" w:color="auto"/>
              <w:right w:val="single" w:sz="4" w:space="0" w:color="auto"/>
            </w:tcBorders>
            <w:shd w:val="clear" w:color="auto" w:fill="C6EFCE"/>
            <w:noWrap/>
          </w:tcPr>
          <w:p w14:paraId="1343562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94DEEC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Numărul de angajați care participă la cursuri de formare privind competențele digitale</w:t>
            </w:r>
          </w:p>
        </w:tc>
      </w:tr>
      <w:tr w:rsidR="00981F92" w:rsidRPr="000A27B3" w14:paraId="6686DD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1AD4B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174</w:t>
            </w:r>
          </w:p>
        </w:tc>
        <w:tc>
          <w:tcPr>
            <w:tcW w:w="3544" w:type="dxa"/>
            <w:tcBorders>
              <w:top w:val="nil"/>
              <w:left w:val="nil"/>
              <w:bottom w:val="single" w:sz="4" w:space="0" w:color="auto"/>
              <w:right w:val="single" w:sz="4" w:space="0" w:color="auto"/>
            </w:tcBorders>
            <w:shd w:val="clear" w:color="auto" w:fill="C6EFCE"/>
            <w:noWrap/>
          </w:tcPr>
          <w:p w14:paraId="275EAD0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 I8</w:t>
            </w:r>
          </w:p>
          <w:p w14:paraId="76216CE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Carte de identitate electronică și semnătura digitală calificată </w:t>
            </w:r>
          </w:p>
        </w:tc>
        <w:tc>
          <w:tcPr>
            <w:tcW w:w="1275" w:type="dxa"/>
            <w:tcBorders>
              <w:top w:val="nil"/>
              <w:left w:val="nil"/>
              <w:bottom w:val="single" w:sz="4" w:space="0" w:color="auto"/>
              <w:right w:val="single" w:sz="4" w:space="0" w:color="auto"/>
            </w:tcBorders>
            <w:shd w:val="clear" w:color="auto" w:fill="C6EFCE"/>
            <w:noWrap/>
          </w:tcPr>
          <w:p w14:paraId="7B5C38C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BFA25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Cetățeni pentru care se eliberează cartea de identitate electronică </w:t>
            </w:r>
          </w:p>
        </w:tc>
      </w:tr>
      <w:tr w:rsidR="00981F92" w:rsidRPr="000A27B3" w14:paraId="5C25EE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EFD19F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183</w:t>
            </w:r>
          </w:p>
        </w:tc>
        <w:tc>
          <w:tcPr>
            <w:tcW w:w="3544" w:type="dxa"/>
            <w:tcBorders>
              <w:top w:val="nil"/>
              <w:left w:val="nil"/>
              <w:bottom w:val="single" w:sz="4" w:space="0" w:color="auto"/>
              <w:right w:val="single" w:sz="4" w:space="0" w:color="auto"/>
            </w:tcBorders>
            <w:shd w:val="clear" w:color="auto" w:fill="C6EFCE"/>
            <w:noWrap/>
          </w:tcPr>
          <w:p w14:paraId="2ED970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C7.I15</w:t>
            </w:r>
          </w:p>
          <w:p w14:paraId="66B7BD7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de noi competențe de securitate cibernetică pentru societate și economie </w:t>
            </w:r>
          </w:p>
        </w:tc>
        <w:tc>
          <w:tcPr>
            <w:tcW w:w="1275" w:type="dxa"/>
            <w:tcBorders>
              <w:top w:val="nil"/>
              <w:left w:val="nil"/>
              <w:bottom w:val="single" w:sz="4" w:space="0" w:color="auto"/>
              <w:right w:val="single" w:sz="4" w:space="0" w:color="auto"/>
            </w:tcBorders>
            <w:shd w:val="clear" w:color="auto" w:fill="C6EFCE"/>
            <w:noWrap/>
          </w:tcPr>
          <w:p w14:paraId="31ECE58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82E880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Formatori care participă la cursuri de formare în domeniul securității cibernetice</w:t>
            </w:r>
          </w:p>
        </w:tc>
      </w:tr>
      <w:tr w:rsidR="00981F92" w:rsidRPr="000A27B3" w14:paraId="375E1A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3E82C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184</w:t>
            </w:r>
          </w:p>
        </w:tc>
        <w:tc>
          <w:tcPr>
            <w:tcW w:w="3544" w:type="dxa"/>
            <w:tcBorders>
              <w:top w:val="nil"/>
              <w:left w:val="nil"/>
              <w:bottom w:val="single" w:sz="4" w:space="0" w:color="auto"/>
              <w:right w:val="single" w:sz="4" w:space="0" w:color="auto"/>
            </w:tcBorders>
            <w:shd w:val="clear" w:color="auto" w:fill="C6EFCE"/>
            <w:noWrap/>
          </w:tcPr>
          <w:p w14:paraId="172BCC0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C7.I15</w:t>
            </w:r>
          </w:p>
          <w:p w14:paraId="0640250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de noi competențe de securitate cibernetică pentru societate și economie </w:t>
            </w:r>
          </w:p>
        </w:tc>
        <w:tc>
          <w:tcPr>
            <w:tcW w:w="1275" w:type="dxa"/>
            <w:tcBorders>
              <w:top w:val="nil"/>
              <w:left w:val="nil"/>
              <w:bottom w:val="single" w:sz="4" w:space="0" w:color="auto"/>
              <w:right w:val="single" w:sz="4" w:space="0" w:color="auto"/>
            </w:tcBorders>
            <w:shd w:val="clear" w:color="auto" w:fill="C6EFCE"/>
            <w:noWrap/>
          </w:tcPr>
          <w:p w14:paraId="65D9659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01C43B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Entități cărora li se furnizează setul de instrumente și servicii guvernamentale pentru a spori nivelul de maturitate a securității cibernetice</w:t>
            </w:r>
          </w:p>
        </w:tc>
      </w:tr>
      <w:tr w:rsidR="00981F92" w:rsidRPr="000A27B3" w14:paraId="5F5DE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01A070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185</w:t>
            </w:r>
          </w:p>
        </w:tc>
        <w:tc>
          <w:tcPr>
            <w:tcW w:w="3544" w:type="dxa"/>
            <w:tcBorders>
              <w:top w:val="nil"/>
              <w:left w:val="nil"/>
              <w:bottom w:val="single" w:sz="4" w:space="0" w:color="auto"/>
              <w:right w:val="single" w:sz="4" w:space="0" w:color="auto"/>
            </w:tcBorders>
            <w:shd w:val="clear" w:color="auto" w:fill="C6EFCE"/>
            <w:noWrap/>
          </w:tcPr>
          <w:p w14:paraId="718CEBD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C7.I16</w:t>
            </w:r>
            <w:r>
              <w:rPr>
                <w:rFonts w:ascii="Times New Roman" w:hAnsi="Times New Roman"/>
                <w:noProof/>
              </w:rPr>
              <w:br/>
              <w:t xml:space="preserve">Program de formare de competențe digitale avansate pentru funcționarii publici </w:t>
            </w:r>
          </w:p>
        </w:tc>
        <w:tc>
          <w:tcPr>
            <w:tcW w:w="1275" w:type="dxa"/>
            <w:tcBorders>
              <w:top w:val="nil"/>
              <w:left w:val="nil"/>
              <w:bottom w:val="single" w:sz="4" w:space="0" w:color="auto"/>
              <w:right w:val="single" w:sz="4" w:space="0" w:color="auto"/>
            </w:tcBorders>
            <w:shd w:val="clear" w:color="auto" w:fill="C6EFCE"/>
            <w:noWrap/>
          </w:tcPr>
          <w:p w14:paraId="463F7AF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C5CCE2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Funcționari publici care au urmat un curs de formare digitală </w:t>
            </w:r>
          </w:p>
        </w:tc>
      </w:tr>
      <w:tr w:rsidR="00981F92" w:rsidRPr="000A27B3" w14:paraId="210D84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179F6A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187</w:t>
            </w:r>
          </w:p>
        </w:tc>
        <w:tc>
          <w:tcPr>
            <w:tcW w:w="3544" w:type="dxa"/>
            <w:tcBorders>
              <w:top w:val="nil"/>
              <w:left w:val="nil"/>
              <w:bottom w:val="single" w:sz="4" w:space="0" w:color="auto"/>
              <w:right w:val="single" w:sz="4" w:space="0" w:color="auto"/>
            </w:tcBorders>
            <w:shd w:val="clear" w:color="auto" w:fill="C6EFCE"/>
            <w:noWrap/>
          </w:tcPr>
          <w:p w14:paraId="2EF7F1D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C7.I17</w:t>
            </w:r>
            <w:r>
              <w:rPr>
                <w:rFonts w:ascii="Times New Roman" w:hAnsi="Times New Roman"/>
                <w:noProof/>
              </w:rPr>
              <w:br/>
              <w:t xml:space="preserve">Scheme de finanțare pentru biblioteci pentru a deveni hub-uri de dezvoltare a competențelor digitale </w:t>
            </w:r>
          </w:p>
        </w:tc>
        <w:tc>
          <w:tcPr>
            <w:tcW w:w="1275" w:type="dxa"/>
            <w:tcBorders>
              <w:top w:val="nil"/>
              <w:left w:val="nil"/>
              <w:bottom w:val="single" w:sz="4" w:space="0" w:color="auto"/>
              <w:right w:val="single" w:sz="4" w:space="0" w:color="auto"/>
            </w:tcBorders>
            <w:shd w:val="clear" w:color="auto" w:fill="C6EFCE"/>
            <w:noWrap/>
          </w:tcPr>
          <w:p w14:paraId="7906373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E8074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Cetățeni care au beneficiat de cursuri de formare pentru dezvoltarea competențelor digitale</w:t>
            </w:r>
          </w:p>
        </w:tc>
      </w:tr>
      <w:tr w:rsidR="00981F92" w:rsidRPr="000A27B3" w14:paraId="78C1B3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EAEC22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197</w:t>
            </w:r>
          </w:p>
        </w:tc>
        <w:tc>
          <w:tcPr>
            <w:tcW w:w="3544" w:type="dxa"/>
            <w:tcBorders>
              <w:top w:val="nil"/>
              <w:left w:val="nil"/>
              <w:bottom w:val="single" w:sz="4" w:space="0" w:color="auto"/>
              <w:right w:val="single" w:sz="4" w:space="0" w:color="auto"/>
            </w:tcBorders>
            <w:shd w:val="clear" w:color="auto" w:fill="C6EFCE"/>
            <w:noWrap/>
          </w:tcPr>
          <w:p w14:paraId="315BA1B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C8.R1</w:t>
            </w:r>
          </w:p>
          <w:p w14:paraId="2357EF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Agenției Naționale de Administrare Fiscală (ANAF) prin digitalizare </w:t>
            </w:r>
          </w:p>
        </w:tc>
        <w:tc>
          <w:tcPr>
            <w:tcW w:w="1275" w:type="dxa"/>
            <w:tcBorders>
              <w:top w:val="nil"/>
              <w:left w:val="nil"/>
              <w:bottom w:val="single" w:sz="4" w:space="0" w:color="auto"/>
              <w:right w:val="single" w:sz="4" w:space="0" w:color="auto"/>
            </w:tcBorders>
            <w:shd w:val="clear" w:color="auto" w:fill="C6EFCE"/>
            <w:noWrap/>
          </w:tcPr>
          <w:p w14:paraId="7F8166A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24CD63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deficitului de încasare a TVA cu 5 puncte procentuale </w:t>
            </w:r>
          </w:p>
        </w:tc>
      </w:tr>
      <w:tr w:rsidR="00981F92" w:rsidRPr="000A27B3" w14:paraId="4D6FECA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A00A0B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210</w:t>
            </w:r>
          </w:p>
        </w:tc>
        <w:tc>
          <w:tcPr>
            <w:tcW w:w="3544" w:type="dxa"/>
            <w:tcBorders>
              <w:top w:val="nil"/>
              <w:left w:val="nil"/>
              <w:bottom w:val="single" w:sz="4" w:space="0" w:color="auto"/>
              <w:right w:val="single" w:sz="4" w:space="0" w:color="auto"/>
            </w:tcBorders>
            <w:shd w:val="clear" w:color="auto" w:fill="C6EFCE"/>
            <w:noWrap/>
          </w:tcPr>
          <w:p w14:paraId="4523912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C8.R5</w:t>
            </w:r>
          </w:p>
          <w:p w14:paraId="0083A5B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Crearea și operaționalizarea Băncii Naționale de Dezvoltare</w:t>
            </w:r>
          </w:p>
        </w:tc>
        <w:tc>
          <w:tcPr>
            <w:tcW w:w="1275" w:type="dxa"/>
            <w:tcBorders>
              <w:top w:val="nil"/>
              <w:left w:val="nil"/>
              <w:bottom w:val="single" w:sz="4" w:space="0" w:color="auto"/>
              <w:right w:val="single" w:sz="4" w:space="0" w:color="auto"/>
            </w:tcBorders>
            <w:shd w:val="clear" w:color="auto" w:fill="C6EFCE"/>
            <w:noWrap/>
          </w:tcPr>
          <w:p w14:paraId="5579013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E30B3D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Notificarea Comisiei Europene cu privire la finalizarea evaluării pe bază de piloni a Băncii Naționale de Dezvoltare, ceea ce îi va permite acesteia să implementeze fondurile UE</w:t>
            </w:r>
          </w:p>
        </w:tc>
      </w:tr>
      <w:tr w:rsidR="00981F92" w:rsidRPr="000A27B3" w14:paraId="78DC7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D6FA0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290</w:t>
            </w:r>
          </w:p>
        </w:tc>
        <w:tc>
          <w:tcPr>
            <w:tcW w:w="3544" w:type="dxa"/>
            <w:tcBorders>
              <w:top w:val="nil"/>
              <w:left w:val="nil"/>
              <w:bottom w:val="single" w:sz="4" w:space="0" w:color="auto"/>
              <w:right w:val="single" w:sz="4" w:space="0" w:color="auto"/>
            </w:tcBorders>
            <w:shd w:val="clear" w:color="auto" w:fill="C6EFCE"/>
            <w:noWrap/>
          </w:tcPr>
          <w:p w14:paraId="2742578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C10.R1 </w:t>
            </w:r>
          </w:p>
          <w:p w14:paraId="3723A07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cadrului pentru mobilitate urbană durabilă </w:t>
            </w:r>
          </w:p>
        </w:tc>
        <w:tc>
          <w:tcPr>
            <w:tcW w:w="1275" w:type="dxa"/>
            <w:tcBorders>
              <w:top w:val="nil"/>
              <w:left w:val="nil"/>
              <w:bottom w:val="single" w:sz="4" w:space="0" w:color="auto"/>
              <w:right w:val="single" w:sz="4" w:space="0" w:color="auto"/>
            </w:tcBorders>
            <w:shd w:val="clear" w:color="auto" w:fill="C6EFCE"/>
            <w:noWrap/>
          </w:tcPr>
          <w:p w14:paraId="6CD0D73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2DC4F5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tuturor contractelor de servicii publice de transport care expiră în perioada 2021-2026 pentru 40 de județe</w:t>
            </w:r>
          </w:p>
        </w:tc>
      </w:tr>
      <w:tr w:rsidR="00981F92" w:rsidRPr="000A27B3" w14:paraId="5E36B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DA7919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291</w:t>
            </w:r>
          </w:p>
        </w:tc>
        <w:tc>
          <w:tcPr>
            <w:tcW w:w="3544" w:type="dxa"/>
            <w:tcBorders>
              <w:top w:val="nil"/>
              <w:left w:val="nil"/>
              <w:bottom w:val="single" w:sz="4" w:space="0" w:color="auto"/>
              <w:right w:val="single" w:sz="4" w:space="0" w:color="auto"/>
            </w:tcBorders>
            <w:shd w:val="clear" w:color="auto" w:fill="C6EFCE"/>
            <w:noWrap/>
          </w:tcPr>
          <w:p w14:paraId="60888C2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C10.R1</w:t>
            </w:r>
          </w:p>
          <w:p w14:paraId="717535D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cadrului pentru mobilitate urbană durabilă </w:t>
            </w:r>
          </w:p>
        </w:tc>
        <w:tc>
          <w:tcPr>
            <w:tcW w:w="1275" w:type="dxa"/>
            <w:tcBorders>
              <w:top w:val="nil"/>
              <w:left w:val="nil"/>
              <w:bottom w:val="single" w:sz="4" w:space="0" w:color="auto"/>
              <w:right w:val="single" w:sz="4" w:space="0" w:color="auto"/>
            </w:tcBorders>
            <w:shd w:val="clear" w:color="auto" w:fill="C6EFCE"/>
            <w:noWrap/>
          </w:tcPr>
          <w:p w14:paraId="389E6C9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0B9AD3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emisiilor de poluanți atmosferici </w:t>
            </w:r>
          </w:p>
        </w:tc>
      </w:tr>
      <w:tr w:rsidR="00981F92" w:rsidRPr="000A27B3" w14:paraId="62850D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37844E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293</w:t>
            </w:r>
          </w:p>
        </w:tc>
        <w:tc>
          <w:tcPr>
            <w:tcW w:w="3544" w:type="dxa"/>
            <w:tcBorders>
              <w:top w:val="nil"/>
              <w:left w:val="nil"/>
              <w:bottom w:val="single" w:sz="4" w:space="0" w:color="auto"/>
              <w:right w:val="single" w:sz="4" w:space="0" w:color="auto"/>
            </w:tcBorders>
            <w:shd w:val="clear" w:color="auto" w:fill="C6EFCE"/>
            <w:noWrap/>
          </w:tcPr>
          <w:p w14:paraId="67F8982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C.10.R1 </w:t>
            </w:r>
          </w:p>
          <w:p w14:paraId="46F2E82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cadrului pentru mobilitate urbană durabilă </w:t>
            </w:r>
          </w:p>
        </w:tc>
        <w:tc>
          <w:tcPr>
            <w:tcW w:w="1275" w:type="dxa"/>
            <w:tcBorders>
              <w:top w:val="nil"/>
              <w:left w:val="nil"/>
              <w:bottom w:val="single" w:sz="4" w:space="0" w:color="auto"/>
              <w:right w:val="single" w:sz="4" w:space="0" w:color="auto"/>
            </w:tcBorders>
            <w:shd w:val="clear" w:color="auto" w:fill="C6EFCE"/>
            <w:noWrap/>
          </w:tcPr>
          <w:p w14:paraId="6FC169B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A01CF9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Creșterea cu 20 % a volumului total anual de pasageri care utilizează transportul public local în 2026 comparativ cu 2019</w:t>
            </w:r>
          </w:p>
        </w:tc>
      </w:tr>
      <w:tr w:rsidR="00981F92" w:rsidRPr="000A27B3" w14:paraId="302FCD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563ABD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296</w:t>
            </w:r>
          </w:p>
        </w:tc>
        <w:tc>
          <w:tcPr>
            <w:tcW w:w="3544" w:type="dxa"/>
            <w:tcBorders>
              <w:top w:val="nil"/>
              <w:left w:val="nil"/>
              <w:bottom w:val="single" w:sz="4" w:space="0" w:color="auto"/>
              <w:right w:val="single" w:sz="4" w:space="0" w:color="auto"/>
            </w:tcBorders>
            <w:shd w:val="clear" w:color="auto" w:fill="C6EFCE"/>
            <w:noWrap/>
          </w:tcPr>
          <w:p w14:paraId="7BC3FD6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28DCDE9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Mobilitate urbană durabilă</w:t>
            </w:r>
          </w:p>
          <w:p w14:paraId="3C531041" w14:textId="77777777" w:rsidR="00981F92" w:rsidRPr="000A27B3" w:rsidRDefault="00981F92">
            <w:pPr>
              <w:spacing w:after="0"/>
              <w:jc w:val="both"/>
              <w:rPr>
                <w:rFonts w:ascii="Times New Roman" w:hAnsi="Times New Roman" w:cs="Times New Roman"/>
                <w:noProof/>
              </w:rPr>
            </w:pPr>
          </w:p>
        </w:tc>
        <w:tc>
          <w:tcPr>
            <w:tcW w:w="1275" w:type="dxa"/>
            <w:tcBorders>
              <w:top w:val="nil"/>
              <w:left w:val="nil"/>
              <w:bottom w:val="single" w:sz="4" w:space="0" w:color="auto"/>
              <w:right w:val="single" w:sz="4" w:space="0" w:color="auto"/>
            </w:tcBorders>
            <w:shd w:val="clear" w:color="auto" w:fill="C6EFCE"/>
            <w:noWrap/>
          </w:tcPr>
          <w:p w14:paraId="59A3749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EBBA82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Vehicule cu emisii zero suplimentare (autobuze, troleibuze cu motoare cu emisii zero sau cu baterii, tramvaie și microbuze) (număr de vehicule)</w:t>
            </w:r>
          </w:p>
        </w:tc>
      </w:tr>
      <w:tr w:rsidR="00981F92" w:rsidRPr="000A27B3" w14:paraId="589196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4F7B45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297</w:t>
            </w:r>
          </w:p>
        </w:tc>
        <w:tc>
          <w:tcPr>
            <w:tcW w:w="3544" w:type="dxa"/>
            <w:tcBorders>
              <w:top w:val="nil"/>
              <w:left w:val="nil"/>
              <w:bottom w:val="single" w:sz="4" w:space="0" w:color="auto"/>
              <w:right w:val="single" w:sz="4" w:space="0" w:color="auto"/>
            </w:tcBorders>
            <w:shd w:val="clear" w:color="auto" w:fill="C6EFCE"/>
            <w:noWrap/>
          </w:tcPr>
          <w:p w14:paraId="1DCEA9F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1C5BA8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Mobilitate urbană durabilă</w:t>
            </w:r>
          </w:p>
          <w:p w14:paraId="0349BD9C" w14:textId="77777777" w:rsidR="00981F92" w:rsidRPr="000A27B3" w:rsidRDefault="00981F92">
            <w:pPr>
              <w:spacing w:after="0"/>
              <w:jc w:val="both"/>
              <w:rPr>
                <w:rFonts w:ascii="Times New Roman" w:hAnsi="Times New Roman" w:cs="Times New Roman"/>
                <w:noProof/>
              </w:rPr>
            </w:pPr>
          </w:p>
        </w:tc>
        <w:tc>
          <w:tcPr>
            <w:tcW w:w="1275" w:type="dxa"/>
            <w:tcBorders>
              <w:top w:val="nil"/>
              <w:left w:val="nil"/>
              <w:bottom w:val="single" w:sz="4" w:space="0" w:color="auto"/>
              <w:right w:val="single" w:sz="4" w:space="0" w:color="auto"/>
            </w:tcBorders>
            <w:shd w:val="clear" w:color="auto" w:fill="C6EFCE"/>
            <w:noWrap/>
          </w:tcPr>
          <w:p w14:paraId="3EFBAB7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7EDCB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Creșterea ponderii călătoriilor în unitățile administrativ-teritoriale cu servicii de transport public local care utilizează vehicule cu emisii zero (autobuze, troleibuze cu motoare cu emisii zero sau cu baterii, tramvaie) comparativ cu 2019</w:t>
            </w:r>
          </w:p>
        </w:tc>
      </w:tr>
      <w:tr w:rsidR="00981F92" w:rsidRPr="000A27B3" w14:paraId="4FA61F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44825C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300</w:t>
            </w:r>
          </w:p>
        </w:tc>
        <w:tc>
          <w:tcPr>
            <w:tcW w:w="3544" w:type="dxa"/>
            <w:tcBorders>
              <w:top w:val="nil"/>
              <w:left w:val="nil"/>
              <w:bottom w:val="single" w:sz="4" w:space="0" w:color="auto"/>
              <w:right w:val="single" w:sz="4" w:space="0" w:color="auto"/>
            </w:tcBorders>
            <w:shd w:val="clear" w:color="auto" w:fill="C6EFCE"/>
            <w:noWrap/>
          </w:tcPr>
          <w:p w14:paraId="3EDE761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7764798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Mobilitate urbană durabilă</w:t>
            </w:r>
          </w:p>
          <w:p w14:paraId="649682C9" w14:textId="77777777" w:rsidR="00981F92" w:rsidRPr="000A27B3" w:rsidRDefault="00981F92">
            <w:pPr>
              <w:spacing w:after="0"/>
              <w:jc w:val="both"/>
              <w:rPr>
                <w:rFonts w:ascii="Times New Roman" w:hAnsi="Times New Roman" w:cs="Times New Roman"/>
                <w:noProof/>
              </w:rPr>
            </w:pPr>
          </w:p>
        </w:tc>
        <w:tc>
          <w:tcPr>
            <w:tcW w:w="1275" w:type="dxa"/>
            <w:tcBorders>
              <w:top w:val="nil"/>
              <w:left w:val="nil"/>
              <w:bottom w:val="single" w:sz="4" w:space="0" w:color="auto"/>
              <w:right w:val="single" w:sz="4" w:space="0" w:color="auto"/>
            </w:tcBorders>
            <w:shd w:val="clear" w:color="auto" w:fill="C6EFCE"/>
            <w:noWrap/>
          </w:tcPr>
          <w:p w14:paraId="7D243DF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26960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Unități administrativ-teritoriale cu sisteme operaționale dezvoltate/extinse – sisteme de transport inteligente și e-ticketing/alte infrastructuri TIC</w:t>
            </w:r>
          </w:p>
        </w:tc>
      </w:tr>
      <w:tr w:rsidR="000A27B3" w:rsidRPr="000A27B3" w14:paraId="67046A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31637B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303</w:t>
            </w:r>
          </w:p>
        </w:tc>
        <w:tc>
          <w:tcPr>
            <w:tcW w:w="3544" w:type="dxa"/>
            <w:tcBorders>
              <w:top w:val="nil"/>
              <w:left w:val="nil"/>
              <w:bottom w:val="single" w:sz="4" w:space="0" w:color="auto"/>
              <w:right w:val="single" w:sz="4" w:space="0" w:color="auto"/>
            </w:tcBorders>
            <w:shd w:val="clear" w:color="auto" w:fill="C6EFCE"/>
            <w:noWrap/>
          </w:tcPr>
          <w:p w14:paraId="76648E9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0ABE532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Mobilitate urbană durabilă</w:t>
            </w:r>
          </w:p>
          <w:p w14:paraId="4287D59B" w14:textId="77777777" w:rsidR="00981F92" w:rsidRPr="000A27B3" w:rsidRDefault="00981F92">
            <w:pPr>
              <w:spacing w:after="0"/>
              <w:jc w:val="both"/>
              <w:rPr>
                <w:rFonts w:ascii="Times New Roman" w:hAnsi="Times New Roman" w:cs="Times New Roman"/>
                <w:noProof/>
              </w:rPr>
            </w:pPr>
          </w:p>
        </w:tc>
        <w:tc>
          <w:tcPr>
            <w:tcW w:w="1275" w:type="dxa"/>
            <w:tcBorders>
              <w:top w:val="nil"/>
              <w:left w:val="nil"/>
              <w:bottom w:val="single" w:sz="4" w:space="0" w:color="auto"/>
              <w:right w:val="single" w:sz="4" w:space="0" w:color="auto"/>
            </w:tcBorders>
            <w:shd w:val="clear" w:color="auto" w:fill="C6EFCE"/>
            <w:noWrap/>
          </w:tcPr>
          <w:p w14:paraId="701A731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1BF67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Număr suplimentar de puncte de reîncărcare pentru vehiculele electrice</w:t>
            </w:r>
          </w:p>
        </w:tc>
      </w:tr>
      <w:tr w:rsidR="00981F92" w:rsidRPr="000A27B3" w14:paraId="3DCBC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E9B345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354</w:t>
            </w:r>
          </w:p>
        </w:tc>
        <w:tc>
          <w:tcPr>
            <w:tcW w:w="3544" w:type="dxa"/>
            <w:tcBorders>
              <w:top w:val="nil"/>
              <w:left w:val="nil"/>
              <w:bottom w:val="single" w:sz="4" w:space="0" w:color="auto"/>
              <w:right w:val="single" w:sz="4" w:space="0" w:color="auto"/>
            </w:tcBorders>
            <w:shd w:val="clear" w:color="auto" w:fill="C6EFCE"/>
            <w:noWrap/>
          </w:tcPr>
          <w:p w14:paraId="2332EC0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C12.R1</w:t>
            </w:r>
          </w:p>
          <w:p w14:paraId="7396ACD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capacității pentru gestionarea fondurilor publice din sănătate </w:t>
            </w:r>
          </w:p>
        </w:tc>
        <w:tc>
          <w:tcPr>
            <w:tcW w:w="1275" w:type="dxa"/>
            <w:tcBorders>
              <w:top w:val="nil"/>
              <w:left w:val="nil"/>
              <w:bottom w:val="single" w:sz="4" w:space="0" w:color="auto"/>
              <w:right w:val="single" w:sz="4" w:space="0" w:color="auto"/>
            </w:tcBorders>
            <w:shd w:val="clear" w:color="auto" w:fill="C6EFCE"/>
            <w:noWrap/>
          </w:tcPr>
          <w:p w14:paraId="76710F6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A68492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accesibilității asistenței medicale prin reducerea procentului de persoane care raportează nevoi medicale nesatisfăcute</w:t>
            </w:r>
          </w:p>
        </w:tc>
      </w:tr>
      <w:tr w:rsidR="00981F92" w:rsidRPr="000A27B3" w14:paraId="36A733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DD29E8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377</w:t>
            </w:r>
          </w:p>
        </w:tc>
        <w:tc>
          <w:tcPr>
            <w:tcW w:w="3544" w:type="dxa"/>
            <w:tcBorders>
              <w:top w:val="nil"/>
              <w:left w:val="nil"/>
              <w:bottom w:val="single" w:sz="4" w:space="0" w:color="auto"/>
              <w:right w:val="single" w:sz="4" w:space="0" w:color="auto"/>
            </w:tcBorders>
            <w:shd w:val="clear" w:color="auto" w:fill="C6EFCE"/>
            <w:noWrap/>
          </w:tcPr>
          <w:p w14:paraId="2417AB5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C12.I2 </w:t>
            </w:r>
          </w:p>
          <w:p w14:paraId="3B14A802" w14:textId="7BC16683"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infrastructurii spitalicești publice </w:t>
            </w:r>
          </w:p>
        </w:tc>
        <w:tc>
          <w:tcPr>
            <w:tcW w:w="1275" w:type="dxa"/>
            <w:tcBorders>
              <w:top w:val="nil"/>
              <w:left w:val="nil"/>
              <w:bottom w:val="single" w:sz="4" w:space="0" w:color="auto"/>
              <w:right w:val="single" w:sz="4" w:space="0" w:color="auto"/>
            </w:tcBorders>
            <w:shd w:val="clear" w:color="auto" w:fill="C6EFCE"/>
            <w:noWrap/>
          </w:tcPr>
          <w:p w14:paraId="227E1D2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B3260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Construirea și/sau dotarea de noi unități medicale/spitale publice </w:t>
            </w:r>
          </w:p>
        </w:tc>
      </w:tr>
      <w:tr w:rsidR="00981F92" w:rsidRPr="000A27B3" w14:paraId="41E924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75FBD6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379</w:t>
            </w:r>
          </w:p>
        </w:tc>
        <w:tc>
          <w:tcPr>
            <w:tcW w:w="3544" w:type="dxa"/>
            <w:tcBorders>
              <w:top w:val="nil"/>
              <w:left w:val="nil"/>
              <w:bottom w:val="single" w:sz="4" w:space="0" w:color="auto"/>
              <w:right w:val="single" w:sz="4" w:space="0" w:color="auto"/>
            </w:tcBorders>
            <w:shd w:val="clear" w:color="auto" w:fill="C6EFCE"/>
            <w:noWrap/>
          </w:tcPr>
          <w:p w14:paraId="3EF17C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C13.R1</w:t>
            </w:r>
          </w:p>
          <w:p w14:paraId="5140EAF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unui nou cadru juridic care să ofere soluții adecvate pentru sprijinirea familiilor care trăiesc în sărăcie și care au copii în întreținere, astfel încât aceștia să poată fi ținuți în familie </w:t>
            </w:r>
          </w:p>
        </w:tc>
        <w:tc>
          <w:tcPr>
            <w:tcW w:w="1275" w:type="dxa"/>
            <w:tcBorders>
              <w:top w:val="nil"/>
              <w:left w:val="nil"/>
              <w:bottom w:val="single" w:sz="4" w:space="0" w:color="auto"/>
              <w:right w:val="single" w:sz="4" w:space="0" w:color="auto"/>
            </w:tcBorders>
            <w:shd w:val="clear" w:color="auto" w:fill="C6EFCE"/>
            <w:noWrap/>
          </w:tcPr>
          <w:p w14:paraId="4282409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9F408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numărului de copii separați de familie care intră în sistemul de protecție socială </w:t>
            </w:r>
          </w:p>
        </w:tc>
      </w:tr>
      <w:tr w:rsidR="00981F92" w:rsidRPr="000A27B3" w14:paraId="24B8A0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82ADB2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382</w:t>
            </w:r>
          </w:p>
        </w:tc>
        <w:tc>
          <w:tcPr>
            <w:tcW w:w="3544" w:type="dxa"/>
            <w:tcBorders>
              <w:top w:val="nil"/>
              <w:left w:val="nil"/>
              <w:bottom w:val="single" w:sz="4" w:space="0" w:color="auto"/>
              <w:right w:val="single" w:sz="4" w:space="0" w:color="auto"/>
            </w:tcBorders>
            <w:shd w:val="clear" w:color="auto" w:fill="C6EFCE"/>
            <w:noWrap/>
          </w:tcPr>
          <w:p w14:paraId="0F275DE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C13.R2</w:t>
            </w:r>
          </w:p>
          <w:p w14:paraId="74498FB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sistemului de protecție a persoanelor adulte cu dizabilități </w:t>
            </w:r>
          </w:p>
        </w:tc>
        <w:tc>
          <w:tcPr>
            <w:tcW w:w="1275" w:type="dxa"/>
            <w:tcBorders>
              <w:top w:val="nil"/>
              <w:left w:val="nil"/>
              <w:bottom w:val="single" w:sz="4" w:space="0" w:color="auto"/>
              <w:right w:val="single" w:sz="4" w:space="0" w:color="auto"/>
            </w:tcBorders>
            <w:shd w:val="clear" w:color="auto" w:fill="C6EFCE"/>
            <w:noWrap/>
          </w:tcPr>
          <w:p w14:paraId="451AB5B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CBB33A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Persoanele cu dizabilități instituționalizate beneficiază de sprijin personalizat pentru dezinstituționalizare și implementarea deprinderilor de trai independent</w:t>
            </w:r>
          </w:p>
        </w:tc>
      </w:tr>
      <w:tr w:rsidR="00981F92" w:rsidRPr="000A27B3" w14:paraId="65E068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E3B00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383</w:t>
            </w:r>
          </w:p>
        </w:tc>
        <w:tc>
          <w:tcPr>
            <w:tcW w:w="3544" w:type="dxa"/>
            <w:tcBorders>
              <w:top w:val="nil"/>
              <w:left w:val="nil"/>
              <w:bottom w:val="single" w:sz="4" w:space="0" w:color="auto"/>
              <w:right w:val="single" w:sz="4" w:space="0" w:color="auto"/>
            </w:tcBorders>
            <w:shd w:val="clear" w:color="auto" w:fill="C6EFCE"/>
            <w:noWrap/>
          </w:tcPr>
          <w:p w14:paraId="0EE51C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C13.R2</w:t>
            </w:r>
          </w:p>
          <w:p w14:paraId="0692259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sistemului de protecție a persoanelor adulte cu dizabilități </w:t>
            </w:r>
          </w:p>
        </w:tc>
        <w:tc>
          <w:tcPr>
            <w:tcW w:w="1275" w:type="dxa"/>
            <w:tcBorders>
              <w:top w:val="nil"/>
              <w:left w:val="nil"/>
              <w:bottom w:val="single" w:sz="4" w:space="0" w:color="auto"/>
              <w:right w:val="single" w:sz="4" w:space="0" w:color="auto"/>
            </w:tcBorders>
            <w:shd w:val="clear" w:color="auto" w:fill="C6EFCE"/>
            <w:noWrap/>
          </w:tcPr>
          <w:p w14:paraId="2FB874E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26ACA5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numărului total de persoane cu dizabilități instituționalizate (comparativ cu numărul înregistrat la data de 31.12.2020) </w:t>
            </w:r>
          </w:p>
        </w:tc>
      </w:tr>
      <w:tr w:rsidR="00981F92" w:rsidRPr="000A27B3" w14:paraId="14CE53F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D2654B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389</w:t>
            </w:r>
          </w:p>
        </w:tc>
        <w:tc>
          <w:tcPr>
            <w:tcW w:w="3544" w:type="dxa"/>
            <w:tcBorders>
              <w:top w:val="nil"/>
              <w:left w:val="nil"/>
              <w:bottom w:val="single" w:sz="4" w:space="0" w:color="auto"/>
              <w:right w:val="single" w:sz="4" w:space="0" w:color="auto"/>
            </w:tcBorders>
            <w:shd w:val="clear" w:color="auto" w:fill="C6EFCE"/>
            <w:noWrap/>
          </w:tcPr>
          <w:p w14:paraId="728BE92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C13.R4</w:t>
            </w:r>
          </w:p>
          <w:p w14:paraId="7C7CA2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Introducerea tichetelor de muncă și formalizarea muncii în domeniul lucrătorilor casnici</w:t>
            </w:r>
          </w:p>
        </w:tc>
        <w:tc>
          <w:tcPr>
            <w:tcW w:w="1275" w:type="dxa"/>
            <w:tcBorders>
              <w:top w:val="nil"/>
              <w:left w:val="nil"/>
              <w:bottom w:val="single" w:sz="4" w:space="0" w:color="auto"/>
              <w:right w:val="single" w:sz="4" w:space="0" w:color="auto"/>
            </w:tcBorders>
            <w:shd w:val="clear" w:color="auto" w:fill="C6EFCE"/>
            <w:noWrap/>
          </w:tcPr>
          <w:p w14:paraId="5468B7A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059819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Beneficiari (care angajează lucrători casnici) </w:t>
            </w:r>
          </w:p>
        </w:tc>
      </w:tr>
      <w:tr w:rsidR="00981F92" w:rsidRPr="000A27B3" w14:paraId="408680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A7885E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407</w:t>
            </w:r>
          </w:p>
        </w:tc>
        <w:tc>
          <w:tcPr>
            <w:tcW w:w="3544" w:type="dxa"/>
            <w:tcBorders>
              <w:top w:val="nil"/>
              <w:left w:val="nil"/>
              <w:bottom w:val="single" w:sz="4" w:space="0" w:color="auto"/>
              <w:right w:val="single" w:sz="4" w:space="0" w:color="auto"/>
            </w:tcBorders>
            <w:shd w:val="clear" w:color="auto" w:fill="C6EFCE"/>
            <w:noWrap/>
          </w:tcPr>
          <w:p w14:paraId="0CB587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C14.R1</w:t>
            </w:r>
          </w:p>
          <w:p w14:paraId="2B1BDC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Îmbunătățirea predictibilității și a eficienței proceselor decizionale prin întărirea capacității de coordonare a politicilor și analiză de impact la nivelul guvernului și a ministerelor coordonatoare, precum și prin consolidarea instrumentelor în vederea creșterea calității consultărilor publice la toate palierele administrație</w:t>
            </w:r>
          </w:p>
        </w:tc>
        <w:tc>
          <w:tcPr>
            <w:tcW w:w="1275" w:type="dxa"/>
            <w:tcBorders>
              <w:top w:val="nil"/>
              <w:left w:val="nil"/>
              <w:bottom w:val="single" w:sz="4" w:space="0" w:color="auto"/>
              <w:right w:val="single" w:sz="4" w:space="0" w:color="auto"/>
            </w:tcBorders>
            <w:shd w:val="clear" w:color="auto" w:fill="C6EFCE"/>
            <w:noWrap/>
          </w:tcPr>
          <w:p w14:paraId="66F2206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1D2D6C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Procesul de consultare publică și de implicare a părților interesate s-a îmbunătățit prin creșterea cu 20 % a numărului de proiecte de acte legislative care fac obiectul consultării publice și al implicării părților interesate la nivel central</w:t>
            </w:r>
          </w:p>
        </w:tc>
      </w:tr>
      <w:tr w:rsidR="00981F92" w:rsidRPr="000A27B3" w14:paraId="60AFF0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03A51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443</w:t>
            </w:r>
          </w:p>
        </w:tc>
        <w:tc>
          <w:tcPr>
            <w:tcW w:w="3544" w:type="dxa"/>
            <w:tcBorders>
              <w:top w:val="nil"/>
              <w:left w:val="nil"/>
              <w:bottom w:val="single" w:sz="4" w:space="0" w:color="auto"/>
              <w:right w:val="single" w:sz="4" w:space="0" w:color="auto"/>
            </w:tcBorders>
            <w:shd w:val="clear" w:color="auto" w:fill="C6EFCE"/>
            <w:noWrap/>
          </w:tcPr>
          <w:p w14:paraId="3DE17CA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C14.R9</w:t>
            </w:r>
          </w:p>
          <w:p w14:paraId="0E782B4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cadrului procedural de implementare a principiilor guvernanței corporative în cadrul întreprinderilor de stat </w:t>
            </w:r>
          </w:p>
        </w:tc>
        <w:tc>
          <w:tcPr>
            <w:tcW w:w="1275" w:type="dxa"/>
            <w:tcBorders>
              <w:top w:val="nil"/>
              <w:left w:val="nil"/>
              <w:bottom w:val="single" w:sz="4" w:space="0" w:color="auto"/>
              <w:right w:val="single" w:sz="4" w:space="0" w:color="auto"/>
            </w:tcBorders>
            <w:shd w:val="clear" w:color="auto" w:fill="C6EFCE"/>
            <w:noWrap/>
          </w:tcPr>
          <w:p w14:paraId="3321F38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888519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Companii centrale de stat cotate/de tip lease/restructurate în domeniul energiei și transporturilor</w:t>
            </w:r>
          </w:p>
        </w:tc>
      </w:tr>
      <w:tr w:rsidR="00981F92" w:rsidRPr="000A27B3" w14:paraId="0916EA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A9E04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445</w:t>
            </w:r>
          </w:p>
        </w:tc>
        <w:tc>
          <w:tcPr>
            <w:tcW w:w="3544" w:type="dxa"/>
            <w:tcBorders>
              <w:top w:val="nil"/>
              <w:left w:val="nil"/>
              <w:bottom w:val="single" w:sz="4" w:space="0" w:color="auto"/>
              <w:right w:val="single" w:sz="4" w:space="0" w:color="auto"/>
            </w:tcBorders>
            <w:shd w:val="clear" w:color="auto" w:fill="C6EFCE"/>
            <w:noWrap/>
          </w:tcPr>
          <w:p w14:paraId="080EAB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C14.I1</w:t>
            </w:r>
          </w:p>
          <w:p w14:paraId="35CBFEA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Optimizarea infrastructurii judiciare pentru a garanta accesul la justiție și calitatea serviciilor </w:t>
            </w:r>
          </w:p>
        </w:tc>
        <w:tc>
          <w:tcPr>
            <w:tcW w:w="1275" w:type="dxa"/>
            <w:tcBorders>
              <w:top w:val="nil"/>
              <w:left w:val="nil"/>
              <w:bottom w:val="single" w:sz="4" w:space="0" w:color="auto"/>
              <w:right w:val="single" w:sz="4" w:space="0" w:color="auto"/>
            </w:tcBorders>
            <w:shd w:val="clear" w:color="auto" w:fill="C6EFCE"/>
            <w:noWrap/>
          </w:tcPr>
          <w:p w14:paraId="6DF52F0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21ACC2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Sedii ale instanțelor construite în conformitate cu standardele verzi </w:t>
            </w:r>
          </w:p>
        </w:tc>
      </w:tr>
      <w:tr w:rsidR="00981F92" w:rsidRPr="000A27B3" w14:paraId="30AC44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F2E435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468</w:t>
            </w:r>
          </w:p>
        </w:tc>
        <w:tc>
          <w:tcPr>
            <w:tcW w:w="3544" w:type="dxa"/>
            <w:tcBorders>
              <w:top w:val="nil"/>
              <w:left w:val="nil"/>
              <w:bottom w:val="single" w:sz="4" w:space="0" w:color="auto"/>
              <w:right w:val="single" w:sz="4" w:space="0" w:color="auto"/>
            </w:tcBorders>
            <w:shd w:val="clear" w:color="auto" w:fill="C6EFCE"/>
            <w:noWrap/>
          </w:tcPr>
          <w:p w14:paraId="3CD9D4C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C15.I4</w:t>
            </w:r>
          </w:p>
          <w:p w14:paraId="0BC4489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Sprijinirea unităților de învățământ cu risc ridicat de abandon școlar</w:t>
            </w:r>
          </w:p>
        </w:tc>
        <w:tc>
          <w:tcPr>
            <w:tcW w:w="1275" w:type="dxa"/>
            <w:tcBorders>
              <w:top w:val="nil"/>
              <w:left w:val="nil"/>
              <w:bottom w:val="single" w:sz="4" w:space="0" w:color="auto"/>
              <w:right w:val="single" w:sz="4" w:space="0" w:color="auto"/>
            </w:tcBorders>
            <w:shd w:val="clear" w:color="auto" w:fill="C6EFCE"/>
            <w:noWrap/>
          </w:tcPr>
          <w:p w14:paraId="04214CC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C8A4CA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Reducerea numărului de școli cu risc ridicat de abandon școlar</w:t>
            </w:r>
          </w:p>
        </w:tc>
      </w:tr>
      <w:tr w:rsidR="00981F92" w:rsidRPr="000A27B3" w14:paraId="5E20AC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BB208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471</w:t>
            </w:r>
          </w:p>
        </w:tc>
        <w:tc>
          <w:tcPr>
            <w:tcW w:w="3544" w:type="dxa"/>
            <w:tcBorders>
              <w:top w:val="nil"/>
              <w:left w:val="nil"/>
              <w:bottom w:val="single" w:sz="4" w:space="0" w:color="auto"/>
              <w:right w:val="single" w:sz="4" w:space="0" w:color="auto"/>
            </w:tcBorders>
            <w:shd w:val="clear" w:color="auto" w:fill="C6EFCE"/>
            <w:noWrap/>
          </w:tcPr>
          <w:p w14:paraId="34DACBC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C15.R4</w:t>
            </w:r>
          </w:p>
          <w:p w14:paraId="48C8861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Crearea unei rute profesionale complete pentru învățământul tehnic superior</w:t>
            </w:r>
          </w:p>
        </w:tc>
        <w:tc>
          <w:tcPr>
            <w:tcW w:w="1275" w:type="dxa"/>
            <w:tcBorders>
              <w:top w:val="nil"/>
              <w:left w:val="nil"/>
              <w:bottom w:val="single" w:sz="4" w:space="0" w:color="auto"/>
              <w:right w:val="single" w:sz="4" w:space="0" w:color="auto"/>
            </w:tcBorders>
            <w:shd w:val="clear" w:color="auto" w:fill="C6EFCE"/>
            <w:noWrap/>
          </w:tcPr>
          <w:p w14:paraId="4FCD9A7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DABAD3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Ponderea elevilor înscriși în ruta profesională, în raport cu numărul de elevi înscriși în învățământul secundar</w:t>
            </w:r>
          </w:p>
        </w:tc>
      </w:tr>
      <w:tr w:rsidR="00981F92" w:rsidRPr="000A27B3" w14:paraId="2AA45F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67D504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474</w:t>
            </w:r>
          </w:p>
        </w:tc>
        <w:tc>
          <w:tcPr>
            <w:tcW w:w="3544" w:type="dxa"/>
            <w:tcBorders>
              <w:top w:val="nil"/>
              <w:left w:val="nil"/>
              <w:bottom w:val="single" w:sz="4" w:space="0" w:color="auto"/>
              <w:right w:val="single" w:sz="4" w:space="0" w:color="auto"/>
            </w:tcBorders>
            <w:shd w:val="clear" w:color="auto" w:fill="C6EFCE"/>
            <w:noWrap/>
          </w:tcPr>
          <w:p w14:paraId="307E31C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C15.I6</w:t>
            </w:r>
          </w:p>
          <w:p w14:paraId="7449562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a 10 consorții regionale și dezvoltarea și dotarea a 10 campusuri profesionale integrate</w:t>
            </w:r>
          </w:p>
        </w:tc>
        <w:tc>
          <w:tcPr>
            <w:tcW w:w="1275" w:type="dxa"/>
            <w:tcBorders>
              <w:top w:val="nil"/>
              <w:left w:val="nil"/>
              <w:bottom w:val="single" w:sz="4" w:space="0" w:color="auto"/>
              <w:right w:val="single" w:sz="4" w:space="0" w:color="auto"/>
            </w:tcBorders>
            <w:shd w:val="clear" w:color="auto" w:fill="C6EFCE"/>
            <w:noWrap/>
          </w:tcPr>
          <w:p w14:paraId="3C7BA18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DEFFC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Elevi înscriși în ruta duală completă </w:t>
            </w:r>
          </w:p>
        </w:tc>
      </w:tr>
      <w:tr w:rsidR="000A27B3" w:rsidRPr="000A27B3" w14:paraId="59E57C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EEDAC2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493</w:t>
            </w:r>
          </w:p>
        </w:tc>
        <w:tc>
          <w:tcPr>
            <w:tcW w:w="3544" w:type="dxa"/>
            <w:tcBorders>
              <w:top w:val="nil"/>
              <w:left w:val="nil"/>
              <w:bottom w:val="single" w:sz="4" w:space="0" w:color="auto"/>
              <w:right w:val="single" w:sz="4" w:space="0" w:color="auto"/>
            </w:tcBorders>
            <w:shd w:val="clear" w:color="auto" w:fill="C6EFCE"/>
            <w:noWrap/>
          </w:tcPr>
          <w:p w14:paraId="7EF1CF3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C15.I12 </w:t>
            </w:r>
          </w:p>
          <w:p w14:paraId="1DA79826" w14:textId="5CBF1D26" w:rsidR="00981F92" w:rsidRPr="000A27B3" w:rsidRDefault="00981F92">
            <w:pPr>
              <w:spacing w:after="0"/>
              <w:jc w:val="both"/>
              <w:rPr>
                <w:rFonts w:ascii="Times New Roman" w:hAnsi="Times New Roman" w:cs="Times New Roman"/>
                <w:noProof/>
              </w:rPr>
            </w:pPr>
            <w:r>
              <w:rPr>
                <w:rFonts w:ascii="Times New Roman" w:hAnsi="Times New Roman"/>
                <w:noProof/>
              </w:rPr>
              <w:t xml:space="preserve">Sprijin pentru consorțiile școlare rurale </w:t>
            </w:r>
          </w:p>
        </w:tc>
        <w:tc>
          <w:tcPr>
            <w:tcW w:w="1275" w:type="dxa"/>
            <w:tcBorders>
              <w:top w:val="nil"/>
              <w:left w:val="nil"/>
              <w:bottom w:val="single" w:sz="4" w:space="0" w:color="auto"/>
              <w:right w:val="single" w:sz="4" w:space="0" w:color="auto"/>
            </w:tcBorders>
            <w:shd w:val="clear" w:color="auto" w:fill="C6EFCE"/>
            <w:noWrap/>
          </w:tcPr>
          <w:p w14:paraId="4184A69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18F714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lucrărilor de construcție și dotare a consorțiilor școlare rurale</w:t>
            </w:r>
          </w:p>
        </w:tc>
      </w:tr>
      <w:tr w:rsidR="000A27B3" w:rsidRPr="000A27B3" w14:paraId="3A2DBD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F3672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173</w:t>
            </w:r>
          </w:p>
        </w:tc>
        <w:tc>
          <w:tcPr>
            <w:tcW w:w="3544" w:type="dxa"/>
            <w:tcBorders>
              <w:top w:val="nil"/>
              <w:left w:val="nil"/>
              <w:bottom w:val="single" w:sz="4" w:space="0" w:color="auto"/>
              <w:right w:val="single" w:sz="4" w:space="0" w:color="auto"/>
            </w:tcBorders>
            <w:shd w:val="clear" w:color="auto" w:fill="C6EFCE"/>
            <w:noWrap/>
          </w:tcPr>
          <w:p w14:paraId="3BC9003C" w14:textId="3964CACD"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C7.I8</w:t>
            </w:r>
          </w:p>
          <w:p w14:paraId="291AD910" w14:textId="77777777" w:rsidR="00981F92" w:rsidRPr="000A27B3" w:rsidRDefault="00981F92" w:rsidP="00CA23DD">
            <w:pPr>
              <w:spacing w:after="0" w:line="240" w:lineRule="auto"/>
              <w:jc w:val="both"/>
              <w:rPr>
                <w:rFonts w:ascii="Times New Roman" w:hAnsi="Times New Roman" w:cs="Times New Roman"/>
                <w:noProof/>
              </w:rPr>
            </w:pPr>
            <w:r>
              <w:rPr>
                <w:rFonts w:ascii="Times New Roman" w:hAnsi="Times New Roman"/>
                <w:noProof/>
              </w:rPr>
              <w:t>Carte de identitate electronică și semnătura digitală calificată</w:t>
            </w:r>
          </w:p>
        </w:tc>
        <w:tc>
          <w:tcPr>
            <w:tcW w:w="1275" w:type="dxa"/>
            <w:tcBorders>
              <w:top w:val="nil"/>
              <w:left w:val="nil"/>
              <w:bottom w:val="single" w:sz="4" w:space="0" w:color="auto"/>
              <w:right w:val="single" w:sz="4" w:space="0" w:color="auto"/>
            </w:tcBorders>
            <w:shd w:val="clear" w:color="auto" w:fill="C6EFCE"/>
            <w:noWrap/>
          </w:tcPr>
          <w:p w14:paraId="0605F76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DF20EC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Cetățeni pentru care se eliberează cartea de identitate electronică </w:t>
            </w:r>
          </w:p>
        </w:tc>
      </w:tr>
      <w:tr w:rsidR="000A27B3" w:rsidRPr="000A27B3" w14:paraId="22D394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7D0EBC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513</w:t>
            </w:r>
          </w:p>
        </w:tc>
        <w:tc>
          <w:tcPr>
            <w:tcW w:w="3544" w:type="dxa"/>
            <w:tcBorders>
              <w:top w:val="nil"/>
              <w:left w:val="nil"/>
              <w:bottom w:val="single" w:sz="4" w:space="0" w:color="auto"/>
              <w:right w:val="single" w:sz="4" w:space="0" w:color="auto"/>
            </w:tcBorders>
            <w:shd w:val="clear" w:color="auto" w:fill="C6EFCE"/>
            <w:noWrap/>
          </w:tcPr>
          <w:p w14:paraId="74F24220"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C16.I1</w:t>
            </w:r>
          </w:p>
          <w:p w14:paraId="0CDFCA1A"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Formare pentru dobândirea competențelor în domeniul energiei verzi</w:t>
            </w:r>
          </w:p>
        </w:tc>
        <w:tc>
          <w:tcPr>
            <w:tcW w:w="1275" w:type="dxa"/>
            <w:tcBorders>
              <w:top w:val="nil"/>
              <w:left w:val="nil"/>
              <w:bottom w:val="single" w:sz="4" w:space="0" w:color="auto"/>
              <w:right w:val="single" w:sz="4" w:space="0" w:color="auto"/>
            </w:tcBorders>
            <w:shd w:val="clear" w:color="auto" w:fill="C6EFCE"/>
            <w:noWrap/>
          </w:tcPr>
          <w:p w14:paraId="0059005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16DF81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Cel puțin 4 000 de specialiști și lucrători au absolvit cursuri de formare în domeniul producției de energie din surse regenerabile</w:t>
            </w:r>
          </w:p>
        </w:tc>
      </w:tr>
      <w:tr w:rsidR="000A27B3" w:rsidRPr="000A27B3" w14:paraId="78FCD3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9ED1F4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514</w:t>
            </w:r>
          </w:p>
        </w:tc>
        <w:tc>
          <w:tcPr>
            <w:tcW w:w="3544" w:type="dxa"/>
            <w:tcBorders>
              <w:top w:val="nil"/>
              <w:left w:val="nil"/>
              <w:bottom w:val="single" w:sz="4" w:space="0" w:color="auto"/>
              <w:right w:val="single" w:sz="4" w:space="0" w:color="auto"/>
            </w:tcBorders>
            <w:shd w:val="clear" w:color="auto" w:fill="C6EFCE"/>
            <w:noWrap/>
          </w:tcPr>
          <w:p w14:paraId="08D576FB"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C16.I3</w:t>
            </w:r>
          </w:p>
          <w:p w14:paraId="004237A8"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Promovarea eficienței energetice a clădirilor publice</w:t>
            </w:r>
          </w:p>
        </w:tc>
        <w:tc>
          <w:tcPr>
            <w:tcW w:w="1275" w:type="dxa"/>
            <w:tcBorders>
              <w:top w:val="nil"/>
              <w:left w:val="nil"/>
              <w:bottom w:val="single" w:sz="4" w:space="0" w:color="auto"/>
              <w:right w:val="single" w:sz="4" w:space="0" w:color="auto"/>
            </w:tcBorders>
            <w:shd w:val="clear" w:color="auto" w:fill="C6EFCE"/>
            <w:noWrap/>
          </w:tcPr>
          <w:p w14:paraId="075DCB8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45697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renovărilor energetice a clădirilor publice</w:t>
            </w:r>
          </w:p>
        </w:tc>
      </w:tr>
      <w:tr w:rsidR="000A27B3" w:rsidRPr="000A27B3" w14:paraId="36B908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64EE52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518</w:t>
            </w:r>
          </w:p>
        </w:tc>
        <w:tc>
          <w:tcPr>
            <w:tcW w:w="3544" w:type="dxa"/>
            <w:tcBorders>
              <w:top w:val="nil"/>
              <w:left w:val="nil"/>
              <w:bottom w:val="single" w:sz="4" w:space="0" w:color="auto"/>
              <w:right w:val="single" w:sz="4" w:space="0" w:color="auto"/>
            </w:tcBorders>
            <w:shd w:val="clear" w:color="auto" w:fill="C6EFCE"/>
            <w:noWrap/>
          </w:tcPr>
          <w:p w14:paraId="6BB99A06"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C16.5a</w:t>
            </w:r>
          </w:p>
          <w:p w14:paraId="4A56D35D"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Instalarea de panouri solare și instalații de stocare a energiei electrice în substațiile Transelectrica</w:t>
            </w:r>
          </w:p>
        </w:tc>
        <w:tc>
          <w:tcPr>
            <w:tcW w:w="1275" w:type="dxa"/>
            <w:tcBorders>
              <w:top w:val="nil"/>
              <w:left w:val="nil"/>
              <w:bottom w:val="single" w:sz="4" w:space="0" w:color="auto"/>
              <w:right w:val="single" w:sz="4" w:space="0" w:color="auto"/>
            </w:tcBorders>
            <w:shd w:val="clear" w:color="auto" w:fill="C6EFCE"/>
            <w:noWrap/>
          </w:tcPr>
          <w:p w14:paraId="7FF761E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07515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Reducerea consumului anual de energie electrică</w:t>
            </w:r>
          </w:p>
        </w:tc>
      </w:tr>
      <w:tr w:rsidR="000A27B3" w:rsidRPr="000A27B3" w14:paraId="09A57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377C6B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522</w:t>
            </w:r>
          </w:p>
        </w:tc>
        <w:tc>
          <w:tcPr>
            <w:tcW w:w="3544" w:type="dxa"/>
            <w:tcBorders>
              <w:top w:val="nil"/>
              <w:left w:val="nil"/>
              <w:bottom w:val="single" w:sz="4" w:space="0" w:color="auto"/>
              <w:right w:val="single" w:sz="4" w:space="0" w:color="auto"/>
            </w:tcBorders>
            <w:shd w:val="clear" w:color="auto" w:fill="C6EFCE"/>
            <w:noWrap/>
          </w:tcPr>
          <w:p w14:paraId="550F90C8"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C16.I5c</w:t>
            </w:r>
          </w:p>
          <w:p w14:paraId="51321FF2"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Optimizarea rețelei de comunicații și crearea unui centru de date – Teletrans SA</w:t>
            </w:r>
          </w:p>
        </w:tc>
        <w:tc>
          <w:tcPr>
            <w:tcW w:w="1275" w:type="dxa"/>
            <w:tcBorders>
              <w:top w:val="nil"/>
              <w:left w:val="nil"/>
              <w:bottom w:val="single" w:sz="4" w:space="0" w:color="auto"/>
              <w:right w:val="single" w:sz="4" w:space="0" w:color="auto"/>
            </w:tcBorders>
            <w:shd w:val="clear" w:color="auto" w:fill="C6EFCE"/>
            <w:noWrap/>
          </w:tcPr>
          <w:p w14:paraId="0B00783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C10554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unui centru de date</w:t>
            </w:r>
          </w:p>
        </w:tc>
      </w:tr>
      <w:tr w:rsidR="00981F92" w:rsidRPr="000A27B3" w14:paraId="6E80F90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2C26F6D6"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6DD845C2" w14:textId="77777777" w:rsidR="00981F92" w:rsidRPr="009F1DC7" w:rsidRDefault="00981F92">
            <w:pPr>
              <w:spacing w:after="0"/>
              <w:jc w:val="both"/>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1CF9116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1A1D3B84" w14:textId="57016B2D"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1 809 818 435 EUR</w:t>
            </w:r>
          </w:p>
        </w:tc>
      </w:tr>
    </w:tbl>
    <w:p w14:paraId="64DED66A" w14:textId="77777777" w:rsidR="00981F92" w:rsidRPr="000A27B3" w:rsidRDefault="00981F92">
      <w:pPr>
        <w:pStyle w:val="Text1"/>
        <w:rPr>
          <w:noProof/>
          <w:szCs w:val="24"/>
        </w:rPr>
        <w:sectPr w:rsidR="00981F92" w:rsidRPr="000A27B3">
          <w:headerReference w:type="even" r:id="rId361"/>
          <w:headerReference w:type="default" r:id="rId362"/>
          <w:footerReference w:type="even" r:id="rId363"/>
          <w:footerReference w:type="default" r:id="rId364"/>
          <w:headerReference w:type="first" r:id="rId365"/>
          <w:footerReference w:type="first" r:id="rId366"/>
          <w:pgSz w:w="11907" w:h="16839"/>
          <w:pgMar w:top="1134" w:right="1134" w:bottom="1134" w:left="1134" w:header="567" w:footer="567" w:gutter="0"/>
          <w:cols w:space="720"/>
          <w:docGrid w:linePitch="360"/>
        </w:sectPr>
      </w:pPr>
    </w:p>
    <w:p w14:paraId="53D47BFF" w14:textId="77777777" w:rsidR="00981F92" w:rsidRPr="000A27B3" w:rsidRDefault="00981F92">
      <w:pPr>
        <w:pStyle w:val="Heading2"/>
        <w:rPr>
          <w:b w:val="0"/>
          <w:noProof/>
        </w:rPr>
      </w:pPr>
      <w:r>
        <w:rPr>
          <w:noProof/>
        </w:rPr>
        <w:t xml:space="preserve">Împrumut </w:t>
      </w:r>
    </w:p>
    <w:p w14:paraId="19A5B729" w14:textId="77777777" w:rsidR="00981F92" w:rsidRPr="000A27B3" w:rsidRDefault="00981F92">
      <w:pPr>
        <w:pStyle w:val="Text1"/>
        <w:rPr>
          <w:noProof/>
          <w:szCs w:val="24"/>
        </w:rPr>
      </w:pPr>
      <w:r>
        <w:rPr>
          <w:noProof/>
        </w:rPr>
        <w:t>Tranșele menționate la articolul 3 alineatul (2) se organizează după cum urmează:</w:t>
      </w:r>
    </w:p>
    <w:p w14:paraId="05706B5A" w14:textId="77777777" w:rsidR="00981F92" w:rsidRPr="000A27B3" w:rsidRDefault="00981F92">
      <w:pPr>
        <w:pStyle w:val="Heading3"/>
        <w:rPr>
          <w:noProof/>
          <w:szCs w:val="24"/>
        </w:rPr>
      </w:pPr>
      <w:r>
        <w:rPr>
          <w:noProof/>
        </w:rPr>
        <w:t xml:space="preserve">Prima tranșă (sprijin sub formă de împrumut):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55D66DD2" w14:textId="77777777">
        <w:trPr>
          <w:trHeight w:val="509"/>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4D30BC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F788279"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7D32555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F00CE57"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2CF88A17"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BC962C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E3FE67C" w14:textId="77777777" w:rsidR="00981F92" w:rsidRPr="000A27B3" w:rsidRDefault="00981F92">
            <w:pPr>
              <w:spacing w:after="0"/>
              <w:rPr>
                <w:rFonts w:ascii="Times New Roman" w:eastAsia="Times New Roman" w:hAnsi="Times New Roman" w:cs="Times New Roman"/>
                <w:b/>
                <w:bCs/>
                <w:noProof/>
                <w:szCs w:val="24"/>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1479EAAE" w14:textId="77777777" w:rsidR="00981F92" w:rsidRPr="000A27B3" w:rsidRDefault="00981F92">
            <w:pPr>
              <w:spacing w:after="0"/>
              <w:jc w:val="both"/>
              <w:rPr>
                <w:rFonts w:ascii="Times New Roman" w:eastAsia="Times New Roman" w:hAnsi="Times New Roman" w:cs="Times New Roman"/>
                <w:b/>
                <w:bCs/>
                <w:noProof/>
                <w:szCs w:val="24"/>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42CE191" w14:textId="77777777" w:rsidR="00981F92" w:rsidRPr="000A27B3" w:rsidRDefault="00981F92">
            <w:pPr>
              <w:spacing w:after="0"/>
              <w:rPr>
                <w:rFonts w:ascii="Times New Roman" w:eastAsia="Times New Roman" w:hAnsi="Times New Roman" w:cs="Times New Roman"/>
                <w:b/>
                <w:bCs/>
                <w:noProof/>
                <w:szCs w:val="24"/>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68D62EAC" w14:textId="77777777" w:rsidR="00981F92" w:rsidRPr="000A27B3" w:rsidRDefault="00981F92">
            <w:pPr>
              <w:spacing w:after="0"/>
              <w:rPr>
                <w:rFonts w:ascii="Times New Roman" w:eastAsia="Times New Roman" w:hAnsi="Times New Roman" w:cs="Times New Roman"/>
                <w:b/>
                <w:bCs/>
                <w:noProof/>
                <w:szCs w:val="24"/>
                <w:lang w:eastAsia="en-GB"/>
              </w:rPr>
            </w:pPr>
          </w:p>
        </w:tc>
      </w:tr>
      <w:tr w:rsidR="00981F92" w:rsidRPr="000A27B3" w14:paraId="287FD0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7DEAA5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78</w:t>
            </w:r>
          </w:p>
        </w:tc>
        <w:tc>
          <w:tcPr>
            <w:tcW w:w="3544" w:type="dxa"/>
            <w:tcBorders>
              <w:top w:val="nil"/>
              <w:left w:val="nil"/>
              <w:bottom w:val="single" w:sz="4" w:space="0" w:color="auto"/>
              <w:right w:val="single" w:sz="4" w:space="0" w:color="auto"/>
            </w:tcBorders>
            <w:shd w:val="clear" w:color="auto" w:fill="C6EFCE"/>
            <w:noWrap/>
            <w:hideMark/>
          </w:tcPr>
          <w:p w14:paraId="343A44E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C4.R2</w:t>
            </w:r>
          </w:p>
          <w:p w14:paraId="3A71C4F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Management performant pentru transport de calitate – Îmbunătățirea capacității instituționale de management și guvernanță corporativă</w:t>
            </w:r>
          </w:p>
        </w:tc>
        <w:tc>
          <w:tcPr>
            <w:tcW w:w="1275" w:type="dxa"/>
            <w:tcBorders>
              <w:top w:val="nil"/>
              <w:left w:val="nil"/>
              <w:bottom w:val="single" w:sz="4" w:space="0" w:color="auto"/>
              <w:right w:val="single" w:sz="4" w:space="0" w:color="auto"/>
            </w:tcBorders>
            <w:shd w:val="clear" w:color="auto" w:fill="C6EFCE"/>
            <w:noWrap/>
            <w:hideMark/>
          </w:tcPr>
          <w:p w14:paraId="399DB49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vAlign w:val="center"/>
            <w:hideMark/>
          </w:tcPr>
          <w:p w14:paraId="7225A03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Legii nr. 50/2021 pentru aprobarea Ordonanței de urgență a Guvernului nr. 55/2016 privind reorganizarea Companiei Naționale de Autostrăzi și Drumuri Naționale din România – S.A. (C.N.A.I.R.) și înființarea Companiei Naționale de Investiții Rutiere – S.A. (C.N.I.R.) </w:t>
            </w:r>
          </w:p>
        </w:tc>
      </w:tr>
      <w:tr w:rsidR="00981F92" w:rsidRPr="000A27B3" w14:paraId="38B306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A62D7D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w:t>
            </w:r>
          </w:p>
        </w:tc>
        <w:tc>
          <w:tcPr>
            <w:tcW w:w="3544" w:type="dxa"/>
            <w:tcBorders>
              <w:top w:val="nil"/>
              <w:left w:val="nil"/>
              <w:bottom w:val="single" w:sz="4" w:space="0" w:color="auto"/>
              <w:right w:val="single" w:sz="4" w:space="0" w:color="auto"/>
            </w:tcBorders>
            <w:shd w:val="clear" w:color="auto" w:fill="C6EFCE"/>
            <w:noWrap/>
            <w:hideMark/>
          </w:tcPr>
          <w:p w14:paraId="4CFE5BF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C1.R1 </w:t>
            </w:r>
          </w:p>
          <w:p w14:paraId="551B1A46"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Consolidarea cadrului de reglementare pentru managementul sustenabil al sectorului de apă și apă uzată și pentru accelerarea accesului populației la servicii de calitate conform directivelor europene</w:t>
            </w:r>
          </w:p>
        </w:tc>
        <w:tc>
          <w:tcPr>
            <w:tcW w:w="1275" w:type="dxa"/>
            <w:tcBorders>
              <w:top w:val="nil"/>
              <w:left w:val="nil"/>
              <w:bottom w:val="single" w:sz="4" w:space="0" w:color="auto"/>
              <w:right w:val="single" w:sz="4" w:space="0" w:color="auto"/>
            </w:tcBorders>
            <w:shd w:val="clear" w:color="auto" w:fill="C6EFCE"/>
            <w:noWrap/>
            <w:hideMark/>
          </w:tcPr>
          <w:p w14:paraId="0BCBDFD3"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275666D0"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modificărilor aduse Legii serviciului de alimentare cu apă și de canalizare nr. 241/2006</w:t>
            </w:r>
          </w:p>
        </w:tc>
      </w:tr>
      <w:tr w:rsidR="00981F92" w:rsidRPr="000A27B3" w14:paraId="443DC1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6FF5EF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247</w:t>
            </w:r>
          </w:p>
        </w:tc>
        <w:tc>
          <w:tcPr>
            <w:tcW w:w="3544" w:type="dxa"/>
            <w:tcBorders>
              <w:top w:val="nil"/>
              <w:left w:val="nil"/>
              <w:bottom w:val="single" w:sz="4" w:space="0" w:color="auto"/>
              <w:right w:val="single" w:sz="4" w:space="0" w:color="auto"/>
            </w:tcBorders>
            <w:shd w:val="clear" w:color="auto" w:fill="C6EFCE"/>
            <w:noWrap/>
          </w:tcPr>
          <w:p w14:paraId="4DEB9D1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C9.I2.1 </w:t>
            </w:r>
          </w:p>
          <w:p w14:paraId="62F6A0B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Instrumente financiare pentru sectorul privat – Garanția de portofoliu pentru reziliență </w:t>
            </w:r>
          </w:p>
        </w:tc>
        <w:tc>
          <w:tcPr>
            <w:tcW w:w="1275" w:type="dxa"/>
            <w:tcBorders>
              <w:top w:val="nil"/>
              <w:left w:val="nil"/>
              <w:bottom w:val="single" w:sz="4" w:space="0" w:color="auto"/>
              <w:right w:val="single" w:sz="4" w:space="0" w:color="auto"/>
            </w:tcBorders>
            <w:shd w:val="clear" w:color="auto" w:fill="C6EFCE"/>
            <w:noWrap/>
          </w:tcPr>
          <w:p w14:paraId="2A80AE7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5B24CE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acordului de contribuție dintre Comisia Europeană și Guvernul României</w:t>
            </w:r>
          </w:p>
        </w:tc>
      </w:tr>
      <w:tr w:rsidR="00981F92" w:rsidRPr="000A27B3" w14:paraId="2516BD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046FE7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250</w:t>
            </w:r>
          </w:p>
        </w:tc>
        <w:tc>
          <w:tcPr>
            <w:tcW w:w="3544" w:type="dxa"/>
            <w:tcBorders>
              <w:top w:val="nil"/>
              <w:left w:val="nil"/>
              <w:bottom w:val="single" w:sz="4" w:space="0" w:color="auto"/>
              <w:right w:val="single" w:sz="4" w:space="0" w:color="auto"/>
            </w:tcBorders>
            <w:shd w:val="clear" w:color="auto" w:fill="C6EFCE"/>
            <w:noWrap/>
          </w:tcPr>
          <w:p w14:paraId="0E9CFDFD"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C9.I2.2 </w:t>
            </w:r>
          </w:p>
          <w:p w14:paraId="37C895D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Instrumente financiare pentru sectorul privat – Garanția de portofoliu pentru acțiune climatică</w:t>
            </w:r>
          </w:p>
        </w:tc>
        <w:tc>
          <w:tcPr>
            <w:tcW w:w="1275" w:type="dxa"/>
            <w:tcBorders>
              <w:top w:val="nil"/>
              <w:left w:val="nil"/>
              <w:bottom w:val="single" w:sz="4" w:space="0" w:color="auto"/>
              <w:right w:val="single" w:sz="4" w:space="0" w:color="auto"/>
            </w:tcBorders>
            <w:shd w:val="clear" w:color="auto" w:fill="C6EFCE"/>
            <w:noWrap/>
          </w:tcPr>
          <w:p w14:paraId="25287AF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D035D1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acordului de contribuție dintre Comisia Europeană și Guvernul României</w:t>
            </w:r>
          </w:p>
        </w:tc>
      </w:tr>
      <w:tr w:rsidR="00981F92" w:rsidRPr="000A27B3" w14:paraId="72EA11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7469288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253</w:t>
            </w:r>
          </w:p>
        </w:tc>
        <w:tc>
          <w:tcPr>
            <w:tcW w:w="3544" w:type="dxa"/>
            <w:tcBorders>
              <w:top w:val="nil"/>
              <w:left w:val="nil"/>
              <w:bottom w:val="single" w:sz="4" w:space="0" w:color="auto"/>
              <w:right w:val="single" w:sz="4" w:space="0" w:color="auto"/>
            </w:tcBorders>
            <w:shd w:val="clear" w:color="auto" w:fill="C6EFCE"/>
            <w:noWrap/>
            <w:hideMark/>
          </w:tcPr>
          <w:p w14:paraId="0144E96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C9.I2.3 </w:t>
            </w:r>
          </w:p>
          <w:p w14:paraId="4BBA37B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Instrumente financiare pentru sectorul privat – Fondul de fonduri de capital de risc pentru redresare</w:t>
            </w:r>
          </w:p>
        </w:tc>
        <w:tc>
          <w:tcPr>
            <w:tcW w:w="1275" w:type="dxa"/>
            <w:tcBorders>
              <w:top w:val="nil"/>
              <w:left w:val="nil"/>
              <w:bottom w:val="single" w:sz="4" w:space="0" w:color="auto"/>
              <w:right w:val="single" w:sz="4" w:space="0" w:color="auto"/>
            </w:tcBorders>
            <w:shd w:val="clear" w:color="auto" w:fill="C6EFCE"/>
            <w:noWrap/>
            <w:hideMark/>
          </w:tcPr>
          <w:p w14:paraId="41F8E6B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04B6C68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acordului de finanțare dintre Fondul European de Investiții și Guvernul României pentru crearea Fondului de fonduri de capital de risc pentru redresare (denumit în continuare „fondul”) și adoptarea politicii de investiții a fondului.</w:t>
            </w:r>
          </w:p>
        </w:tc>
      </w:tr>
      <w:tr w:rsidR="00981F92" w:rsidRPr="000A27B3" w14:paraId="479751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8A14AF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259</w:t>
            </w:r>
          </w:p>
        </w:tc>
        <w:tc>
          <w:tcPr>
            <w:tcW w:w="3544" w:type="dxa"/>
            <w:tcBorders>
              <w:top w:val="nil"/>
              <w:left w:val="nil"/>
              <w:bottom w:val="single" w:sz="4" w:space="0" w:color="auto"/>
              <w:right w:val="single" w:sz="4" w:space="0" w:color="auto"/>
            </w:tcBorders>
            <w:shd w:val="clear" w:color="auto" w:fill="C6EFCE"/>
            <w:noWrap/>
          </w:tcPr>
          <w:p w14:paraId="7EC6470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C9.I2.5 </w:t>
            </w:r>
          </w:p>
          <w:p w14:paraId="17A02BE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Instrumente financiare pentru sectorul privat – Investiții în eficiență energetică în sectorul rezidențial și al clădirilor </w:t>
            </w:r>
          </w:p>
        </w:tc>
        <w:tc>
          <w:tcPr>
            <w:tcW w:w="1275" w:type="dxa"/>
            <w:tcBorders>
              <w:top w:val="nil"/>
              <w:left w:val="nil"/>
              <w:bottom w:val="single" w:sz="4" w:space="0" w:color="auto"/>
              <w:right w:val="single" w:sz="4" w:space="0" w:color="auto"/>
            </w:tcBorders>
            <w:shd w:val="clear" w:color="auto" w:fill="C6EFCE"/>
            <w:noWrap/>
          </w:tcPr>
          <w:p w14:paraId="76C09AF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60637C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acordului de contribuție dintre Comisia Europeană și Guvernul României</w:t>
            </w:r>
          </w:p>
        </w:tc>
      </w:tr>
      <w:tr w:rsidR="000A27B3" w:rsidRPr="000A27B3" w14:paraId="2ECE5A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3306E2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270</w:t>
            </w:r>
          </w:p>
        </w:tc>
        <w:tc>
          <w:tcPr>
            <w:tcW w:w="3544" w:type="dxa"/>
            <w:tcBorders>
              <w:top w:val="nil"/>
              <w:left w:val="nil"/>
              <w:bottom w:val="single" w:sz="4" w:space="0" w:color="auto"/>
              <w:right w:val="single" w:sz="4" w:space="0" w:color="auto"/>
            </w:tcBorders>
            <w:shd w:val="clear" w:color="auto" w:fill="C6EFCE"/>
            <w:noWrap/>
          </w:tcPr>
          <w:p w14:paraId="43FEF74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C9.R2</w:t>
            </w:r>
          </w:p>
          <w:p w14:paraId="27615D9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Raționalizarea guvernanței în domeniul cercetării, dezvoltării și inovării </w:t>
            </w:r>
          </w:p>
        </w:tc>
        <w:tc>
          <w:tcPr>
            <w:tcW w:w="1275" w:type="dxa"/>
            <w:tcBorders>
              <w:top w:val="nil"/>
              <w:left w:val="nil"/>
              <w:bottom w:val="single" w:sz="4" w:space="0" w:color="auto"/>
              <w:right w:val="single" w:sz="4" w:space="0" w:color="auto"/>
            </w:tcBorders>
            <w:shd w:val="clear" w:color="auto" w:fill="C6EFCE"/>
            <w:noWrap/>
          </w:tcPr>
          <w:p w14:paraId="5D4F90C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0718A2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Unitatea de implementare a reformelor din cadrul mecanismului de sprijin al politicilor (PSF) este instituită și operațională </w:t>
            </w:r>
          </w:p>
        </w:tc>
      </w:tr>
      <w:tr w:rsidR="00981F92" w:rsidRPr="000A27B3" w14:paraId="73309CA2" w14:textId="77777777">
        <w:trPr>
          <w:trHeight w:val="283"/>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3D7B79DF" w14:textId="77777777" w:rsidR="00981F92" w:rsidRPr="009F1DC7" w:rsidRDefault="00981F92">
            <w:pPr>
              <w:spacing w:after="0"/>
              <w:jc w:val="center"/>
              <w:rPr>
                <w:rFonts w:ascii="Times New Roman" w:eastAsia="Times New Roman" w:hAnsi="Times New Roman" w:cs="Times New Roman"/>
                <w:noProof/>
                <w:szCs w:val="24"/>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44FF33DB" w14:textId="77777777" w:rsidR="00981F92" w:rsidRPr="009F1DC7" w:rsidRDefault="00981F92">
            <w:pPr>
              <w:spacing w:after="0"/>
              <w:jc w:val="both"/>
              <w:rPr>
                <w:rFonts w:ascii="Times New Roman" w:eastAsia="Times New Roman" w:hAnsi="Times New Roman" w:cs="Times New Roman"/>
                <w:noProof/>
                <w:szCs w:val="24"/>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0D753C3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6593D3C8" w14:textId="77777777"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907 669 494 EUR</w:t>
            </w:r>
          </w:p>
        </w:tc>
      </w:tr>
    </w:tbl>
    <w:p w14:paraId="2AF5F228" w14:textId="77777777" w:rsidR="00981F92" w:rsidRPr="000A27B3" w:rsidRDefault="00981F92">
      <w:pPr>
        <w:pStyle w:val="Heading3"/>
        <w:rPr>
          <w:noProof/>
          <w:szCs w:val="24"/>
        </w:rPr>
      </w:pPr>
      <w:r>
        <w:rPr>
          <w:noProof/>
        </w:rPr>
        <w:t xml:space="preserve">A doua tranșă (sprijin sub formă de împrumut):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250665AB"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857B363"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789A20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161A9255"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46C96E8"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24E5F57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92473DC"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017714A3"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505F5794"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4AFA29A" w14:textId="77777777" w:rsidR="00981F92" w:rsidRPr="000A27B3" w:rsidRDefault="00981F92">
            <w:pPr>
              <w:spacing w:after="0"/>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10FDF173"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334A98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067DA9C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w:t>
            </w:r>
          </w:p>
        </w:tc>
        <w:tc>
          <w:tcPr>
            <w:tcW w:w="3544" w:type="dxa"/>
            <w:tcBorders>
              <w:top w:val="nil"/>
              <w:left w:val="nil"/>
              <w:bottom w:val="single" w:sz="4" w:space="0" w:color="auto"/>
              <w:right w:val="single" w:sz="4" w:space="0" w:color="auto"/>
            </w:tcBorders>
            <w:shd w:val="clear" w:color="auto" w:fill="C6EFCE"/>
            <w:noWrap/>
            <w:hideMark/>
          </w:tcPr>
          <w:p w14:paraId="1DE6C54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C1.R1 </w:t>
            </w:r>
          </w:p>
          <w:p w14:paraId="392C19E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Consolidarea cadrului de reglementare pentru managementul sustenabil al sectorului de apă și apă uzată și pentru accelerarea accesului populației la servicii de calitate conform directivelor europene</w:t>
            </w:r>
          </w:p>
        </w:tc>
        <w:tc>
          <w:tcPr>
            <w:tcW w:w="1275" w:type="dxa"/>
            <w:tcBorders>
              <w:top w:val="nil"/>
              <w:left w:val="nil"/>
              <w:bottom w:val="single" w:sz="4" w:space="0" w:color="auto"/>
              <w:right w:val="single" w:sz="4" w:space="0" w:color="auto"/>
            </w:tcBorders>
            <w:shd w:val="clear" w:color="auto" w:fill="C6EFCE"/>
            <w:noWrap/>
            <w:hideMark/>
          </w:tcPr>
          <w:p w14:paraId="6BEA813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1E6C141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de aprobare a programului național „Prima conectare la apă și canalizare”</w:t>
            </w:r>
          </w:p>
        </w:tc>
      </w:tr>
      <w:tr w:rsidR="00981F92" w:rsidRPr="000A27B3" w14:paraId="78E0BD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FB74C2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95</w:t>
            </w:r>
          </w:p>
        </w:tc>
        <w:tc>
          <w:tcPr>
            <w:tcW w:w="3544" w:type="dxa"/>
            <w:tcBorders>
              <w:top w:val="nil"/>
              <w:left w:val="nil"/>
              <w:bottom w:val="single" w:sz="4" w:space="0" w:color="auto"/>
              <w:right w:val="single" w:sz="4" w:space="0" w:color="auto"/>
            </w:tcBorders>
            <w:shd w:val="clear" w:color="auto" w:fill="C6EFCE"/>
            <w:noWrap/>
          </w:tcPr>
          <w:p w14:paraId="45F1B84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65367D0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Instituirea unui fond pentru Valul renovării care să finanțeze lucrări de îmbunătățire a fondului construit existent</w:t>
            </w:r>
          </w:p>
        </w:tc>
        <w:tc>
          <w:tcPr>
            <w:tcW w:w="1275" w:type="dxa"/>
            <w:tcBorders>
              <w:top w:val="nil"/>
              <w:left w:val="nil"/>
              <w:bottom w:val="single" w:sz="4" w:space="0" w:color="auto"/>
              <w:right w:val="single" w:sz="4" w:space="0" w:color="auto"/>
            </w:tcBorders>
            <w:shd w:val="clear" w:color="auto" w:fill="C6EFCE"/>
            <w:noWrap/>
          </w:tcPr>
          <w:p w14:paraId="7666CF6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12F912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Instituirea unei scheme naționale de sprijin pentru renovarea ce vizează eficiența energetică și renovarea integrată (consolidare seismică și eficiență energetică) a clădirilor rezidențiale multifamiliale</w:t>
            </w:r>
          </w:p>
        </w:tc>
      </w:tr>
      <w:tr w:rsidR="00981F92" w:rsidRPr="000A27B3" w14:paraId="7EAE61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DAFDE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96</w:t>
            </w:r>
          </w:p>
        </w:tc>
        <w:tc>
          <w:tcPr>
            <w:tcW w:w="3544" w:type="dxa"/>
            <w:tcBorders>
              <w:top w:val="nil"/>
              <w:left w:val="nil"/>
              <w:bottom w:val="single" w:sz="4" w:space="0" w:color="auto"/>
              <w:right w:val="single" w:sz="4" w:space="0" w:color="auto"/>
            </w:tcBorders>
            <w:shd w:val="clear" w:color="auto" w:fill="C6EFCE"/>
            <w:noWrap/>
          </w:tcPr>
          <w:p w14:paraId="4C4C756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2C4066A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Instituirea unui fond pentru Valul renovării care să finanțeze lucrări de îmbunătățire a fondului construit existent</w:t>
            </w:r>
          </w:p>
        </w:tc>
        <w:tc>
          <w:tcPr>
            <w:tcW w:w="1275" w:type="dxa"/>
            <w:tcBorders>
              <w:top w:val="nil"/>
              <w:left w:val="nil"/>
              <w:bottom w:val="single" w:sz="4" w:space="0" w:color="auto"/>
              <w:right w:val="single" w:sz="4" w:space="0" w:color="auto"/>
            </w:tcBorders>
            <w:shd w:val="clear" w:color="auto" w:fill="C6EFCE"/>
            <w:noWrap/>
          </w:tcPr>
          <w:p w14:paraId="3DAFE38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FB85C0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Instituirea unei scheme naționale de sprijin pentru renovarea și renovarea integrată în scopul asigurării eficienței energetice (consolidare seismică și eficiență energetică) pentru clădiri publice</w:t>
            </w:r>
          </w:p>
        </w:tc>
      </w:tr>
      <w:tr w:rsidR="00981F92" w:rsidRPr="000A27B3" w14:paraId="79D06E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DBEB3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189</w:t>
            </w:r>
          </w:p>
        </w:tc>
        <w:tc>
          <w:tcPr>
            <w:tcW w:w="3544" w:type="dxa"/>
            <w:tcBorders>
              <w:top w:val="nil"/>
              <w:left w:val="nil"/>
              <w:bottom w:val="single" w:sz="4" w:space="0" w:color="auto"/>
              <w:right w:val="single" w:sz="4" w:space="0" w:color="auto"/>
            </w:tcBorders>
            <w:shd w:val="clear" w:color="auto" w:fill="C6EFCE"/>
            <w:noWrap/>
          </w:tcPr>
          <w:p w14:paraId="49DA559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C7.I19</w:t>
            </w:r>
          </w:p>
          <w:p w14:paraId="58129B2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Scheme dedicate perfecționării/recalificării angajaților din firme</w:t>
            </w:r>
          </w:p>
        </w:tc>
        <w:tc>
          <w:tcPr>
            <w:tcW w:w="1275" w:type="dxa"/>
            <w:tcBorders>
              <w:top w:val="nil"/>
              <w:left w:val="nil"/>
              <w:bottom w:val="single" w:sz="4" w:space="0" w:color="auto"/>
              <w:right w:val="single" w:sz="4" w:space="0" w:color="auto"/>
            </w:tcBorders>
            <w:shd w:val="clear" w:color="auto" w:fill="C6EFCE"/>
            <w:noWrap/>
          </w:tcPr>
          <w:p w14:paraId="5CD756C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C29C75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Lansarea cererii de propuneri pentru „Sprijin sub formă de granturi pentru competențe digitale”</w:t>
            </w:r>
          </w:p>
        </w:tc>
      </w:tr>
      <w:tr w:rsidR="00981F92" w:rsidRPr="000A27B3" w14:paraId="4FEEBC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2288C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256</w:t>
            </w:r>
          </w:p>
        </w:tc>
        <w:tc>
          <w:tcPr>
            <w:tcW w:w="3544" w:type="dxa"/>
            <w:tcBorders>
              <w:top w:val="nil"/>
              <w:left w:val="nil"/>
              <w:bottom w:val="single" w:sz="4" w:space="0" w:color="auto"/>
              <w:right w:val="single" w:sz="4" w:space="0" w:color="auto"/>
            </w:tcBorders>
            <w:shd w:val="clear" w:color="auto" w:fill="C6EFCE"/>
            <w:noWrap/>
          </w:tcPr>
          <w:p w14:paraId="63E734E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C9.I2.4 </w:t>
            </w:r>
          </w:p>
          <w:p w14:paraId="37E57B9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Instrumente financiare pentru sectorul privat – Fondul pentru digitalizare, acțiune climatică și alte domenii de interes </w:t>
            </w:r>
          </w:p>
        </w:tc>
        <w:tc>
          <w:tcPr>
            <w:tcW w:w="1275" w:type="dxa"/>
            <w:tcBorders>
              <w:top w:val="nil"/>
              <w:left w:val="nil"/>
              <w:bottom w:val="single" w:sz="4" w:space="0" w:color="auto"/>
              <w:right w:val="single" w:sz="4" w:space="0" w:color="auto"/>
            </w:tcBorders>
            <w:shd w:val="clear" w:color="auto" w:fill="C6EFCE"/>
            <w:noWrap/>
          </w:tcPr>
          <w:p w14:paraId="79C39C2F"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04B9DB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Instituirea instrumentului financiar („fondul”) și adoptarea politicii de investiții a fondului</w:t>
            </w:r>
          </w:p>
        </w:tc>
      </w:tr>
      <w:tr w:rsidR="00981F92" w:rsidRPr="000A27B3" w14:paraId="1A7D4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4CA91A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262</w:t>
            </w:r>
          </w:p>
        </w:tc>
        <w:tc>
          <w:tcPr>
            <w:tcW w:w="3544" w:type="dxa"/>
            <w:tcBorders>
              <w:top w:val="nil"/>
              <w:left w:val="nil"/>
              <w:bottom w:val="single" w:sz="4" w:space="0" w:color="auto"/>
              <w:right w:val="single" w:sz="4" w:space="0" w:color="auto"/>
            </w:tcBorders>
            <w:shd w:val="clear" w:color="auto" w:fill="C6EFCE"/>
            <w:noWrap/>
          </w:tcPr>
          <w:p w14:paraId="3A4246A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C9.I3.1 </w:t>
            </w:r>
          </w:p>
          <w:p w14:paraId="1B9C403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Scheme de ajutor pentru sectorul privat – Schemă de ajutor pentru digitalizarea IMM-urilor </w:t>
            </w:r>
          </w:p>
        </w:tc>
        <w:tc>
          <w:tcPr>
            <w:tcW w:w="1275" w:type="dxa"/>
            <w:tcBorders>
              <w:top w:val="nil"/>
              <w:left w:val="nil"/>
              <w:bottom w:val="single" w:sz="4" w:space="0" w:color="auto"/>
              <w:right w:val="single" w:sz="4" w:space="0" w:color="auto"/>
            </w:tcBorders>
            <w:shd w:val="clear" w:color="auto" w:fill="C6EFCE"/>
            <w:noWrap/>
          </w:tcPr>
          <w:p w14:paraId="54595560"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22D2F5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Selectarea administratorului schemei </w:t>
            </w:r>
          </w:p>
        </w:tc>
      </w:tr>
      <w:tr w:rsidR="00981F92" w:rsidRPr="000A27B3" w14:paraId="789519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5D30DD" w14:textId="77777777" w:rsidR="00981F92" w:rsidRPr="000A27B3" w:rsidRDefault="00981F92">
            <w:pPr>
              <w:spacing w:after="0"/>
              <w:jc w:val="center"/>
              <w:rPr>
                <w:rFonts w:ascii="Times New Roman" w:eastAsia="Times New Roman" w:hAnsi="Times New Roman" w:cs="Times New Roman"/>
                <w:noProof/>
                <w:vertAlign w:val="subscript"/>
              </w:rPr>
            </w:pPr>
            <w:r>
              <w:rPr>
                <w:rFonts w:ascii="Times New Roman" w:hAnsi="Times New Roman"/>
                <w:noProof/>
              </w:rPr>
              <w:t>326</w:t>
            </w:r>
          </w:p>
        </w:tc>
        <w:tc>
          <w:tcPr>
            <w:tcW w:w="3544" w:type="dxa"/>
            <w:tcBorders>
              <w:top w:val="nil"/>
              <w:left w:val="nil"/>
              <w:bottom w:val="single" w:sz="4" w:space="0" w:color="auto"/>
              <w:right w:val="single" w:sz="4" w:space="0" w:color="auto"/>
            </w:tcBorders>
            <w:shd w:val="clear" w:color="auto" w:fill="C6EFCE"/>
            <w:noWrap/>
          </w:tcPr>
          <w:p w14:paraId="39287ED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C11.R1</w:t>
            </w:r>
          </w:p>
          <w:p w14:paraId="61965E1C" w14:textId="3EE0F0C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Operaționalizarea organizațiilor de management al destinației (OMD-uri) </w:t>
            </w:r>
          </w:p>
        </w:tc>
        <w:tc>
          <w:tcPr>
            <w:tcW w:w="1275" w:type="dxa"/>
            <w:tcBorders>
              <w:top w:val="nil"/>
              <w:left w:val="nil"/>
              <w:bottom w:val="single" w:sz="4" w:space="0" w:color="auto"/>
              <w:right w:val="single" w:sz="4" w:space="0" w:color="auto"/>
            </w:tcBorders>
            <w:shd w:val="clear" w:color="auto" w:fill="C6EFCE"/>
            <w:noWrap/>
          </w:tcPr>
          <w:p w14:paraId="60A542D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F0331AA"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Toate zonele optime de destinație pentru organizațiile de management al destinației (OMD-uri) din România au fost cartografiate</w:t>
            </w:r>
          </w:p>
        </w:tc>
      </w:tr>
      <w:tr w:rsidR="00981F92" w:rsidRPr="000A27B3" w14:paraId="14DBA1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050B4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327</w:t>
            </w:r>
          </w:p>
        </w:tc>
        <w:tc>
          <w:tcPr>
            <w:tcW w:w="3544" w:type="dxa"/>
            <w:tcBorders>
              <w:top w:val="nil"/>
              <w:left w:val="nil"/>
              <w:bottom w:val="single" w:sz="4" w:space="0" w:color="auto"/>
              <w:right w:val="single" w:sz="4" w:space="0" w:color="auto"/>
            </w:tcBorders>
            <w:shd w:val="clear" w:color="auto" w:fill="C6EFCE"/>
            <w:noWrap/>
          </w:tcPr>
          <w:p w14:paraId="5B8EA23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C11.R1</w:t>
            </w:r>
          </w:p>
          <w:p w14:paraId="09F3239B"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Operaționalizarea organizațiilor de management al destinației (OMD-uri)</w:t>
            </w:r>
          </w:p>
        </w:tc>
        <w:tc>
          <w:tcPr>
            <w:tcW w:w="1275" w:type="dxa"/>
            <w:tcBorders>
              <w:top w:val="nil"/>
              <w:left w:val="nil"/>
              <w:bottom w:val="single" w:sz="4" w:space="0" w:color="auto"/>
              <w:right w:val="single" w:sz="4" w:space="0" w:color="auto"/>
            </w:tcBorders>
            <w:shd w:val="clear" w:color="auto" w:fill="C6EFCE"/>
            <w:noWrap/>
          </w:tcPr>
          <w:p w14:paraId="4FA9A72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A7F808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Plan de acțiune pentru utilizarea patrimoniului cultural în vederea sporirii competitivității sectorului turismului din România</w:t>
            </w:r>
          </w:p>
          <w:p w14:paraId="48739031" w14:textId="77777777" w:rsidR="00981F92" w:rsidRPr="009F1DC7" w:rsidRDefault="00981F92">
            <w:pPr>
              <w:spacing w:after="0"/>
              <w:jc w:val="both"/>
              <w:rPr>
                <w:rFonts w:ascii="Times New Roman" w:hAnsi="Times New Roman" w:cs="Times New Roman"/>
                <w:noProof/>
                <w:lang w:val="fr-FR"/>
              </w:rPr>
            </w:pPr>
          </w:p>
          <w:p w14:paraId="146F8204" w14:textId="77777777" w:rsidR="00981F92" w:rsidRPr="009F1DC7" w:rsidRDefault="00981F92">
            <w:pPr>
              <w:spacing w:after="0"/>
              <w:jc w:val="both"/>
              <w:rPr>
                <w:rFonts w:ascii="Times New Roman" w:eastAsia="Times New Roman" w:hAnsi="Times New Roman" w:cs="Times New Roman"/>
                <w:noProof/>
                <w:lang w:val="fr-FR" w:eastAsia="en-GB"/>
              </w:rPr>
            </w:pPr>
          </w:p>
        </w:tc>
      </w:tr>
      <w:tr w:rsidR="00981F92" w:rsidRPr="000A27B3" w14:paraId="7D65CC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8D37C1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331</w:t>
            </w:r>
          </w:p>
        </w:tc>
        <w:tc>
          <w:tcPr>
            <w:tcW w:w="3544" w:type="dxa"/>
            <w:tcBorders>
              <w:top w:val="nil"/>
              <w:left w:val="nil"/>
              <w:bottom w:val="single" w:sz="4" w:space="0" w:color="auto"/>
              <w:right w:val="single" w:sz="4" w:space="0" w:color="auto"/>
            </w:tcBorders>
            <w:shd w:val="clear" w:color="auto" w:fill="C6EFCE"/>
            <w:noWrap/>
          </w:tcPr>
          <w:p w14:paraId="744C74D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C11.I1</w:t>
            </w:r>
          </w:p>
          <w:p w14:paraId="342A566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Promovarea celor 12 rute turistice/culturale </w:t>
            </w:r>
          </w:p>
        </w:tc>
        <w:tc>
          <w:tcPr>
            <w:tcW w:w="1275" w:type="dxa"/>
            <w:tcBorders>
              <w:top w:val="nil"/>
              <w:left w:val="nil"/>
              <w:bottom w:val="single" w:sz="4" w:space="0" w:color="auto"/>
              <w:right w:val="single" w:sz="4" w:space="0" w:color="auto"/>
            </w:tcBorders>
            <w:shd w:val="clear" w:color="auto" w:fill="C6EFCE"/>
            <w:noWrap/>
          </w:tcPr>
          <w:p w14:paraId="5742B85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5A7B209"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Situri care sunt incluse în rutele culturale</w:t>
            </w:r>
          </w:p>
        </w:tc>
      </w:tr>
      <w:tr w:rsidR="00981F92" w:rsidRPr="000A27B3" w14:paraId="21F9BD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562298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338</w:t>
            </w:r>
          </w:p>
        </w:tc>
        <w:tc>
          <w:tcPr>
            <w:tcW w:w="3544" w:type="dxa"/>
            <w:tcBorders>
              <w:top w:val="nil"/>
              <w:left w:val="nil"/>
              <w:bottom w:val="single" w:sz="4" w:space="0" w:color="auto"/>
              <w:right w:val="single" w:sz="4" w:space="0" w:color="auto"/>
            </w:tcBorders>
            <w:shd w:val="clear" w:color="auto" w:fill="C6EFCE"/>
            <w:noWrap/>
          </w:tcPr>
          <w:p w14:paraId="61E1002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C11.R2</w:t>
            </w:r>
          </w:p>
          <w:p w14:paraId="0FCEE023"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Cadrul pentru operaționalizarea traseelor cicloturistice la nivel național </w:t>
            </w:r>
          </w:p>
        </w:tc>
        <w:tc>
          <w:tcPr>
            <w:tcW w:w="1275" w:type="dxa"/>
            <w:tcBorders>
              <w:top w:val="nil"/>
              <w:left w:val="nil"/>
              <w:bottom w:val="single" w:sz="4" w:space="0" w:color="auto"/>
              <w:right w:val="single" w:sz="4" w:space="0" w:color="auto"/>
            </w:tcBorders>
            <w:shd w:val="clear" w:color="auto" w:fill="C6EFCE"/>
            <w:noWrap/>
          </w:tcPr>
          <w:p w14:paraId="0E7952A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F6432B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cadrului de reglementare privind cicloturismul </w:t>
            </w:r>
          </w:p>
        </w:tc>
      </w:tr>
      <w:tr w:rsidR="00981F92" w:rsidRPr="000A27B3" w14:paraId="79E73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4EEFFC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30</w:t>
            </w:r>
          </w:p>
        </w:tc>
        <w:tc>
          <w:tcPr>
            <w:tcW w:w="3544" w:type="dxa"/>
            <w:tcBorders>
              <w:top w:val="nil"/>
              <w:left w:val="nil"/>
              <w:bottom w:val="single" w:sz="4" w:space="0" w:color="auto"/>
              <w:right w:val="single" w:sz="4" w:space="0" w:color="auto"/>
            </w:tcBorders>
            <w:shd w:val="clear" w:color="auto" w:fill="C6EFCE"/>
            <w:noWrap/>
          </w:tcPr>
          <w:p w14:paraId="5FD72BE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C2.R2</w:t>
            </w:r>
          </w:p>
          <w:p w14:paraId="5CBC99CE"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Reforma sistemului de management al ariilor naturale protejate în vederea implementării coerente și eficace a Strategiei Europene privind biodiversitate</w:t>
            </w:r>
          </w:p>
        </w:tc>
        <w:tc>
          <w:tcPr>
            <w:tcW w:w="1275" w:type="dxa"/>
            <w:tcBorders>
              <w:top w:val="nil"/>
              <w:left w:val="nil"/>
              <w:bottom w:val="single" w:sz="4" w:space="0" w:color="auto"/>
              <w:right w:val="single" w:sz="4" w:space="0" w:color="auto"/>
            </w:tcBorders>
            <w:shd w:val="clear" w:color="auto" w:fill="C6EFCE"/>
            <w:noWrap/>
          </w:tcPr>
          <w:p w14:paraId="4A655FF5"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E1F17F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Intrarea în vigoare a actului normativ pentru înființarea comisiei interinstituționale de analiză a cadrului legal aplicabil sectoarelor cu impact asupra biodiversității </w:t>
            </w:r>
          </w:p>
        </w:tc>
      </w:tr>
      <w:tr w:rsidR="00981F92" w:rsidRPr="000A27B3" w14:paraId="5DFA9C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2A597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97</w:t>
            </w:r>
          </w:p>
        </w:tc>
        <w:tc>
          <w:tcPr>
            <w:tcW w:w="3544" w:type="dxa"/>
            <w:tcBorders>
              <w:top w:val="nil"/>
              <w:left w:val="nil"/>
              <w:bottom w:val="single" w:sz="4" w:space="0" w:color="auto"/>
              <w:right w:val="single" w:sz="4" w:space="0" w:color="auto"/>
            </w:tcBorders>
            <w:shd w:val="clear" w:color="auto" w:fill="C6EFCE"/>
            <w:noWrap/>
          </w:tcPr>
          <w:p w14:paraId="34B699F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5C3DAF5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fondului construit existent</w:t>
            </w:r>
          </w:p>
        </w:tc>
        <w:tc>
          <w:tcPr>
            <w:tcW w:w="1275" w:type="dxa"/>
            <w:tcBorders>
              <w:top w:val="nil"/>
              <w:left w:val="nil"/>
              <w:bottom w:val="single" w:sz="4" w:space="0" w:color="auto"/>
              <w:right w:val="single" w:sz="4" w:space="0" w:color="auto"/>
            </w:tcBorders>
            <w:shd w:val="clear" w:color="auto" w:fill="C6EFCE"/>
            <w:noWrap/>
          </w:tcPr>
          <w:p w14:paraId="457C53D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DA8C0D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Cereri de propuneri pentru renovarea și renovarea integrată în scopul asigurării eficienței energetice (consolidare seismică și eficiență energetică) pentru clădiri rezidențiale</w:t>
            </w:r>
          </w:p>
        </w:tc>
      </w:tr>
      <w:tr w:rsidR="00981F92" w:rsidRPr="000A27B3" w14:paraId="2C890B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261DE2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98</w:t>
            </w:r>
          </w:p>
        </w:tc>
        <w:tc>
          <w:tcPr>
            <w:tcW w:w="3544" w:type="dxa"/>
            <w:tcBorders>
              <w:top w:val="nil"/>
              <w:left w:val="nil"/>
              <w:bottom w:val="single" w:sz="4" w:space="0" w:color="auto"/>
              <w:right w:val="single" w:sz="4" w:space="0" w:color="auto"/>
            </w:tcBorders>
            <w:shd w:val="clear" w:color="auto" w:fill="C6EFCE"/>
            <w:noWrap/>
          </w:tcPr>
          <w:p w14:paraId="2F94334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638095D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fondului construit existent</w:t>
            </w:r>
          </w:p>
        </w:tc>
        <w:tc>
          <w:tcPr>
            <w:tcW w:w="1275" w:type="dxa"/>
            <w:tcBorders>
              <w:top w:val="nil"/>
              <w:left w:val="nil"/>
              <w:bottom w:val="single" w:sz="4" w:space="0" w:color="auto"/>
              <w:right w:val="single" w:sz="4" w:space="0" w:color="auto"/>
            </w:tcBorders>
            <w:shd w:val="clear" w:color="auto" w:fill="C6EFCE"/>
            <w:noWrap/>
          </w:tcPr>
          <w:p w14:paraId="570151E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8AF6A2C" w14:textId="4EA4B8FF" w:rsidR="00981F92" w:rsidRPr="000A27B3" w:rsidRDefault="00981F92">
            <w:pPr>
              <w:spacing w:after="0"/>
              <w:jc w:val="both"/>
              <w:rPr>
                <w:rFonts w:ascii="Times New Roman" w:hAnsi="Times New Roman" w:cs="Times New Roman"/>
                <w:noProof/>
              </w:rPr>
            </w:pPr>
            <w:r>
              <w:rPr>
                <w:rFonts w:ascii="Times New Roman" w:hAnsi="Times New Roman"/>
                <w:noProof/>
              </w:rPr>
              <w:t>Cerere de propuneri de renovare ce vizează asigurarea eficienței energetice și de renovare integrată (consolidare seismică și eficiență energetică) (clădiri publice)</w:t>
            </w:r>
          </w:p>
        </w:tc>
      </w:tr>
      <w:tr w:rsidR="00981F92" w:rsidRPr="000A27B3" w14:paraId="7AC8B9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093AE1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129</w:t>
            </w:r>
          </w:p>
        </w:tc>
        <w:tc>
          <w:tcPr>
            <w:tcW w:w="3544" w:type="dxa"/>
            <w:tcBorders>
              <w:top w:val="nil"/>
              <w:left w:val="nil"/>
              <w:bottom w:val="single" w:sz="4" w:space="0" w:color="auto"/>
              <w:right w:val="single" w:sz="4" w:space="0" w:color="auto"/>
            </w:tcBorders>
            <w:shd w:val="clear" w:color="auto" w:fill="C6EFCE"/>
            <w:noWrap/>
          </w:tcPr>
          <w:p w14:paraId="5C89B7A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C6.I2</w:t>
            </w:r>
          </w:p>
          <w:p w14:paraId="2A57C76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Infrastructura de distribuție a gazelor din surse regenerabile (utilizând gazele naturale în combinație cu hidrogenul verde ca măsură tranzitorie), precum și capacitățile de producție a hidrogenului verde și/sau utilizarea acestuia pentru stocarea energiei electrice</w:t>
            </w:r>
          </w:p>
        </w:tc>
        <w:tc>
          <w:tcPr>
            <w:tcW w:w="1275" w:type="dxa"/>
            <w:tcBorders>
              <w:top w:val="nil"/>
              <w:left w:val="nil"/>
              <w:bottom w:val="single" w:sz="4" w:space="0" w:color="auto"/>
              <w:right w:val="single" w:sz="4" w:space="0" w:color="auto"/>
            </w:tcBorders>
            <w:shd w:val="clear" w:color="auto" w:fill="C6EFCE"/>
            <w:noWrap/>
          </w:tcPr>
          <w:p w14:paraId="0489A1A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F0C028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construirea unei capacități de electrolizoare noi de cel puțin 100 MW</w:t>
            </w:r>
          </w:p>
        </w:tc>
      </w:tr>
      <w:tr w:rsidR="00981F92" w:rsidRPr="000A27B3" w14:paraId="156A25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172C53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133</w:t>
            </w:r>
          </w:p>
        </w:tc>
        <w:tc>
          <w:tcPr>
            <w:tcW w:w="3544" w:type="dxa"/>
            <w:tcBorders>
              <w:top w:val="nil"/>
              <w:left w:val="nil"/>
              <w:bottom w:val="single" w:sz="4" w:space="0" w:color="auto"/>
              <w:right w:val="single" w:sz="4" w:space="0" w:color="auto"/>
            </w:tcBorders>
            <w:shd w:val="clear" w:color="auto" w:fill="C6EFCE"/>
            <w:noWrap/>
          </w:tcPr>
          <w:p w14:paraId="2B037DB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C6.I3</w:t>
            </w:r>
          </w:p>
          <w:p w14:paraId="3FFA56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unei producții combinate de energie termică și energie electrică (CHP) pe gaz flexibile și de înaltă eficiență în sectorul încălzirii centralizate, în vederea atingerii unei decarbonizări adânci</w:t>
            </w:r>
          </w:p>
        </w:tc>
        <w:tc>
          <w:tcPr>
            <w:tcW w:w="1275" w:type="dxa"/>
            <w:tcBorders>
              <w:top w:val="nil"/>
              <w:left w:val="nil"/>
              <w:bottom w:val="single" w:sz="4" w:space="0" w:color="auto"/>
              <w:right w:val="single" w:sz="4" w:space="0" w:color="auto"/>
            </w:tcBorders>
            <w:shd w:val="clear" w:color="auto" w:fill="C6EFCE"/>
            <w:noWrap/>
          </w:tcPr>
          <w:p w14:paraId="01CAF3B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1F52A7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proiecte de cogenerare de înaltă eficiență pe gaz și încălzire centralizată</w:t>
            </w:r>
          </w:p>
        </w:tc>
      </w:tr>
      <w:tr w:rsidR="00981F92" w:rsidRPr="000A27B3" w14:paraId="53A5CB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2487F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140</w:t>
            </w:r>
          </w:p>
        </w:tc>
        <w:tc>
          <w:tcPr>
            <w:tcW w:w="3544" w:type="dxa"/>
            <w:tcBorders>
              <w:top w:val="nil"/>
              <w:left w:val="nil"/>
              <w:bottom w:val="single" w:sz="4" w:space="0" w:color="auto"/>
              <w:right w:val="single" w:sz="4" w:space="0" w:color="auto"/>
            </w:tcBorders>
            <w:shd w:val="clear" w:color="auto" w:fill="C6EFCE"/>
            <w:noWrap/>
          </w:tcPr>
          <w:p w14:paraId="28817FB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C6.I5</w:t>
            </w:r>
          </w:p>
          <w:p w14:paraId="0B0CD5D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eficienței energetice în sectorul industrial</w:t>
            </w:r>
          </w:p>
        </w:tc>
        <w:tc>
          <w:tcPr>
            <w:tcW w:w="1275" w:type="dxa"/>
            <w:tcBorders>
              <w:top w:val="nil"/>
              <w:left w:val="nil"/>
              <w:bottom w:val="single" w:sz="4" w:space="0" w:color="auto"/>
              <w:right w:val="single" w:sz="4" w:space="0" w:color="auto"/>
            </w:tcBorders>
            <w:shd w:val="clear" w:color="auto" w:fill="C6EFCE"/>
            <w:noWrap/>
          </w:tcPr>
          <w:p w14:paraId="06753EF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AFDBF6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Lansarea unei proceduri de ofertare pentru investiții în eficiența energetică în industrie </w:t>
            </w:r>
          </w:p>
        </w:tc>
      </w:tr>
      <w:tr w:rsidR="00981F92" w:rsidRPr="000A27B3" w14:paraId="26858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A6FA27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266</w:t>
            </w:r>
          </w:p>
        </w:tc>
        <w:tc>
          <w:tcPr>
            <w:tcW w:w="3544" w:type="dxa"/>
            <w:tcBorders>
              <w:top w:val="nil"/>
              <w:left w:val="nil"/>
              <w:bottom w:val="single" w:sz="4" w:space="0" w:color="auto"/>
              <w:right w:val="single" w:sz="4" w:space="0" w:color="auto"/>
            </w:tcBorders>
            <w:shd w:val="clear" w:color="auto" w:fill="C6EFCE"/>
            <w:noWrap/>
          </w:tcPr>
          <w:p w14:paraId="47B8560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C9.I4</w:t>
            </w:r>
          </w:p>
          <w:p w14:paraId="05C9C14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Proiecte transfrontaliere și multinaționale – Procesoare cu consum redus de energie și cipuri semiconductoare </w:t>
            </w:r>
          </w:p>
        </w:tc>
        <w:tc>
          <w:tcPr>
            <w:tcW w:w="1275" w:type="dxa"/>
            <w:tcBorders>
              <w:top w:val="nil"/>
              <w:left w:val="nil"/>
              <w:bottom w:val="single" w:sz="4" w:space="0" w:color="auto"/>
              <w:right w:val="single" w:sz="4" w:space="0" w:color="auto"/>
            </w:tcBorders>
            <w:shd w:val="clear" w:color="auto" w:fill="C6EFCE"/>
            <w:noWrap/>
          </w:tcPr>
          <w:p w14:paraId="2808C67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3B29ED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Hotărârii Guvernului prin care se alocă finanțarea necesară de 500 de milioane EUR pentru sprijinirea extinderii capacităților naționale până la prima dezvoltare industrială și participarea la un proiect multinațional.</w:t>
            </w:r>
          </w:p>
        </w:tc>
      </w:tr>
      <w:tr w:rsidR="00981F92" w:rsidRPr="000A27B3" w14:paraId="01ECFA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C10178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307</w:t>
            </w:r>
          </w:p>
        </w:tc>
        <w:tc>
          <w:tcPr>
            <w:tcW w:w="3544" w:type="dxa"/>
            <w:tcBorders>
              <w:top w:val="nil"/>
              <w:left w:val="nil"/>
              <w:bottom w:val="single" w:sz="4" w:space="0" w:color="auto"/>
              <w:right w:val="single" w:sz="4" w:space="0" w:color="auto"/>
            </w:tcBorders>
            <w:shd w:val="clear" w:color="auto" w:fill="C6EFCE"/>
            <w:noWrap/>
          </w:tcPr>
          <w:p w14:paraId="4063A18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C10.R2 </w:t>
            </w:r>
          </w:p>
          <w:p w14:paraId="4939CD2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cadrului de politică pentru o transformare urbană durabilă – Politica urbană a României </w:t>
            </w:r>
          </w:p>
        </w:tc>
        <w:tc>
          <w:tcPr>
            <w:tcW w:w="1275" w:type="dxa"/>
            <w:tcBorders>
              <w:top w:val="nil"/>
              <w:left w:val="nil"/>
              <w:bottom w:val="single" w:sz="4" w:space="0" w:color="auto"/>
              <w:right w:val="single" w:sz="4" w:space="0" w:color="auto"/>
            </w:tcBorders>
            <w:shd w:val="clear" w:color="auto" w:fill="C6EFCE"/>
            <w:noWrap/>
          </w:tcPr>
          <w:p w14:paraId="49813C9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DFD853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zonelor metropolitane</w:t>
            </w:r>
          </w:p>
        </w:tc>
      </w:tr>
      <w:tr w:rsidR="00981F92" w:rsidRPr="000A27B3" w14:paraId="6A534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B4976F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312</w:t>
            </w:r>
          </w:p>
        </w:tc>
        <w:tc>
          <w:tcPr>
            <w:tcW w:w="3544" w:type="dxa"/>
            <w:tcBorders>
              <w:top w:val="nil"/>
              <w:left w:val="nil"/>
              <w:bottom w:val="single" w:sz="4" w:space="0" w:color="auto"/>
              <w:right w:val="single" w:sz="4" w:space="0" w:color="auto"/>
            </w:tcBorders>
            <w:shd w:val="clear" w:color="auto" w:fill="C6EFCE"/>
            <w:noWrap/>
          </w:tcPr>
          <w:p w14:paraId="4C64C18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C10.R4 </w:t>
            </w:r>
          </w:p>
          <w:p w14:paraId="5061885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calității locuințelor </w:t>
            </w:r>
          </w:p>
        </w:tc>
        <w:tc>
          <w:tcPr>
            <w:tcW w:w="1275" w:type="dxa"/>
            <w:tcBorders>
              <w:top w:val="nil"/>
              <w:left w:val="nil"/>
              <w:bottom w:val="single" w:sz="4" w:space="0" w:color="auto"/>
              <w:right w:val="single" w:sz="4" w:space="0" w:color="auto"/>
            </w:tcBorders>
            <w:shd w:val="clear" w:color="auto" w:fill="C6EFCE"/>
            <w:noWrap/>
          </w:tcPr>
          <w:p w14:paraId="48B8A78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EFFE72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actului legislativ de implementare a Strategiei naționale a locuirii și a planului de acțiune de reducere a privării severe de locuință</w:t>
            </w:r>
          </w:p>
        </w:tc>
      </w:tr>
      <w:tr w:rsidR="00981F92" w:rsidRPr="000A27B3" w14:paraId="390422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90ACE2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339</w:t>
            </w:r>
          </w:p>
        </w:tc>
        <w:tc>
          <w:tcPr>
            <w:tcW w:w="3544" w:type="dxa"/>
            <w:tcBorders>
              <w:top w:val="nil"/>
              <w:left w:val="nil"/>
              <w:bottom w:val="single" w:sz="4" w:space="0" w:color="auto"/>
              <w:right w:val="single" w:sz="4" w:space="0" w:color="auto"/>
            </w:tcBorders>
            <w:shd w:val="clear" w:color="auto" w:fill="C6EFCE"/>
            <w:noWrap/>
          </w:tcPr>
          <w:p w14:paraId="4E94750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C11.R2</w:t>
            </w:r>
          </w:p>
          <w:p w14:paraId="30598D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Cadrul pentru operaționalizarea traseelor cicloturistice la nivel național </w:t>
            </w:r>
          </w:p>
        </w:tc>
        <w:tc>
          <w:tcPr>
            <w:tcW w:w="1275" w:type="dxa"/>
            <w:tcBorders>
              <w:top w:val="nil"/>
              <w:left w:val="nil"/>
              <w:bottom w:val="single" w:sz="4" w:space="0" w:color="auto"/>
              <w:right w:val="single" w:sz="4" w:space="0" w:color="auto"/>
            </w:tcBorders>
            <w:shd w:val="clear" w:color="auto" w:fill="C6EFCE"/>
            <w:noWrap/>
          </w:tcPr>
          <w:p w14:paraId="7690249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2D964F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Traseele Centrului Național de Coordonare Velo sunt instituite și operaționale </w:t>
            </w:r>
          </w:p>
        </w:tc>
      </w:tr>
      <w:tr w:rsidR="00981F92" w:rsidRPr="000A27B3" w14:paraId="263DC0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EADDFC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398</w:t>
            </w:r>
          </w:p>
        </w:tc>
        <w:tc>
          <w:tcPr>
            <w:tcW w:w="3544" w:type="dxa"/>
            <w:tcBorders>
              <w:top w:val="nil"/>
              <w:left w:val="nil"/>
              <w:bottom w:val="single" w:sz="4" w:space="0" w:color="auto"/>
              <w:right w:val="single" w:sz="4" w:space="0" w:color="auto"/>
            </w:tcBorders>
            <w:shd w:val="clear" w:color="auto" w:fill="C6EFCE"/>
            <w:noWrap/>
          </w:tcPr>
          <w:p w14:paraId="1F6F82E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C13.R6</w:t>
            </w:r>
          </w:p>
          <w:p w14:paraId="13FCCFA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legislației privind economia socială </w:t>
            </w:r>
          </w:p>
        </w:tc>
        <w:tc>
          <w:tcPr>
            <w:tcW w:w="1275" w:type="dxa"/>
            <w:tcBorders>
              <w:top w:val="nil"/>
              <w:left w:val="nil"/>
              <w:bottom w:val="single" w:sz="4" w:space="0" w:color="auto"/>
              <w:right w:val="single" w:sz="4" w:space="0" w:color="auto"/>
            </w:tcBorders>
            <w:shd w:val="clear" w:color="auto" w:fill="C6EFCE"/>
            <w:noWrap/>
          </w:tcPr>
          <w:p w14:paraId="64B5F77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3E2FE2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modificării Legii nr. 219/2015 privind economia socială și a normelor de aplicare</w:t>
            </w:r>
          </w:p>
        </w:tc>
      </w:tr>
      <w:tr w:rsidR="000A27B3" w:rsidRPr="000A27B3" w14:paraId="7C26BD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A0C7C7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500</w:t>
            </w:r>
          </w:p>
        </w:tc>
        <w:tc>
          <w:tcPr>
            <w:tcW w:w="3544" w:type="dxa"/>
            <w:tcBorders>
              <w:top w:val="nil"/>
              <w:left w:val="nil"/>
              <w:bottom w:val="single" w:sz="4" w:space="0" w:color="auto"/>
              <w:right w:val="single" w:sz="4" w:space="0" w:color="auto"/>
            </w:tcBorders>
            <w:shd w:val="clear" w:color="auto" w:fill="C6EFCE"/>
            <w:noWrap/>
          </w:tcPr>
          <w:p w14:paraId="3C0F39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C15.I16. </w:t>
            </w:r>
          </w:p>
          <w:p w14:paraId="2F2FB20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Digitalizarea universităților și pregătirea acestora pentru profesiile digitale ale viitorului</w:t>
            </w:r>
          </w:p>
        </w:tc>
        <w:tc>
          <w:tcPr>
            <w:tcW w:w="1275" w:type="dxa"/>
            <w:tcBorders>
              <w:top w:val="nil"/>
              <w:left w:val="nil"/>
              <w:bottom w:val="single" w:sz="4" w:space="0" w:color="auto"/>
              <w:right w:val="single" w:sz="4" w:space="0" w:color="auto"/>
            </w:tcBorders>
            <w:shd w:val="clear" w:color="auto" w:fill="C6EFCE"/>
            <w:noWrap/>
          </w:tcPr>
          <w:p w14:paraId="53CE066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1D8259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de granturi destinate centrelor tehnologice inovatoare din universități</w:t>
            </w:r>
          </w:p>
        </w:tc>
      </w:tr>
      <w:tr w:rsidR="00981F92" w:rsidRPr="000A27B3" w14:paraId="4B61BF4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75450CDE"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750BA2F2" w14:textId="77777777" w:rsidR="00981F92" w:rsidRPr="009F1DC7" w:rsidRDefault="00981F92">
            <w:pPr>
              <w:spacing w:after="0"/>
              <w:jc w:val="both"/>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5A77195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26133EED" w14:textId="77777777"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1 080 198 230 EUR</w:t>
            </w:r>
          </w:p>
        </w:tc>
      </w:tr>
    </w:tbl>
    <w:p w14:paraId="7FF49F19" w14:textId="77777777" w:rsidR="00981F92" w:rsidRPr="000A27B3" w:rsidRDefault="00981F92">
      <w:pPr>
        <w:rPr>
          <w:noProof/>
          <w:szCs w:val="24"/>
          <w:vertAlign w:val="subscript"/>
        </w:rPr>
      </w:pPr>
    </w:p>
    <w:p w14:paraId="66886FC6" w14:textId="77777777" w:rsidR="00981F92" w:rsidRPr="000A27B3" w:rsidRDefault="00981F92">
      <w:pPr>
        <w:pStyle w:val="Heading3"/>
        <w:rPr>
          <w:noProof/>
          <w:szCs w:val="24"/>
        </w:rPr>
      </w:pPr>
      <w:r>
        <w:rPr>
          <w:noProof/>
        </w:rPr>
        <w:t xml:space="preserve">A treia tranșă (sprijin sub formă de împrumut): </w:t>
      </w:r>
    </w:p>
    <w:tbl>
      <w:tblPr>
        <w:tblW w:w="9640" w:type="dxa"/>
        <w:tblInd w:w="113" w:type="dxa"/>
        <w:tblLook w:val="04A0" w:firstRow="1" w:lastRow="0" w:firstColumn="1" w:lastColumn="0" w:noHBand="0" w:noVBand="1"/>
      </w:tblPr>
      <w:tblGrid>
        <w:gridCol w:w="1419"/>
        <w:gridCol w:w="3544"/>
        <w:gridCol w:w="1275"/>
        <w:gridCol w:w="3402"/>
      </w:tblGrid>
      <w:tr w:rsidR="00981F92" w:rsidRPr="000A27B3" w14:paraId="33EAAB3A" w14:textId="77777777">
        <w:trPr>
          <w:trHeight w:val="906"/>
          <w:tblHeader/>
        </w:trPr>
        <w:tc>
          <w:tcPr>
            <w:tcW w:w="1419"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B34FC23"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5AB9923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1C2A6CF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2A23F28"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55DA0B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DB74D88" w14:textId="77777777">
        <w:trPr>
          <w:trHeight w:val="509"/>
          <w:tblHeader/>
        </w:trPr>
        <w:tc>
          <w:tcPr>
            <w:tcW w:w="1419" w:type="dxa"/>
            <w:vMerge/>
            <w:tcBorders>
              <w:top w:val="single" w:sz="4" w:space="0" w:color="auto"/>
              <w:left w:val="single" w:sz="4" w:space="0" w:color="auto"/>
              <w:bottom w:val="single" w:sz="4" w:space="0" w:color="000000"/>
              <w:right w:val="single" w:sz="4" w:space="0" w:color="auto"/>
            </w:tcBorders>
            <w:vAlign w:val="center"/>
            <w:hideMark/>
          </w:tcPr>
          <w:p w14:paraId="4CB78C63"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38919446"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3F200E5"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36192543"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49DD7A43"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hideMark/>
          </w:tcPr>
          <w:p w14:paraId="7C26649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43</w:t>
            </w:r>
          </w:p>
        </w:tc>
        <w:tc>
          <w:tcPr>
            <w:tcW w:w="3544" w:type="dxa"/>
            <w:tcBorders>
              <w:top w:val="nil"/>
              <w:left w:val="nil"/>
              <w:bottom w:val="single" w:sz="4" w:space="0" w:color="auto"/>
              <w:right w:val="single" w:sz="4" w:space="0" w:color="auto"/>
            </w:tcBorders>
            <w:shd w:val="clear" w:color="auto" w:fill="C6EFCE"/>
            <w:noWrap/>
            <w:hideMark/>
          </w:tcPr>
          <w:p w14:paraId="67ED332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C3.R1</w:t>
            </w:r>
          </w:p>
          <w:p w14:paraId="11CFE0E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Îmbunătățirea guvernanței în domeniul gestionării deșeurilor în vederea accelerării tranziției către economia circulară </w:t>
            </w:r>
          </w:p>
        </w:tc>
        <w:tc>
          <w:tcPr>
            <w:tcW w:w="1275" w:type="dxa"/>
            <w:tcBorders>
              <w:top w:val="nil"/>
              <w:left w:val="nil"/>
              <w:bottom w:val="single" w:sz="4" w:space="0" w:color="auto"/>
              <w:right w:val="single" w:sz="4" w:space="0" w:color="auto"/>
            </w:tcBorders>
            <w:shd w:val="clear" w:color="auto" w:fill="C6EFCE"/>
            <w:noWrap/>
            <w:hideMark/>
          </w:tcPr>
          <w:p w14:paraId="6EF36B7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0B6F5A07"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Strategiei naționale privind economia circulară</w:t>
            </w:r>
          </w:p>
        </w:tc>
      </w:tr>
      <w:tr w:rsidR="00981F92" w:rsidRPr="000A27B3" w14:paraId="6A9ACBB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0A82D4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46</w:t>
            </w:r>
          </w:p>
        </w:tc>
        <w:tc>
          <w:tcPr>
            <w:tcW w:w="3544" w:type="dxa"/>
            <w:tcBorders>
              <w:top w:val="nil"/>
              <w:left w:val="nil"/>
              <w:bottom w:val="single" w:sz="4" w:space="0" w:color="auto"/>
              <w:right w:val="single" w:sz="4" w:space="0" w:color="auto"/>
            </w:tcBorders>
            <w:shd w:val="clear" w:color="auto" w:fill="C6EFCE"/>
            <w:noWrap/>
          </w:tcPr>
          <w:p w14:paraId="5EDD43C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C3.R1</w:t>
            </w:r>
          </w:p>
          <w:p w14:paraId="697DD4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guvernanței în domeniul gestionării deșeurilor în vederea accelerării tranziției către economia circulară </w:t>
            </w:r>
          </w:p>
        </w:tc>
        <w:tc>
          <w:tcPr>
            <w:tcW w:w="1275" w:type="dxa"/>
            <w:tcBorders>
              <w:top w:val="nil"/>
              <w:left w:val="nil"/>
              <w:bottom w:val="single" w:sz="4" w:space="0" w:color="auto"/>
              <w:right w:val="single" w:sz="4" w:space="0" w:color="auto"/>
            </w:tcBorders>
            <w:shd w:val="clear" w:color="auto" w:fill="C6EFCE"/>
            <w:noWrap/>
          </w:tcPr>
          <w:p w14:paraId="1B3AF25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F70EF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actelor normative necesare pentru operaționalizarea gestionării unitare a deșeurilor în conformitate cu Planul național de gestionare a deșeurilor</w:t>
            </w:r>
          </w:p>
        </w:tc>
      </w:tr>
      <w:tr w:rsidR="000A27B3" w:rsidRPr="000A27B3" w14:paraId="756AA564"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F8660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127</w:t>
            </w:r>
          </w:p>
        </w:tc>
        <w:tc>
          <w:tcPr>
            <w:tcW w:w="3544" w:type="dxa"/>
            <w:tcBorders>
              <w:top w:val="nil"/>
              <w:left w:val="nil"/>
              <w:bottom w:val="single" w:sz="4" w:space="0" w:color="auto"/>
              <w:right w:val="single" w:sz="4" w:space="0" w:color="auto"/>
            </w:tcBorders>
            <w:shd w:val="clear" w:color="auto" w:fill="C6EFCE"/>
            <w:noWrap/>
          </w:tcPr>
          <w:p w14:paraId="712B6F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C6.R5</w:t>
            </w:r>
          </w:p>
          <w:p w14:paraId="2A5AD56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intensității energetice a economiei prin dezvoltarea unui mecanism sustenabil de stimulare a eficienței energetice în industrie </w:t>
            </w:r>
          </w:p>
        </w:tc>
        <w:tc>
          <w:tcPr>
            <w:tcW w:w="1275" w:type="dxa"/>
            <w:tcBorders>
              <w:top w:val="nil"/>
              <w:left w:val="nil"/>
              <w:bottom w:val="single" w:sz="4" w:space="0" w:color="auto"/>
              <w:right w:val="single" w:sz="4" w:space="0" w:color="auto"/>
            </w:tcBorders>
            <w:shd w:val="clear" w:color="auto" w:fill="C6EFCE"/>
            <w:noWrap/>
          </w:tcPr>
          <w:p w14:paraId="79BA0C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180CD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cadrului legislativ care introduce măsuri de facilitare a investițiilor în eficiența energetică în industrie</w:t>
            </w:r>
          </w:p>
        </w:tc>
      </w:tr>
      <w:tr w:rsidR="00981F92" w:rsidRPr="000A27B3" w14:paraId="2056052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5EEBBD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241</w:t>
            </w:r>
          </w:p>
        </w:tc>
        <w:tc>
          <w:tcPr>
            <w:tcW w:w="3544" w:type="dxa"/>
            <w:tcBorders>
              <w:top w:val="nil"/>
              <w:left w:val="nil"/>
              <w:bottom w:val="single" w:sz="4" w:space="0" w:color="auto"/>
              <w:right w:val="single" w:sz="4" w:space="0" w:color="auto"/>
            </w:tcBorders>
            <w:shd w:val="clear" w:color="auto" w:fill="C6EFCE"/>
            <w:noWrap/>
          </w:tcPr>
          <w:p w14:paraId="12AA439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C9.R1</w:t>
            </w:r>
          </w:p>
          <w:p w14:paraId="28EFA8B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Transparentizare legislativă, debirocratizare și simplificare procedurală destinate mediului de afaceri </w:t>
            </w:r>
          </w:p>
        </w:tc>
        <w:tc>
          <w:tcPr>
            <w:tcW w:w="1275" w:type="dxa"/>
            <w:tcBorders>
              <w:top w:val="nil"/>
              <w:left w:val="nil"/>
              <w:bottom w:val="single" w:sz="4" w:space="0" w:color="auto"/>
              <w:right w:val="single" w:sz="4" w:space="0" w:color="auto"/>
            </w:tcBorders>
            <w:shd w:val="clear" w:color="auto" w:fill="C6EFCE"/>
            <w:noWrap/>
          </w:tcPr>
          <w:p w14:paraId="0D28121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54A597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modificărilor legislative menite să raționalizeze, să simplifice și să digitalizeze pe deplin procedurile legate de întreprinderi </w:t>
            </w:r>
          </w:p>
        </w:tc>
      </w:tr>
      <w:tr w:rsidR="00981F92" w:rsidRPr="000A27B3" w14:paraId="5B39808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F10F02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242</w:t>
            </w:r>
          </w:p>
        </w:tc>
        <w:tc>
          <w:tcPr>
            <w:tcW w:w="3544" w:type="dxa"/>
            <w:tcBorders>
              <w:top w:val="nil"/>
              <w:left w:val="nil"/>
              <w:bottom w:val="single" w:sz="4" w:space="0" w:color="auto"/>
              <w:right w:val="single" w:sz="4" w:space="0" w:color="auto"/>
            </w:tcBorders>
            <w:shd w:val="clear" w:color="auto" w:fill="C6EFCE"/>
            <w:noWrap/>
          </w:tcPr>
          <w:p w14:paraId="67DAD8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C9.R1</w:t>
            </w:r>
          </w:p>
          <w:p w14:paraId="51C28E2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Transparentizare legislativă, debirocratizare și simplificare procedurală destinate mediului de afaceri </w:t>
            </w:r>
          </w:p>
        </w:tc>
        <w:tc>
          <w:tcPr>
            <w:tcW w:w="1275" w:type="dxa"/>
            <w:tcBorders>
              <w:top w:val="nil"/>
              <w:left w:val="nil"/>
              <w:bottom w:val="single" w:sz="4" w:space="0" w:color="auto"/>
              <w:right w:val="single" w:sz="4" w:space="0" w:color="auto"/>
            </w:tcBorders>
            <w:shd w:val="clear" w:color="auto" w:fill="C6EFCE"/>
            <w:noWrap/>
          </w:tcPr>
          <w:p w14:paraId="2FD3D21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C2ED1F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modificărilor legislative menite să simplifice și să asigure transparența și aplicabilitatea testului IMM</w:t>
            </w:r>
          </w:p>
        </w:tc>
      </w:tr>
      <w:tr w:rsidR="00981F92" w:rsidRPr="000A27B3" w14:paraId="63391ACE"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80514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328</w:t>
            </w:r>
          </w:p>
        </w:tc>
        <w:tc>
          <w:tcPr>
            <w:tcW w:w="3544" w:type="dxa"/>
            <w:tcBorders>
              <w:top w:val="nil"/>
              <w:left w:val="nil"/>
              <w:bottom w:val="single" w:sz="4" w:space="0" w:color="auto"/>
              <w:right w:val="single" w:sz="4" w:space="0" w:color="auto"/>
            </w:tcBorders>
            <w:shd w:val="clear" w:color="auto" w:fill="C6EFCE"/>
            <w:noWrap/>
          </w:tcPr>
          <w:p w14:paraId="05F2976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C11.R1</w:t>
            </w:r>
          </w:p>
          <w:p w14:paraId="46A7220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Operaționalizarea organizațiilor de management al destinației (OMD-uri)</w:t>
            </w:r>
          </w:p>
        </w:tc>
        <w:tc>
          <w:tcPr>
            <w:tcW w:w="1275" w:type="dxa"/>
            <w:tcBorders>
              <w:top w:val="nil"/>
              <w:left w:val="nil"/>
              <w:bottom w:val="single" w:sz="4" w:space="0" w:color="auto"/>
              <w:right w:val="single" w:sz="4" w:space="0" w:color="auto"/>
            </w:tcBorders>
            <w:shd w:val="clear" w:color="auto" w:fill="C6EFCE"/>
            <w:noWrap/>
          </w:tcPr>
          <w:p w14:paraId="14D08D8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FD255F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cadrului legislativ printr-o hotărâre de guvern, care va include o descriere clară a mecanismului de finanțare pentru sprijinirea dezvoltării rețelei de OMD-uri și un model clar de guvernanță</w:t>
            </w:r>
          </w:p>
        </w:tc>
      </w:tr>
      <w:tr w:rsidR="00981F92" w:rsidRPr="000A27B3" w14:paraId="181CAC8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20C6398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332</w:t>
            </w:r>
          </w:p>
        </w:tc>
        <w:tc>
          <w:tcPr>
            <w:tcW w:w="3544" w:type="dxa"/>
            <w:tcBorders>
              <w:top w:val="nil"/>
              <w:left w:val="nil"/>
              <w:bottom w:val="single" w:sz="4" w:space="0" w:color="auto"/>
              <w:right w:val="single" w:sz="4" w:space="0" w:color="auto"/>
            </w:tcBorders>
            <w:shd w:val="clear" w:color="auto" w:fill="C6EFCE"/>
            <w:noWrap/>
          </w:tcPr>
          <w:p w14:paraId="6F9926E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C11.I1</w:t>
            </w:r>
          </w:p>
          <w:p w14:paraId="6176AE0E" w14:textId="36DBE39A"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Promovarea celor 12 rute turistice/culturale </w:t>
            </w:r>
          </w:p>
        </w:tc>
        <w:tc>
          <w:tcPr>
            <w:tcW w:w="1275" w:type="dxa"/>
            <w:tcBorders>
              <w:top w:val="nil"/>
              <w:left w:val="nil"/>
              <w:bottom w:val="single" w:sz="4" w:space="0" w:color="auto"/>
              <w:right w:val="single" w:sz="4" w:space="0" w:color="auto"/>
            </w:tcBorders>
            <w:shd w:val="clear" w:color="auto" w:fill="C6EFCE"/>
            <w:noWrap/>
          </w:tcPr>
          <w:p w14:paraId="2100413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1D233D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Semnarea contractelor de promovare a celor 12 rute </w:t>
            </w:r>
          </w:p>
        </w:tc>
      </w:tr>
      <w:tr w:rsidR="00981F92" w:rsidRPr="000A27B3" w14:paraId="14A44FF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F13B1E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340</w:t>
            </w:r>
          </w:p>
        </w:tc>
        <w:tc>
          <w:tcPr>
            <w:tcW w:w="3544" w:type="dxa"/>
            <w:tcBorders>
              <w:top w:val="nil"/>
              <w:left w:val="nil"/>
              <w:bottom w:val="single" w:sz="4" w:space="0" w:color="auto"/>
              <w:right w:val="single" w:sz="4" w:space="0" w:color="auto"/>
            </w:tcBorders>
            <w:shd w:val="clear" w:color="auto" w:fill="C6EFCE"/>
            <w:noWrap/>
          </w:tcPr>
          <w:p w14:paraId="519DA6B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C11.R2</w:t>
            </w:r>
          </w:p>
          <w:p w14:paraId="2812921A" w14:textId="1129B5A3" w:rsidR="00981F92" w:rsidRPr="000A27B3" w:rsidRDefault="00981F92">
            <w:pPr>
              <w:spacing w:after="0"/>
              <w:jc w:val="both"/>
              <w:rPr>
                <w:rFonts w:ascii="Times New Roman" w:hAnsi="Times New Roman" w:cs="Times New Roman"/>
                <w:noProof/>
              </w:rPr>
            </w:pPr>
            <w:r>
              <w:rPr>
                <w:rFonts w:ascii="Times New Roman" w:hAnsi="Times New Roman"/>
                <w:noProof/>
              </w:rPr>
              <w:t xml:space="preserve">Cadrul pentru operaționalizarea traseelor cicloturistice la nivel național </w:t>
            </w:r>
          </w:p>
        </w:tc>
        <w:tc>
          <w:tcPr>
            <w:tcW w:w="1275" w:type="dxa"/>
            <w:tcBorders>
              <w:top w:val="nil"/>
              <w:left w:val="nil"/>
              <w:bottom w:val="single" w:sz="4" w:space="0" w:color="auto"/>
              <w:right w:val="single" w:sz="4" w:space="0" w:color="auto"/>
            </w:tcBorders>
            <w:shd w:val="clear" w:color="auto" w:fill="C6EFCE"/>
            <w:noWrap/>
          </w:tcPr>
          <w:p w14:paraId="6B7BC96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6EB86F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Studiu cuprinzător privind distribuția teritorială a traseelor cicloturistice naționale</w:t>
            </w:r>
          </w:p>
        </w:tc>
      </w:tr>
      <w:tr w:rsidR="00981F92" w:rsidRPr="000A27B3" w14:paraId="7E210F34"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E9CD26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341</w:t>
            </w:r>
          </w:p>
        </w:tc>
        <w:tc>
          <w:tcPr>
            <w:tcW w:w="3544" w:type="dxa"/>
            <w:tcBorders>
              <w:top w:val="nil"/>
              <w:left w:val="nil"/>
              <w:bottom w:val="single" w:sz="4" w:space="0" w:color="auto"/>
              <w:right w:val="single" w:sz="4" w:space="0" w:color="auto"/>
            </w:tcBorders>
            <w:shd w:val="clear" w:color="auto" w:fill="C6EFCE"/>
            <w:noWrap/>
          </w:tcPr>
          <w:p w14:paraId="6141B10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C11.I3</w:t>
            </w:r>
          </w:p>
          <w:p w14:paraId="30316F7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Instituirea și operaționalizarea Centrului Național de Coordonare Velo </w:t>
            </w:r>
          </w:p>
        </w:tc>
        <w:tc>
          <w:tcPr>
            <w:tcW w:w="1275" w:type="dxa"/>
            <w:tcBorders>
              <w:top w:val="nil"/>
              <w:left w:val="nil"/>
              <w:bottom w:val="single" w:sz="4" w:space="0" w:color="auto"/>
              <w:right w:val="single" w:sz="4" w:space="0" w:color="auto"/>
            </w:tcBorders>
            <w:shd w:val="clear" w:color="auto" w:fill="C6EFCE"/>
            <w:noWrap/>
          </w:tcPr>
          <w:p w14:paraId="738E608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81AFB2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Platforma națională integrată eVelo și aplicație pentru telefoane inteligente</w:t>
            </w:r>
          </w:p>
        </w:tc>
      </w:tr>
      <w:tr w:rsidR="00981F92" w:rsidRPr="000A27B3" w14:paraId="5C499FB3"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551458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344</w:t>
            </w:r>
          </w:p>
        </w:tc>
        <w:tc>
          <w:tcPr>
            <w:tcW w:w="3544" w:type="dxa"/>
            <w:tcBorders>
              <w:top w:val="nil"/>
              <w:left w:val="nil"/>
              <w:bottom w:val="single" w:sz="4" w:space="0" w:color="auto"/>
              <w:right w:val="single" w:sz="4" w:space="0" w:color="auto"/>
            </w:tcBorders>
            <w:shd w:val="clear" w:color="auto" w:fill="C6EFCE"/>
            <w:noWrap/>
          </w:tcPr>
          <w:p w14:paraId="29E483B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C11.R3</w:t>
            </w:r>
          </w:p>
          <w:p w14:paraId="3E9EB8A3" w14:textId="3F2A6CD3" w:rsidR="00981F92" w:rsidRPr="000A27B3" w:rsidRDefault="00981F92">
            <w:pPr>
              <w:spacing w:after="0"/>
              <w:jc w:val="both"/>
              <w:rPr>
                <w:rFonts w:ascii="Times New Roman" w:hAnsi="Times New Roman" w:cs="Times New Roman"/>
                <w:noProof/>
              </w:rPr>
            </w:pPr>
            <w:r>
              <w:rPr>
                <w:rFonts w:ascii="Times New Roman" w:hAnsi="Times New Roman"/>
                <w:noProof/>
              </w:rPr>
              <w:t>Reformarea sistemului de finanțare a sectorului cultural</w:t>
            </w:r>
            <w:r w:rsidR="004C4C72">
              <w:rPr>
                <w:rFonts w:ascii="Times New Roman" w:hAnsi="Times New Roman"/>
                <w:noProof/>
              </w:rPr>
              <w:t xml:space="preserve"> </w:t>
            </w:r>
          </w:p>
        </w:tc>
        <w:tc>
          <w:tcPr>
            <w:tcW w:w="1275" w:type="dxa"/>
            <w:tcBorders>
              <w:top w:val="nil"/>
              <w:left w:val="nil"/>
              <w:bottom w:val="single" w:sz="4" w:space="0" w:color="auto"/>
              <w:right w:val="single" w:sz="4" w:space="0" w:color="auto"/>
            </w:tcBorders>
            <w:shd w:val="clear" w:color="auto" w:fill="C6EFCE"/>
            <w:noWrap/>
          </w:tcPr>
          <w:p w14:paraId="6A1E09E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D6F92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privind sistemul de finanțare a sectorului cultural</w:t>
            </w:r>
          </w:p>
        </w:tc>
      </w:tr>
      <w:tr w:rsidR="00981F92" w:rsidRPr="000A27B3" w14:paraId="3CB8F93E"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0F806DB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w:t>
            </w:r>
          </w:p>
        </w:tc>
        <w:tc>
          <w:tcPr>
            <w:tcW w:w="3544" w:type="dxa"/>
            <w:tcBorders>
              <w:top w:val="nil"/>
              <w:left w:val="nil"/>
              <w:bottom w:val="single" w:sz="4" w:space="0" w:color="auto"/>
              <w:right w:val="single" w:sz="4" w:space="0" w:color="auto"/>
            </w:tcBorders>
            <w:shd w:val="clear" w:color="auto" w:fill="C6EFCE"/>
            <w:noWrap/>
          </w:tcPr>
          <w:p w14:paraId="4CFD0D1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C1.R1</w:t>
            </w:r>
          </w:p>
          <w:p w14:paraId="22EB49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Consolidarea cadrului de reglementare pentru managementul sustenabil al sectorului de apă și apă uzată și pentru accelerarea accesului populației la servicii de calitate conform directivelor europene</w:t>
            </w:r>
          </w:p>
        </w:tc>
        <w:tc>
          <w:tcPr>
            <w:tcW w:w="1275" w:type="dxa"/>
            <w:tcBorders>
              <w:top w:val="nil"/>
              <w:left w:val="nil"/>
              <w:bottom w:val="single" w:sz="4" w:space="0" w:color="auto"/>
              <w:right w:val="single" w:sz="4" w:space="0" w:color="auto"/>
            </w:tcBorders>
            <w:shd w:val="clear" w:color="auto" w:fill="C6EFCE"/>
            <w:noWrap/>
          </w:tcPr>
          <w:p w14:paraId="3769C50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FB98F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Acorduri de implementare semnate cu autoritățile locale care participă la programul „Prima conectare la apă și canalizare”</w:t>
            </w:r>
          </w:p>
        </w:tc>
      </w:tr>
      <w:tr w:rsidR="00981F92" w:rsidRPr="000A27B3" w14:paraId="3E0924E2"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F3E908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79</w:t>
            </w:r>
          </w:p>
        </w:tc>
        <w:tc>
          <w:tcPr>
            <w:tcW w:w="3544" w:type="dxa"/>
            <w:tcBorders>
              <w:top w:val="nil"/>
              <w:left w:val="nil"/>
              <w:bottom w:val="single" w:sz="4" w:space="0" w:color="auto"/>
              <w:right w:val="single" w:sz="4" w:space="0" w:color="auto"/>
            </w:tcBorders>
            <w:shd w:val="clear" w:color="auto" w:fill="C6EFCE"/>
            <w:noWrap/>
          </w:tcPr>
          <w:p w14:paraId="3E3B25B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C4.R2</w:t>
            </w:r>
          </w:p>
          <w:p w14:paraId="7E22D0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Management performant pentru transport de calitate - Îmbunătățirea capacității instituționale de management și guvernanță corporativă </w:t>
            </w:r>
          </w:p>
        </w:tc>
        <w:tc>
          <w:tcPr>
            <w:tcW w:w="1275" w:type="dxa"/>
            <w:tcBorders>
              <w:top w:val="nil"/>
              <w:left w:val="nil"/>
              <w:bottom w:val="single" w:sz="4" w:space="0" w:color="auto"/>
              <w:right w:val="single" w:sz="4" w:space="0" w:color="auto"/>
            </w:tcBorders>
            <w:shd w:val="clear" w:color="auto" w:fill="C6EFCE"/>
            <w:noWrap/>
          </w:tcPr>
          <w:p w14:paraId="18B0EA7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620A9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Selectarea și numirea membrilor consiliului de administrație al C.N.A.I.R., C.N.I.R, C.F.R., Metrorex, C.F.R. Călători.</w:t>
            </w:r>
          </w:p>
        </w:tc>
      </w:tr>
      <w:tr w:rsidR="00981F92" w:rsidRPr="000A27B3" w14:paraId="37FB7347"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FD8D3E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86</w:t>
            </w:r>
          </w:p>
        </w:tc>
        <w:tc>
          <w:tcPr>
            <w:tcW w:w="3544" w:type="dxa"/>
            <w:tcBorders>
              <w:top w:val="nil"/>
              <w:left w:val="nil"/>
              <w:bottom w:val="single" w:sz="4" w:space="0" w:color="auto"/>
              <w:right w:val="single" w:sz="4" w:space="0" w:color="auto"/>
            </w:tcBorders>
            <w:shd w:val="clear" w:color="auto" w:fill="C6EFCE"/>
            <w:noWrap/>
          </w:tcPr>
          <w:p w14:paraId="3C45608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C4.I4</w:t>
            </w:r>
          </w:p>
          <w:p w14:paraId="4C94728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rețelei de transport cu metroul în municipiile București și Cluj-Napoca </w:t>
            </w:r>
          </w:p>
        </w:tc>
        <w:tc>
          <w:tcPr>
            <w:tcW w:w="1275" w:type="dxa"/>
            <w:tcBorders>
              <w:top w:val="nil"/>
              <w:left w:val="nil"/>
              <w:bottom w:val="single" w:sz="4" w:space="0" w:color="auto"/>
              <w:right w:val="single" w:sz="4" w:space="0" w:color="auto"/>
            </w:tcBorders>
            <w:shd w:val="clear" w:color="auto" w:fill="C6EFCE"/>
            <w:noWrap/>
          </w:tcPr>
          <w:p w14:paraId="75F9B4C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799F29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50 % din lucrări, în urma unor licitații deschise și concurențiale, și obținerea autorizațiilor relevante</w:t>
            </w:r>
          </w:p>
        </w:tc>
      </w:tr>
      <w:tr w:rsidR="00981F92" w:rsidRPr="000A27B3" w14:paraId="469BEBD7"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482330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90</w:t>
            </w:r>
          </w:p>
        </w:tc>
        <w:tc>
          <w:tcPr>
            <w:tcW w:w="3544" w:type="dxa"/>
            <w:tcBorders>
              <w:top w:val="nil"/>
              <w:left w:val="nil"/>
              <w:bottom w:val="single" w:sz="4" w:space="0" w:color="auto"/>
              <w:right w:val="single" w:sz="4" w:space="0" w:color="auto"/>
            </w:tcBorders>
            <w:shd w:val="clear" w:color="auto" w:fill="C6EFCE"/>
            <w:noWrap/>
          </w:tcPr>
          <w:p w14:paraId="51EC4AE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C5.R1</w:t>
            </w:r>
          </w:p>
          <w:p w14:paraId="7102D5C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Realizarea unui cadru normativ simplificat și actualizat care să sprijine implementarea investițiilor în tranziția spre clădiri verzi și reziliente </w:t>
            </w:r>
          </w:p>
        </w:tc>
        <w:tc>
          <w:tcPr>
            <w:tcW w:w="1275" w:type="dxa"/>
            <w:tcBorders>
              <w:top w:val="nil"/>
              <w:left w:val="nil"/>
              <w:bottom w:val="single" w:sz="4" w:space="0" w:color="auto"/>
              <w:right w:val="single" w:sz="4" w:space="0" w:color="auto"/>
            </w:tcBorders>
            <w:shd w:val="clear" w:color="auto" w:fill="C6EFCE"/>
            <w:noWrap/>
          </w:tcPr>
          <w:p w14:paraId="14CF831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7E5D15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modificărilor aduse cadrului legislativ existent privind programul național multianual privind creșterea performanței energetice a blocurilor de locuințe (Ordonanța de urgență a Guvernului nr. 18/2009) </w:t>
            </w:r>
          </w:p>
        </w:tc>
      </w:tr>
      <w:tr w:rsidR="00981F92" w:rsidRPr="000A27B3" w14:paraId="3D6BEC21"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6B361A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91</w:t>
            </w:r>
          </w:p>
        </w:tc>
        <w:tc>
          <w:tcPr>
            <w:tcW w:w="3544" w:type="dxa"/>
            <w:tcBorders>
              <w:top w:val="nil"/>
              <w:left w:val="nil"/>
              <w:bottom w:val="single" w:sz="4" w:space="0" w:color="auto"/>
              <w:right w:val="single" w:sz="4" w:space="0" w:color="auto"/>
            </w:tcBorders>
            <w:shd w:val="clear" w:color="auto" w:fill="C6EFCE"/>
            <w:noWrap/>
          </w:tcPr>
          <w:p w14:paraId="0AB65FF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C5.R1</w:t>
            </w:r>
          </w:p>
          <w:p w14:paraId="118C833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Realizarea unui cadru normativ simplificat și actualizat care să sprijine implementarea investițiilor în tranziția spre clădiri verzi și reziliente </w:t>
            </w:r>
          </w:p>
        </w:tc>
        <w:tc>
          <w:tcPr>
            <w:tcW w:w="1275" w:type="dxa"/>
            <w:tcBorders>
              <w:top w:val="nil"/>
              <w:left w:val="nil"/>
              <w:bottom w:val="single" w:sz="4" w:space="0" w:color="auto"/>
              <w:right w:val="single" w:sz="4" w:space="0" w:color="auto"/>
            </w:tcBorders>
            <w:shd w:val="clear" w:color="auto" w:fill="C6EFCE"/>
            <w:noWrap/>
          </w:tcPr>
          <w:p w14:paraId="569196F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A5942F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Cadrul tehnic de reglementare privind investițiile pentru tranziția către clădiri verzi și digitale este operațional</w:t>
            </w:r>
          </w:p>
        </w:tc>
      </w:tr>
      <w:tr w:rsidR="00981F92" w:rsidRPr="000A27B3" w14:paraId="65712F9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04E905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93</w:t>
            </w:r>
          </w:p>
        </w:tc>
        <w:tc>
          <w:tcPr>
            <w:tcW w:w="3544" w:type="dxa"/>
            <w:tcBorders>
              <w:top w:val="nil"/>
              <w:left w:val="nil"/>
              <w:bottom w:val="single" w:sz="4" w:space="0" w:color="auto"/>
              <w:right w:val="single" w:sz="4" w:space="0" w:color="auto"/>
            </w:tcBorders>
            <w:shd w:val="clear" w:color="auto" w:fill="C6EFCE"/>
            <w:noWrap/>
          </w:tcPr>
          <w:p w14:paraId="110552F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C5.R2</w:t>
            </w:r>
          </w:p>
          <w:p w14:paraId="144BDDD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Cadru strategic, normativ și procedural care să sprijine reziliența seismică a fondului construit</w:t>
            </w:r>
          </w:p>
        </w:tc>
        <w:tc>
          <w:tcPr>
            <w:tcW w:w="1275" w:type="dxa"/>
            <w:tcBorders>
              <w:top w:val="nil"/>
              <w:left w:val="nil"/>
              <w:bottom w:val="single" w:sz="4" w:space="0" w:color="auto"/>
              <w:right w:val="single" w:sz="4" w:space="0" w:color="auto"/>
            </w:tcBorders>
            <w:shd w:val="clear" w:color="auto" w:fill="C6EFCE"/>
            <w:noWrap/>
          </w:tcPr>
          <w:p w14:paraId="3D8B39D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13766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Adoptarea și punerea în aplicare a Strategiei de reducere a riscului seismic pentru reabilitarea seismică a parcului imobiliar existent.</w:t>
            </w:r>
          </w:p>
        </w:tc>
      </w:tr>
      <w:tr w:rsidR="00981F92" w:rsidRPr="000A27B3" w14:paraId="6A7EA728"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23C1D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94</w:t>
            </w:r>
          </w:p>
        </w:tc>
        <w:tc>
          <w:tcPr>
            <w:tcW w:w="3544" w:type="dxa"/>
            <w:tcBorders>
              <w:top w:val="nil"/>
              <w:left w:val="nil"/>
              <w:bottom w:val="single" w:sz="4" w:space="0" w:color="auto"/>
              <w:right w:val="single" w:sz="4" w:space="0" w:color="auto"/>
            </w:tcBorders>
            <w:shd w:val="clear" w:color="auto" w:fill="C6EFCE"/>
            <w:noWrap/>
          </w:tcPr>
          <w:p w14:paraId="1746BF0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C5.R2</w:t>
            </w:r>
          </w:p>
          <w:p w14:paraId="101B65B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Cadru strategic, normativ și procedural care să sprijine reziliența seismică a fondului construit</w:t>
            </w:r>
          </w:p>
        </w:tc>
        <w:tc>
          <w:tcPr>
            <w:tcW w:w="1275" w:type="dxa"/>
            <w:tcBorders>
              <w:top w:val="nil"/>
              <w:left w:val="nil"/>
              <w:bottom w:val="single" w:sz="4" w:space="0" w:color="auto"/>
              <w:right w:val="single" w:sz="4" w:space="0" w:color="auto"/>
            </w:tcBorders>
            <w:shd w:val="clear" w:color="auto" w:fill="C6EFCE"/>
            <w:noWrap/>
          </w:tcPr>
          <w:p w14:paraId="0619956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E84DF7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cadrului legislativ privind reducerea riscului seismic al clădirilor</w:t>
            </w:r>
          </w:p>
        </w:tc>
      </w:tr>
      <w:tr w:rsidR="00981F92" w:rsidRPr="000A27B3" w14:paraId="63CA26A1"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17DFA73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99</w:t>
            </w:r>
          </w:p>
          <w:p w14:paraId="7A1DA75D" w14:textId="77777777" w:rsidR="00981F92" w:rsidRPr="000A27B3" w:rsidRDefault="00981F92">
            <w:pPr>
              <w:spacing w:after="0"/>
              <w:jc w:val="center"/>
              <w:rPr>
                <w:rFonts w:ascii="Times New Roman" w:hAnsi="Times New Roman" w:cs="Times New Roman"/>
                <w:noProof/>
              </w:rPr>
            </w:pPr>
          </w:p>
        </w:tc>
        <w:tc>
          <w:tcPr>
            <w:tcW w:w="3544" w:type="dxa"/>
            <w:tcBorders>
              <w:top w:val="nil"/>
              <w:left w:val="nil"/>
              <w:bottom w:val="single" w:sz="4" w:space="0" w:color="auto"/>
              <w:right w:val="single" w:sz="4" w:space="0" w:color="auto"/>
            </w:tcBorders>
            <w:shd w:val="clear" w:color="auto" w:fill="C6EFCE"/>
            <w:noWrap/>
          </w:tcPr>
          <w:p w14:paraId="5EAA8D3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4FF7C57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fondului construit existent</w:t>
            </w:r>
          </w:p>
        </w:tc>
        <w:tc>
          <w:tcPr>
            <w:tcW w:w="1275" w:type="dxa"/>
            <w:tcBorders>
              <w:top w:val="nil"/>
              <w:left w:val="nil"/>
              <w:bottom w:val="single" w:sz="4" w:space="0" w:color="auto"/>
              <w:right w:val="single" w:sz="4" w:space="0" w:color="auto"/>
            </w:tcBorders>
            <w:shd w:val="clear" w:color="auto" w:fill="C6EFCE"/>
            <w:noWrap/>
          </w:tcPr>
          <w:p w14:paraId="6F5ECA8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28BAF2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de renovare și renovare integrată în vederea asigurării eficienței energetice (consolidare seismică și eficiență energetică) pentru clădiri rezidențiale</w:t>
            </w:r>
          </w:p>
        </w:tc>
      </w:tr>
      <w:tr w:rsidR="00981F92" w:rsidRPr="000A27B3" w14:paraId="74FB971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D38DDA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100</w:t>
            </w:r>
          </w:p>
        </w:tc>
        <w:tc>
          <w:tcPr>
            <w:tcW w:w="3544" w:type="dxa"/>
            <w:tcBorders>
              <w:top w:val="nil"/>
              <w:left w:val="nil"/>
              <w:bottom w:val="single" w:sz="4" w:space="0" w:color="auto"/>
              <w:right w:val="single" w:sz="4" w:space="0" w:color="auto"/>
            </w:tcBorders>
            <w:shd w:val="clear" w:color="auto" w:fill="C6EFCE"/>
            <w:noWrap/>
          </w:tcPr>
          <w:p w14:paraId="699D4B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525FBDA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fondului construit existent</w:t>
            </w:r>
          </w:p>
        </w:tc>
        <w:tc>
          <w:tcPr>
            <w:tcW w:w="1275" w:type="dxa"/>
            <w:tcBorders>
              <w:top w:val="nil"/>
              <w:left w:val="nil"/>
              <w:bottom w:val="single" w:sz="4" w:space="0" w:color="auto"/>
              <w:right w:val="single" w:sz="4" w:space="0" w:color="auto"/>
            </w:tcBorders>
            <w:shd w:val="clear" w:color="auto" w:fill="C6EFCE"/>
            <w:noWrap/>
          </w:tcPr>
          <w:p w14:paraId="3DFC0F0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9D96B7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de renovare și renovare integrată în vederea asigurării eficienței energetice (consolidare seismică și eficiență energetică) pentru clădiri publice</w:t>
            </w:r>
          </w:p>
        </w:tc>
      </w:tr>
      <w:tr w:rsidR="00981F92" w:rsidRPr="000A27B3" w14:paraId="58A989D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2E0C47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243</w:t>
            </w:r>
          </w:p>
        </w:tc>
        <w:tc>
          <w:tcPr>
            <w:tcW w:w="3544" w:type="dxa"/>
            <w:tcBorders>
              <w:top w:val="nil"/>
              <w:left w:val="nil"/>
              <w:bottom w:val="single" w:sz="4" w:space="0" w:color="auto"/>
              <w:right w:val="single" w:sz="4" w:space="0" w:color="auto"/>
            </w:tcBorders>
            <w:shd w:val="clear" w:color="auto" w:fill="C6EFCE"/>
            <w:noWrap/>
          </w:tcPr>
          <w:p w14:paraId="33DE0B8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C9.R1</w:t>
            </w:r>
          </w:p>
          <w:p w14:paraId="686D35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Transparentizare legislativă, debirocratizare și simplificare procedurală destinate mediului de afaceri </w:t>
            </w:r>
          </w:p>
        </w:tc>
        <w:tc>
          <w:tcPr>
            <w:tcW w:w="1275" w:type="dxa"/>
            <w:tcBorders>
              <w:top w:val="nil"/>
              <w:left w:val="nil"/>
              <w:bottom w:val="single" w:sz="4" w:space="0" w:color="auto"/>
              <w:right w:val="single" w:sz="4" w:space="0" w:color="auto"/>
            </w:tcBorders>
            <w:shd w:val="clear" w:color="auto" w:fill="C6EFCE"/>
            <w:noWrap/>
          </w:tcPr>
          <w:p w14:paraId="40A85CD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5FE525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legii „Licenței industriale unice” </w:t>
            </w:r>
          </w:p>
        </w:tc>
      </w:tr>
      <w:tr w:rsidR="000A27B3" w:rsidRPr="000A27B3" w14:paraId="4CA3AF6B"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7B1A5D8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264</w:t>
            </w:r>
          </w:p>
        </w:tc>
        <w:tc>
          <w:tcPr>
            <w:tcW w:w="3544" w:type="dxa"/>
            <w:tcBorders>
              <w:top w:val="nil"/>
              <w:left w:val="nil"/>
              <w:bottom w:val="single" w:sz="4" w:space="0" w:color="auto"/>
              <w:right w:val="single" w:sz="4" w:space="0" w:color="auto"/>
            </w:tcBorders>
            <w:shd w:val="clear" w:color="auto" w:fill="C6EFCE"/>
            <w:noWrap/>
          </w:tcPr>
          <w:p w14:paraId="3D826B5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C9.I3.2 </w:t>
            </w:r>
          </w:p>
          <w:p w14:paraId="4F5BDEA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Scheme de ajutor pentru sectorul privat - Schema de minimis pentru ajutarea firmelor din România în procesul de listare la bursă </w:t>
            </w:r>
          </w:p>
        </w:tc>
        <w:tc>
          <w:tcPr>
            <w:tcW w:w="1275" w:type="dxa"/>
            <w:tcBorders>
              <w:top w:val="nil"/>
              <w:left w:val="nil"/>
              <w:bottom w:val="single" w:sz="4" w:space="0" w:color="auto"/>
              <w:right w:val="single" w:sz="4" w:space="0" w:color="auto"/>
            </w:tcBorders>
            <w:shd w:val="clear" w:color="auto" w:fill="C6EFCE"/>
            <w:noWrap/>
          </w:tcPr>
          <w:p w14:paraId="1279EA3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A1BEEC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Selectarea administratorului schemei</w:t>
            </w:r>
          </w:p>
        </w:tc>
      </w:tr>
      <w:tr w:rsidR="00981F92" w:rsidRPr="000A27B3" w14:paraId="77D56B29"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6304EE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268</w:t>
            </w:r>
          </w:p>
        </w:tc>
        <w:tc>
          <w:tcPr>
            <w:tcW w:w="3544" w:type="dxa"/>
            <w:tcBorders>
              <w:top w:val="nil"/>
              <w:left w:val="nil"/>
              <w:bottom w:val="single" w:sz="4" w:space="0" w:color="auto"/>
              <w:right w:val="single" w:sz="4" w:space="0" w:color="auto"/>
            </w:tcBorders>
            <w:shd w:val="clear" w:color="auto" w:fill="C6EFCE"/>
            <w:noWrap/>
          </w:tcPr>
          <w:p w14:paraId="66509F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C9.I4</w:t>
            </w:r>
          </w:p>
          <w:p w14:paraId="3DFD536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Proiecte transfrontaliere și multinaționale – Procesoare cu consum redus de energie și cipuri semiconductoare </w:t>
            </w:r>
          </w:p>
        </w:tc>
        <w:tc>
          <w:tcPr>
            <w:tcW w:w="1275" w:type="dxa"/>
            <w:tcBorders>
              <w:top w:val="nil"/>
              <w:left w:val="nil"/>
              <w:bottom w:val="single" w:sz="4" w:space="0" w:color="auto"/>
              <w:right w:val="single" w:sz="4" w:space="0" w:color="auto"/>
            </w:tcBorders>
            <w:shd w:val="clear" w:color="auto" w:fill="C6EFCE"/>
            <w:noWrap/>
          </w:tcPr>
          <w:p w14:paraId="3A76446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62A178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Entități din consorțiile care participă la cererile de proiecte ale Întreprinderii Comune Tehnologii Digitale Esențiale (KDT JU)</w:t>
            </w:r>
          </w:p>
        </w:tc>
      </w:tr>
      <w:tr w:rsidR="00981F92" w:rsidRPr="000A27B3" w14:paraId="3F8502D3"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17CEAE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278</w:t>
            </w:r>
          </w:p>
        </w:tc>
        <w:tc>
          <w:tcPr>
            <w:tcW w:w="3544" w:type="dxa"/>
            <w:tcBorders>
              <w:top w:val="nil"/>
              <w:left w:val="nil"/>
              <w:bottom w:val="single" w:sz="4" w:space="0" w:color="auto"/>
              <w:right w:val="single" w:sz="4" w:space="0" w:color="auto"/>
            </w:tcBorders>
            <w:shd w:val="clear" w:color="auto" w:fill="C6EFCE"/>
            <w:noWrap/>
          </w:tcPr>
          <w:p w14:paraId="404D304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C9.R5 </w:t>
            </w:r>
          </w:p>
          <w:p w14:paraId="6C421E1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Sprijin pentru integrarea organizațiilor de cercetare, dezvoltare și inovare din România în Spațiul european de cercetare</w:t>
            </w:r>
          </w:p>
        </w:tc>
        <w:tc>
          <w:tcPr>
            <w:tcW w:w="1275" w:type="dxa"/>
            <w:tcBorders>
              <w:top w:val="nil"/>
              <w:left w:val="nil"/>
              <w:bottom w:val="single" w:sz="4" w:space="0" w:color="auto"/>
              <w:right w:val="single" w:sz="4" w:space="0" w:color="auto"/>
            </w:tcBorders>
            <w:shd w:val="clear" w:color="auto" w:fill="C6EFCE"/>
            <w:noWrap/>
          </w:tcPr>
          <w:p w14:paraId="3F89FDD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BDC5A6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unei legi încurajează, facilitează și reglementează integrarea voluntară și funcțională și fuzionarea instituțiilor de cercetare din România</w:t>
            </w:r>
          </w:p>
        </w:tc>
      </w:tr>
      <w:tr w:rsidR="00981F92" w:rsidRPr="000A27B3" w14:paraId="230D6171"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CCA379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280</w:t>
            </w:r>
          </w:p>
        </w:tc>
        <w:tc>
          <w:tcPr>
            <w:tcW w:w="3544" w:type="dxa"/>
            <w:tcBorders>
              <w:top w:val="nil"/>
              <w:left w:val="nil"/>
              <w:bottom w:val="single" w:sz="4" w:space="0" w:color="auto"/>
              <w:right w:val="single" w:sz="4" w:space="0" w:color="auto"/>
            </w:tcBorders>
            <w:shd w:val="clear" w:color="auto" w:fill="C6EFCE"/>
            <w:noWrap/>
          </w:tcPr>
          <w:p w14:paraId="24C354A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C9.I5 </w:t>
            </w:r>
          </w:p>
          <w:p w14:paraId="7493588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Instituirea și operaționalizarea centrelor de competențe </w:t>
            </w:r>
          </w:p>
        </w:tc>
        <w:tc>
          <w:tcPr>
            <w:tcW w:w="1275" w:type="dxa"/>
            <w:tcBorders>
              <w:top w:val="nil"/>
              <w:left w:val="nil"/>
              <w:bottom w:val="single" w:sz="4" w:space="0" w:color="auto"/>
              <w:right w:val="single" w:sz="4" w:space="0" w:color="auto"/>
            </w:tcBorders>
            <w:shd w:val="clear" w:color="auto" w:fill="C6EFCE"/>
            <w:noWrap/>
          </w:tcPr>
          <w:p w14:paraId="53B7B59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9BE429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a 5 centre de competență</w:t>
            </w:r>
          </w:p>
        </w:tc>
      </w:tr>
      <w:tr w:rsidR="00981F92" w:rsidRPr="000A27B3" w14:paraId="6F9925EE"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535FE39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308</w:t>
            </w:r>
          </w:p>
        </w:tc>
        <w:tc>
          <w:tcPr>
            <w:tcW w:w="3544" w:type="dxa"/>
            <w:tcBorders>
              <w:top w:val="nil"/>
              <w:left w:val="nil"/>
              <w:bottom w:val="single" w:sz="4" w:space="0" w:color="auto"/>
              <w:right w:val="single" w:sz="4" w:space="0" w:color="auto"/>
            </w:tcBorders>
            <w:shd w:val="clear" w:color="auto" w:fill="C6EFCE"/>
            <w:noWrap/>
          </w:tcPr>
          <w:p w14:paraId="20AA48B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C10.R2</w:t>
            </w:r>
          </w:p>
          <w:p w14:paraId="3FB50EF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Crearea cadrului de politică pentru o transformare urbană durabilă</w:t>
            </w:r>
          </w:p>
        </w:tc>
        <w:tc>
          <w:tcPr>
            <w:tcW w:w="1275" w:type="dxa"/>
            <w:tcBorders>
              <w:top w:val="nil"/>
              <w:left w:val="nil"/>
              <w:bottom w:val="single" w:sz="4" w:space="0" w:color="auto"/>
              <w:right w:val="single" w:sz="4" w:space="0" w:color="auto"/>
            </w:tcBorders>
            <w:shd w:val="clear" w:color="auto" w:fill="C6EFCE"/>
            <w:noWrap/>
          </w:tcPr>
          <w:p w14:paraId="200BFC3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6D68A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hotărârii de guvern de instituire a cadrului politicii urbane a României</w:t>
            </w:r>
          </w:p>
        </w:tc>
      </w:tr>
      <w:tr w:rsidR="00981F92" w:rsidRPr="000A27B3" w14:paraId="5BBFE904"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15114C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310</w:t>
            </w:r>
          </w:p>
        </w:tc>
        <w:tc>
          <w:tcPr>
            <w:tcW w:w="3544" w:type="dxa"/>
            <w:tcBorders>
              <w:top w:val="nil"/>
              <w:left w:val="nil"/>
              <w:bottom w:val="single" w:sz="4" w:space="0" w:color="auto"/>
              <w:right w:val="single" w:sz="4" w:space="0" w:color="auto"/>
            </w:tcBorders>
            <w:shd w:val="clear" w:color="auto" w:fill="C6EFCE"/>
            <w:noWrap/>
          </w:tcPr>
          <w:p w14:paraId="7E96A66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C10.R3 </w:t>
            </w:r>
          </w:p>
          <w:p w14:paraId="747A9947" w14:textId="498FFC1E"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unui cadru de politică pentru o transformare rurală durabilă: instituirea de consorții administrative în zonele rurale funcționale </w:t>
            </w:r>
          </w:p>
        </w:tc>
        <w:tc>
          <w:tcPr>
            <w:tcW w:w="1275" w:type="dxa"/>
            <w:tcBorders>
              <w:top w:val="nil"/>
              <w:left w:val="nil"/>
              <w:bottom w:val="single" w:sz="4" w:space="0" w:color="auto"/>
              <w:right w:val="single" w:sz="4" w:space="0" w:color="auto"/>
            </w:tcBorders>
            <w:shd w:val="clear" w:color="auto" w:fill="C6EFCE"/>
            <w:noWrap/>
          </w:tcPr>
          <w:p w14:paraId="1E572D4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171F49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actului legislativ de modificare a Codului administrativ și de instituire a unor consorții administrative în unitățile administrativ-teritoriale rurale sau predominant rurale învecinate, existente ca zone rurale funcționale</w:t>
            </w:r>
          </w:p>
        </w:tc>
      </w:tr>
      <w:tr w:rsidR="00981F92" w:rsidRPr="000A27B3" w14:paraId="2D5DD326"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C5B1AD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317</w:t>
            </w:r>
          </w:p>
        </w:tc>
        <w:tc>
          <w:tcPr>
            <w:tcW w:w="3544" w:type="dxa"/>
            <w:tcBorders>
              <w:top w:val="nil"/>
              <w:left w:val="nil"/>
              <w:bottom w:val="single" w:sz="4" w:space="0" w:color="auto"/>
              <w:right w:val="single" w:sz="4" w:space="0" w:color="auto"/>
            </w:tcBorders>
            <w:shd w:val="clear" w:color="auto" w:fill="C6EFCE"/>
            <w:noWrap/>
          </w:tcPr>
          <w:p w14:paraId="7E21828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C10.I2 </w:t>
            </w:r>
          </w:p>
          <w:p w14:paraId="66990F0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de locuințe pentru tineri și pentru specialiști din sănătate și învățământ</w:t>
            </w:r>
          </w:p>
        </w:tc>
        <w:tc>
          <w:tcPr>
            <w:tcW w:w="1275" w:type="dxa"/>
            <w:tcBorders>
              <w:top w:val="nil"/>
              <w:left w:val="nil"/>
              <w:bottom w:val="single" w:sz="4" w:space="0" w:color="auto"/>
              <w:right w:val="single" w:sz="4" w:space="0" w:color="auto"/>
            </w:tcBorders>
            <w:shd w:val="clear" w:color="auto" w:fill="C6EFCE"/>
            <w:noWrap/>
          </w:tcPr>
          <w:p w14:paraId="18E2F40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5B8CB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Semnarea tuturor contractelor de achiziții publice pentru construirea de locuințe pentru tinerii care provin din comunități și grupuri vulnerabile, pentru locuințe de urgență și pentru specialiști din sănătate și învățământ din zonele urbane sau rurale </w:t>
            </w:r>
          </w:p>
        </w:tc>
      </w:tr>
      <w:tr w:rsidR="00981F92" w:rsidRPr="000A27B3" w14:paraId="6F9BF5BA"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037A2D0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320</w:t>
            </w:r>
          </w:p>
        </w:tc>
        <w:tc>
          <w:tcPr>
            <w:tcW w:w="3544" w:type="dxa"/>
            <w:tcBorders>
              <w:top w:val="nil"/>
              <w:left w:val="nil"/>
              <w:bottom w:val="single" w:sz="4" w:space="0" w:color="auto"/>
              <w:right w:val="single" w:sz="4" w:space="0" w:color="auto"/>
            </w:tcBorders>
            <w:shd w:val="clear" w:color="auto" w:fill="C6EFCE"/>
            <w:noWrap/>
          </w:tcPr>
          <w:p w14:paraId="011E1F5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C10.I3 </w:t>
            </w:r>
          </w:p>
          <w:p w14:paraId="7BA41B9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Reabilitarea moderată a clădirilor publice pentru a îmbunătăți furnizarea de servicii publice de către unitățile administrativ-teritoriale </w:t>
            </w:r>
          </w:p>
        </w:tc>
        <w:tc>
          <w:tcPr>
            <w:tcW w:w="1275" w:type="dxa"/>
            <w:tcBorders>
              <w:top w:val="nil"/>
              <w:left w:val="nil"/>
              <w:bottom w:val="single" w:sz="4" w:space="0" w:color="auto"/>
              <w:right w:val="single" w:sz="4" w:space="0" w:color="auto"/>
            </w:tcBorders>
            <w:shd w:val="clear" w:color="auto" w:fill="C6EFCE"/>
            <w:noWrap/>
          </w:tcPr>
          <w:p w14:paraId="61C4A19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F78FD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renovarea moderată a clădirilor publice</w:t>
            </w:r>
          </w:p>
        </w:tc>
      </w:tr>
      <w:tr w:rsidR="00981F92" w:rsidRPr="000A27B3" w14:paraId="27AB0BDB"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4D2EDBD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323</w:t>
            </w:r>
          </w:p>
        </w:tc>
        <w:tc>
          <w:tcPr>
            <w:tcW w:w="3544" w:type="dxa"/>
            <w:tcBorders>
              <w:top w:val="nil"/>
              <w:left w:val="nil"/>
              <w:bottom w:val="single" w:sz="4" w:space="0" w:color="auto"/>
              <w:right w:val="single" w:sz="4" w:space="0" w:color="auto"/>
            </w:tcBorders>
            <w:shd w:val="clear" w:color="auto" w:fill="C6EFCE"/>
            <w:noWrap/>
          </w:tcPr>
          <w:p w14:paraId="19B4263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C10.I4</w:t>
            </w:r>
          </w:p>
          <w:p w14:paraId="2F2AC96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Elaborarea/actualizarea în format GIS a documentelor de amenajare a teritoriului și de urbanism </w:t>
            </w:r>
          </w:p>
        </w:tc>
        <w:tc>
          <w:tcPr>
            <w:tcW w:w="1275" w:type="dxa"/>
            <w:tcBorders>
              <w:top w:val="nil"/>
              <w:left w:val="nil"/>
              <w:bottom w:val="single" w:sz="4" w:space="0" w:color="auto"/>
              <w:right w:val="single" w:sz="4" w:space="0" w:color="auto"/>
            </w:tcBorders>
            <w:shd w:val="clear" w:color="auto" w:fill="C6EFCE"/>
            <w:noWrap/>
          </w:tcPr>
          <w:p w14:paraId="177E0BF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99E443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elaborarea/actualizarea documentelor de amenajare a teritoriului și de urbanism și a planurilor de mobilitate urbană durabilă</w:t>
            </w:r>
          </w:p>
        </w:tc>
      </w:tr>
      <w:tr w:rsidR="00981F92" w:rsidRPr="000A27B3" w14:paraId="0C68481F" w14:textId="77777777">
        <w:trPr>
          <w:trHeight w:val="302"/>
        </w:trPr>
        <w:tc>
          <w:tcPr>
            <w:tcW w:w="1419" w:type="dxa"/>
            <w:tcBorders>
              <w:top w:val="nil"/>
              <w:left w:val="single" w:sz="4" w:space="0" w:color="auto"/>
              <w:bottom w:val="single" w:sz="4" w:space="0" w:color="auto"/>
              <w:right w:val="single" w:sz="4" w:space="0" w:color="auto"/>
            </w:tcBorders>
            <w:shd w:val="clear" w:color="auto" w:fill="C6EFCE"/>
            <w:noWrap/>
          </w:tcPr>
          <w:p w14:paraId="67F2944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342</w:t>
            </w:r>
          </w:p>
        </w:tc>
        <w:tc>
          <w:tcPr>
            <w:tcW w:w="3544" w:type="dxa"/>
            <w:tcBorders>
              <w:top w:val="nil"/>
              <w:left w:val="nil"/>
              <w:bottom w:val="single" w:sz="4" w:space="0" w:color="auto"/>
              <w:right w:val="single" w:sz="4" w:space="0" w:color="auto"/>
            </w:tcBorders>
            <w:shd w:val="clear" w:color="auto" w:fill="C6EFCE"/>
            <w:noWrap/>
          </w:tcPr>
          <w:p w14:paraId="602FE2E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C11.I4</w:t>
            </w:r>
            <w:r>
              <w:rPr>
                <w:rFonts w:ascii="Times New Roman" w:hAnsi="Times New Roman"/>
                <w:noProof/>
              </w:rPr>
              <w:br/>
              <w:t>Implementarea a 3 000 km de piste pentru biciclete</w:t>
            </w:r>
          </w:p>
        </w:tc>
        <w:tc>
          <w:tcPr>
            <w:tcW w:w="1275" w:type="dxa"/>
            <w:tcBorders>
              <w:top w:val="nil"/>
              <w:left w:val="nil"/>
              <w:bottom w:val="single" w:sz="4" w:space="0" w:color="auto"/>
              <w:right w:val="single" w:sz="4" w:space="0" w:color="auto"/>
            </w:tcBorders>
            <w:shd w:val="clear" w:color="auto" w:fill="C6EFCE"/>
            <w:noWrap/>
          </w:tcPr>
          <w:p w14:paraId="281F9F3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02BD3C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Semnarea contractelor privind pistele pentru biciclete </w:t>
            </w:r>
          </w:p>
        </w:tc>
      </w:tr>
      <w:tr w:rsidR="000A27B3" w:rsidRPr="000A27B3" w14:paraId="2F94D9C1" w14:textId="77777777">
        <w:trPr>
          <w:trHeight w:val="1201"/>
        </w:trPr>
        <w:tc>
          <w:tcPr>
            <w:tcW w:w="1419" w:type="dxa"/>
            <w:tcBorders>
              <w:top w:val="nil"/>
              <w:left w:val="single" w:sz="4" w:space="0" w:color="auto"/>
              <w:bottom w:val="single" w:sz="4" w:space="0" w:color="auto"/>
              <w:right w:val="single" w:sz="4" w:space="0" w:color="auto"/>
            </w:tcBorders>
            <w:shd w:val="clear" w:color="auto" w:fill="C6EFCE"/>
            <w:noWrap/>
          </w:tcPr>
          <w:p w14:paraId="17A3840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399</w:t>
            </w:r>
          </w:p>
        </w:tc>
        <w:tc>
          <w:tcPr>
            <w:tcW w:w="3544" w:type="dxa"/>
            <w:tcBorders>
              <w:top w:val="nil"/>
              <w:left w:val="nil"/>
              <w:bottom w:val="single" w:sz="4" w:space="0" w:color="auto"/>
              <w:right w:val="single" w:sz="4" w:space="0" w:color="auto"/>
            </w:tcBorders>
            <w:shd w:val="clear" w:color="auto" w:fill="C6EFCE"/>
            <w:noWrap/>
          </w:tcPr>
          <w:p w14:paraId="770D1EA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C13.R7</w:t>
            </w:r>
          </w:p>
          <w:p w14:paraId="4D5D5D7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Reforma serviciilor de îngrijire pe termen lung pentru persoanele în vârstă</w:t>
            </w:r>
          </w:p>
        </w:tc>
        <w:tc>
          <w:tcPr>
            <w:tcW w:w="1275" w:type="dxa"/>
            <w:tcBorders>
              <w:top w:val="nil"/>
              <w:left w:val="nil"/>
              <w:bottom w:val="single" w:sz="4" w:space="0" w:color="auto"/>
              <w:right w:val="single" w:sz="4" w:space="0" w:color="auto"/>
            </w:tcBorders>
            <w:shd w:val="clear" w:color="auto" w:fill="C6EFCE"/>
            <w:noWrap/>
          </w:tcPr>
          <w:p w14:paraId="11D7304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vAlign w:val="center"/>
          </w:tcPr>
          <w:p w14:paraId="0764581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unei legi pentru adoptarea și implementarea Strategiei naționale privind îngrijirea pe termen lung</w:t>
            </w:r>
          </w:p>
        </w:tc>
      </w:tr>
      <w:tr w:rsidR="00981F92" w:rsidRPr="000A27B3" w14:paraId="1B620F84" w14:textId="77777777">
        <w:trPr>
          <w:trHeight w:val="302"/>
        </w:trPr>
        <w:tc>
          <w:tcPr>
            <w:tcW w:w="1419" w:type="dxa"/>
            <w:tcBorders>
              <w:top w:val="single" w:sz="4" w:space="0" w:color="auto"/>
              <w:left w:val="single" w:sz="4" w:space="0" w:color="auto"/>
              <w:bottom w:val="single" w:sz="4" w:space="0" w:color="auto"/>
              <w:right w:val="single" w:sz="4" w:space="0" w:color="auto"/>
            </w:tcBorders>
            <w:shd w:val="clear" w:color="auto" w:fill="C6EFCE"/>
            <w:noWrap/>
          </w:tcPr>
          <w:p w14:paraId="61FE4D64" w14:textId="77777777" w:rsidR="00981F92" w:rsidRPr="000A27B3" w:rsidRDefault="00981F92">
            <w:pPr>
              <w:spacing w:after="0"/>
              <w:jc w:val="center"/>
              <w:rPr>
                <w:rFonts w:ascii="Times New Roman" w:eastAsia="Times New Roman" w:hAnsi="Times New Roman" w:cs="Times New Roman"/>
                <w:noProof/>
                <w:lang w:val="en-IE"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73EBCF3D" w14:textId="77777777" w:rsidR="00981F92" w:rsidRPr="000A27B3" w:rsidRDefault="00981F92">
            <w:pPr>
              <w:spacing w:after="0"/>
              <w:jc w:val="both"/>
              <w:rPr>
                <w:rFonts w:ascii="Times New Roman" w:eastAsia="Times New Roman" w:hAnsi="Times New Roman" w:cs="Times New Roman"/>
                <w:noProof/>
                <w:lang w:val="en-IE"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387A562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48485E9A" w14:textId="645DFB3D"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811 026 482 EUR </w:t>
            </w:r>
          </w:p>
        </w:tc>
      </w:tr>
    </w:tbl>
    <w:p w14:paraId="1BF9FF11" w14:textId="77777777" w:rsidR="00981F92" w:rsidRPr="000A27B3" w:rsidRDefault="00981F92">
      <w:pPr>
        <w:pStyle w:val="NumPar2"/>
        <w:tabs>
          <w:tab w:val="clear" w:pos="850"/>
        </w:tabs>
        <w:ind w:firstLine="0"/>
        <w:rPr>
          <w:noProof/>
          <w:szCs w:val="24"/>
        </w:rPr>
      </w:pPr>
    </w:p>
    <w:p w14:paraId="60BAE6EC" w14:textId="77777777" w:rsidR="00981F92" w:rsidRPr="000A27B3" w:rsidRDefault="00981F92">
      <w:pPr>
        <w:pStyle w:val="Heading3"/>
        <w:rPr>
          <w:noProof/>
          <w:szCs w:val="24"/>
        </w:rPr>
      </w:pPr>
      <w:r>
        <w:rPr>
          <w:noProof/>
        </w:rPr>
        <w:t xml:space="preserve">A patra tranșă (sprijin sub formă de împrumut):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393543C4"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D39CAF7"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D2C60C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1A88FC9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144E3DD1"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18A62710"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2B55910A"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4B757D76"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755AE7BD" w14:textId="77777777" w:rsidR="00981F92" w:rsidRPr="000A27B3" w:rsidRDefault="00981F92">
            <w:pPr>
              <w:spacing w:after="0"/>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B792FA0" w14:textId="77777777" w:rsidR="00981F92" w:rsidRPr="000A27B3" w:rsidRDefault="00981F92">
            <w:pPr>
              <w:spacing w:after="0"/>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3324F19B"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0AB5AD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0CA9FC49"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41</w:t>
            </w:r>
          </w:p>
        </w:tc>
        <w:tc>
          <w:tcPr>
            <w:tcW w:w="3544" w:type="dxa"/>
            <w:tcBorders>
              <w:top w:val="nil"/>
              <w:left w:val="nil"/>
              <w:bottom w:val="single" w:sz="4" w:space="0" w:color="auto"/>
              <w:right w:val="single" w:sz="4" w:space="0" w:color="auto"/>
            </w:tcBorders>
            <w:shd w:val="clear" w:color="auto" w:fill="C6EFCE"/>
            <w:noWrap/>
            <w:hideMark/>
          </w:tcPr>
          <w:p w14:paraId="7040333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C2.I5 </w:t>
            </w:r>
          </w:p>
          <w:p w14:paraId="69F9B5B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Investiții în sisteme integrate de reducere a riscurilor cauzate de viiturile torențiale din bazinele forestiere expuse unor astfel de fenomene </w:t>
            </w:r>
          </w:p>
        </w:tc>
        <w:tc>
          <w:tcPr>
            <w:tcW w:w="1275" w:type="dxa"/>
            <w:tcBorders>
              <w:top w:val="nil"/>
              <w:left w:val="nil"/>
              <w:bottom w:val="single" w:sz="4" w:space="0" w:color="auto"/>
              <w:right w:val="single" w:sz="4" w:space="0" w:color="auto"/>
            </w:tcBorders>
            <w:shd w:val="clear" w:color="auto" w:fill="C6EFCE"/>
            <w:noWrap/>
            <w:hideMark/>
          </w:tcPr>
          <w:p w14:paraId="2BBE4877"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3DEEBC2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Adoptarea conceptelor de proiect</w:t>
            </w:r>
          </w:p>
        </w:tc>
      </w:tr>
      <w:tr w:rsidR="00981F92" w:rsidRPr="000A27B3" w14:paraId="4E3730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6D3354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108</w:t>
            </w:r>
          </w:p>
        </w:tc>
        <w:tc>
          <w:tcPr>
            <w:tcW w:w="3544" w:type="dxa"/>
            <w:tcBorders>
              <w:top w:val="nil"/>
              <w:left w:val="nil"/>
              <w:bottom w:val="single" w:sz="4" w:space="0" w:color="auto"/>
              <w:right w:val="single" w:sz="4" w:space="0" w:color="auto"/>
            </w:tcBorders>
            <w:shd w:val="clear" w:color="auto" w:fill="C6EFCE"/>
            <w:noWrap/>
          </w:tcPr>
          <w:p w14:paraId="1FAF062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C5.I3</w:t>
            </w:r>
          </w:p>
          <w:p w14:paraId="188C1D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Consolidarea capacității profesionale a specialiștilor și lucrătorilor în domeniul construcțiilor prin elaborarea de cursuri de formare privind eficiența energetică a construcțiilor </w:t>
            </w:r>
          </w:p>
        </w:tc>
        <w:tc>
          <w:tcPr>
            <w:tcW w:w="1275" w:type="dxa"/>
            <w:tcBorders>
              <w:top w:val="nil"/>
              <w:left w:val="nil"/>
              <w:bottom w:val="single" w:sz="4" w:space="0" w:color="auto"/>
              <w:right w:val="single" w:sz="4" w:space="0" w:color="auto"/>
            </w:tcBorders>
            <w:shd w:val="clear" w:color="auto" w:fill="C6EFCE"/>
            <w:noWrap/>
          </w:tcPr>
          <w:p w14:paraId="5241552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F6B9B7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unor scheme de certificare în domeniul performanței energetice a clădirilor</w:t>
            </w:r>
          </w:p>
        </w:tc>
      </w:tr>
      <w:tr w:rsidR="00981F92" w:rsidRPr="000A27B3" w14:paraId="4FE61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53CCB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126</w:t>
            </w:r>
          </w:p>
        </w:tc>
        <w:tc>
          <w:tcPr>
            <w:tcW w:w="3544" w:type="dxa"/>
            <w:tcBorders>
              <w:top w:val="nil"/>
              <w:left w:val="nil"/>
              <w:bottom w:val="single" w:sz="4" w:space="0" w:color="auto"/>
              <w:right w:val="single" w:sz="4" w:space="0" w:color="auto"/>
            </w:tcBorders>
            <w:shd w:val="clear" w:color="auto" w:fill="C6EFCE"/>
            <w:noWrap/>
          </w:tcPr>
          <w:p w14:paraId="47E08CB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C6.R4</w:t>
            </w:r>
          </w:p>
          <w:p w14:paraId="0C82862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unui cadru legislativ și de reglementare favorabil tehnologiilor viitorului, în special hidrogen și soluții de stocare </w:t>
            </w:r>
          </w:p>
        </w:tc>
        <w:tc>
          <w:tcPr>
            <w:tcW w:w="1275" w:type="dxa"/>
            <w:tcBorders>
              <w:top w:val="nil"/>
              <w:left w:val="nil"/>
              <w:bottom w:val="single" w:sz="4" w:space="0" w:color="auto"/>
              <w:right w:val="single" w:sz="4" w:space="0" w:color="auto"/>
            </w:tcBorders>
            <w:shd w:val="clear" w:color="auto" w:fill="C6EFCE"/>
            <w:noWrap/>
          </w:tcPr>
          <w:p w14:paraId="066202F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919051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modificărilor aduse cadrului legislativ, implementarea Strategiei naționale privind hidrogenul </w:t>
            </w:r>
          </w:p>
        </w:tc>
      </w:tr>
      <w:tr w:rsidR="00981F92" w:rsidRPr="000A27B3" w14:paraId="364037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81914A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334</w:t>
            </w:r>
          </w:p>
        </w:tc>
        <w:tc>
          <w:tcPr>
            <w:tcW w:w="3544" w:type="dxa"/>
            <w:tcBorders>
              <w:top w:val="nil"/>
              <w:left w:val="nil"/>
              <w:bottom w:val="single" w:sz="4" w:space="0" w:color="auto"/>
              <w:right w:val="single" w:sz="4" w:space="0" w:color="auto"/>
            </w:tcBorders>
            <w:shd w:val="clear" w:color="auto" w:fill="C6EFCE"/>
            <w:noWrap/>
          </w:tcPr>
          <w:p w14:paraId="053A49E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C11.I1</w:t>
            </w:r>
          </w:p>
          <w:p w14:paraId="2831C05E" w14:textId="16F81453"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Promovarea celor 12 rute turistice/culturale </w:t>
            </w:r>
          </w:p>
        </w:tc>
        <w:tc>
          <w:tcPr>
            <w:tcW w:w="1275" w:type="dxa"/>
            <w:tcBorders>
              <w:top w:val="nil"/>
              <w:left w:val="nil"/>
              <w:bottom w:val="single" w:sz="4" w:space="0" w:color="auto"/>
              <w:right w:val="single" w:sz="4" w:space="0" w:color="auto"/>
            </w:tcBorders>
            <w:shd w:val="clear" w:color="auto" w:fill="C6EFCE"/>
            <w:noWrap/>
          </w:tcPr>
          <w:p w14:paraId="17AD986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9BBD751" w14:textId="77777777" w:rsidR="00981F92" w:rsidRPr="000A27B3" w:rsidRDefault="00981F92">
            <w:pPr>
              <w:spacing w:after="0" w:line="240" w:lineRule="auto"/>
              <w:jc w:val="both"/>
              <w:rPr>
                <w:rFonts w:ascii="Times New Roman" w:hAnsi="Times New Roman" w:cs="Times New Roman"/>
                <w:noProof/>
              </w:rPr>
            </w:pPr>
            <w:r>
              <w:rPr>
                <w:rFonts w:ascii="Times New Roman" w:hAnsi="Times New Roman"/>
                <w:noProof/>
              </w:rPr>
              <w:t xml:space="preserve">Semnarea contractelor pentru lucrările de restaurare/renovare a siturilor incluse în cele 12 rute culturale </w:t>
            </w:r>
          </w:p>
        </w:tc>
      </w:tr>
      <w:tr w:rsidR="00981F92" w:rsidRPr="000A27B3" w14:paraId="4736AE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AFA3D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336</w:t>
            </w:r>
          </w:p>
        </w:tc>
        <w:tc>
          <w:tcPr>
            <w:tcW w:w="3544" w:type="dxa"/>
            <w:tcBorders>
              <w:top w:val="nil"/>
              <w:left w:val="nil"/>
              <w:bottom w:val="single" w:sz="4" w:space="0" w:color="auto"/>
              <w:right w:val="single" w:sz="4" w:space="0" w:color="auto"/>
            </w:tcBorders>
            <w:shd w:val="clear" w:color="auto" w:fill="C6EFCE"/>
            <w:noWrap/>
          </w:tcPr>
          <w:p w14:paraId="652C85C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C11.I2</w:t>
            </w:r>
          </w:p>
          <w:p w14:paraId="78142E7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Modernizarea/crearea de muzee și memoriale</w:t>
            </w:r>
          </w:p>
        </w:tc>
        <w:tc>
          <w:tcPr>
            <w:tcW w:w="1275" w:type="dxa"/>
            <w:tcBorders>
              <w:top w:val="nil"/>
              <w:left w:val="nil"/>
              <w:bottom w:val="single" w:sz="4" w:space="0" w:color="auto"/>
              <w:right w:val="single" w:sz="4" w:space="0" w:color="auto"/>
            </w:tcBorders>
            <w:shd w:val="clear" w:color="auto" w:fill="C6EFCE"/>
            <w:noWrap/>
          </w:tcPr>
          <w:p w14:paraId="3947F7B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8F6981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lucrările de construcție ale muzeelor</w:t>
            </w:r>
          </w:p>
        </w:tc>
      </w:tr>
      <w:tr w:rsidR="00981F92" w:rsidRPr="000A27B3" w14:paraId="40A337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BF61C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345</w:t>
            </w:r>
          </w:p>
        </w:tc>
        <w:tc>
          <w:tcPr>
            <w:tcW w:w="3544" w:type="dxa"/>
            <w:tcBorders>
              <w:top w:val="nil"/>
              <w:left w:val="nil"/>
              <w:bottom w:val="single" w:sz="4" w:space="0" w:color="auto"/>
              <w:right w:val="single" w:sz="4" w:space="0" w:color="auto"/>
            </w:tcBorders>
            <w:shd w:val="clear" w:color="auto" w:fill="C6EFCE"/>
            <w:noWrap/>
          </w:tcPr>
          <w:p w14:paraId="2416758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C11.R3</w:t>
            </w:r>
          </w:p>
          <w:p w14:paraId="0CA73694" w14:textId="1078AA97" w:rsidR="00981F92" w:rsidRPr="000A27B3" w:rsidRDefault="00981F92">
            <w:pPr>
              <w:spacing w:after="0"/>
              <w:jc w:val="both"/>
              <w:rPr>
                <w:rFonts w:ascii="Times New Roman" w:hAnsi="Times New Roman" w:cs="Times New Roman"/>
                <w:noProof/>
              </w:rPr>
            </w:pPr>
            <w:r>
              <w:rPr>
                <w:rFonts w:ascii="Times New Roman" w:hAnsi="Times New Roman"/>
                <w:noProof/>
              </w:rPr>
              <w:t>Reformarea sistemului de finanțare a sectorului cultural</w:t>
            </w:r>
            <w:r w:rsidR="004C4C72">
              <w:rPr>
                <w:rFonts w:ascii="Times New Roman" w:hAnsi="Times New Roman"/>
                <w:noProof/>
              </w:rPr>
              <w:t xml:space="preserve"> </w:t>
            </w:r>
          </w:p>
        </w:tc>
        <w:tc>
          <w:tcPr>
            <w:tcW w:w="1275" w:type="dxa"/>
            <w:tcBorders>
              <w:top w:val="nil"/>
              <w:left w:val="nil"/>
              <w:bottom w:val="single" w:sz="4" w:space="0" w:color="auto"/>
              <w:right w:val="single" w:sz="4" w:space="0" w:color="auto"/>
            </w:tcBorders>
            <w:shd w:val="clear" w:color="auto" w:fill="C6EFCE"/>
            <w:noWrap/>
          </w:tcPr>
          <w:p w14:paraId="05E5754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ED0F06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legii privind statutul lucrătorilor din sectorul cultural</w:t>
            </w:r>
          </w:p>
        </w:tc>
      </w:tr>
      <w:tr w:rsidR="00981F92" w:rsidRPr="000A27B3" w14:paraId="5D06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50857CD8"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346</w:t>
            </w:r>
          </w:p>
        </w:tc>
        <w:tc>
          <w:tcPr>
            <w:tcW w:w="3544" w:type="dxa"/>
            <w:tcBorders>
              <w:top w:val="nil"/>
              <w:left w:val="nil"/>
              <w:bottom w:val="single" w:sz="4" w:space="0" w:color="auto"/>
              <w:right w:val="single" w:sz="4" w:space="0" w:color="auto"/>
            </w:tcBorders>
            <w:shd w:val="clear" w:color="auto" w:fill="C6EFCE"/>
            <w:noWrap/>
            <w:hideMark/>
          </w:tcPr>
          <w:p w14:paraId="2C133E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C11.I5</w:t>
            </w:r>
          </w:p>
          <w:p w14:paraId="794786D8" w14:textId="03523488"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Sporirea accesului la cultură în zonele defavorizate din punct de vedere cultural </w:t>
            </w:r>
          </w:p>
        </w:tc>
        <w:tc>
          <w:tcPr>
            <w:tcW w:w="1275" w:type="dxa"/>
            <w:tcBorders>
              <w:top w:val="nil"/>
              <w:left w:val="nil"/>
              <w:bottom w:val="single" w:sz="4" w:space="0" w:color="auto"/>
              <w:right w:val="single" w:sz="4" w:space="0" w:color="auto"/>
            </w:tcBorders>
            <w:shd w:val="clear" w:color="auto" w:fill="C6EFCE"/>
            <w:noWrap/>
            <w:hideMark/>
          </w:tcPr>
          <w:p w14:paraId="480D00C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hideMark/>
          </w:tcPr>
          <w:p w14:paraId="35E2E8B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Semnarea contractelor de finanțare</w:t>
            </w:r>
          </w:p>
        </w:tc>
      </w:tr>
      <w:tr w:rsidR="00981F92" w:rsidRPr="000A27B3" w14:paraId="5B0FE2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B30AB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16</w:t>
            </w:r>
          </w:p>
        </w:tc>
        <w:tc>
          <w:tcPr>
            <w:tcW w:w="3544" w:type="dxa"/>
            <w:tcBorders>
              <w:top w:val="nil"/>
              <w:left w:val="nil"/>
              <w:bottom w:val="single" w:sz="4" w:space="0" w:color="auto"/>
              <w:right w:val="single" w:sz="4" w:space="0" w:color="auto"/>
            </w:tcBorders>
            <w:shd w:val="clear" w:color="auto" w:fill="C6EFCE"/>
            <w:noWrap/>
          </w:tcPr>
          <w:p w14:paraId="20AF177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C1.I4.2 </w:t>
            </w:r>
          </w:p>
          <w:p w14:paraId="7823721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Reabilitarea acumulărilor existente care necesită intervenții de urgență pentru exploatarea în condiții de siguranță </w:t>
            </w:r>
          </w:p>
        </w:tc>
        <w:tc>
          <w:tcPr>
            <w:tcW w:w="1275" w:type="dxa"/>
            <w:tcBorders>
              <w:top w:val="nil"/>
              <w:left w:val="nil"/>
              <w:bottom w:val="single" w:sz="4" w:space="0" w:color="auto"/>
              <w:right w:val="single" w:sz="4" w:space="0" w:color="auto"/>
            </w:tcBorders>
            <w:shd w:val="clear" w:color="auto" w:fill="C6EFCE"/>
            <w:noWrap/>
          </w:tcPr>
          <w:p w14:paraId="02DDAC7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D2EE4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Adoptarea conceptului de proiect prin hotărâre de guvern/ordin ministerial, după caz </w:t>
            </w:r>
          </w:p>
        </w:tc>
      </w:tr>
      <w:tr w:rsidR="00981F92" w:rsidRPr="000A27B3" w14:paraId="24884B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708FD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80</w:t>
            </w:r>
          </w:p>
        </w:tc>
        <w:tc>
          <w:tcPr>
            <w:tcW w:w="3544" w:type="dxa"/>
            <w:tcBorders>
              <w:top w:val="nil"/>
              <w:left w:val="nil"/>
              <w:bottom w:val="single" w:sz="4" w:space="0" w:color="auto"/>
              <w:right w:val="single" w:sz="4" w:space="0" w:color="auto"/>
            </w:tcBorders>
            <w:shd w:val="clear" w:color="auto" w:fill="C6EFCE"/>
            <w:noWrap/>
          </w:tcPr>
          <w:p w14:paraId="784B361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C4.R2</w:t>
            </w:r>
          </w:p>
          <w:p w14:paraId="786734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Management performant pentru transport de calitate - Îmbunătățirea capacității instituționale de management și guvernanță corporativă</w:t>
            </w:r>
          </w:p>
        </w:tc>
        <w:tc>
          <w:tcPr>
            <w:tcW w:w="1275" w:type="dxa"/>
            <w:tcBorders>
              <w:top w:val="nil"/>
              <w:left w:val="nil"/>
              <w:bottom w:val="single" w:sz="4" w:space="0" w:color="auto"/>
              <w:right w:val="single" w:sz="4" w:space="0" w:color="auto"/>
            </w:tcBorders>
            <w:shd w:val="clear" w:color="auto" w:fill="C6EFCE"/>
            <w:noWrap/>
          </w:tcPr>
          <w:p w14:paraId="2A5F714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A8AA92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Punerea în aplicare a principalelor recomandări de creștere a performanței financiare și operaționale a C.N.A.I.R., C.N.I.R., C.F.R., C.F.R. Călători și Metrorex</w:t>
            </w:r>
          </w:p>
        </w:tc>
      </w:tr>
      <w:tr w:rsidR="00981F92" w:rsidRPr="000A27B3" w14:paraId="462794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BD7BDF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248</w:t>
            </w:r>
          </w:p>
        </w:tc>
        <w:tc>
          <w:tcPr>
            <w:tcW w:w="3544" w:type="dxa"/>
            <w:tcBorders>
              <w:top w:val="nil"/>
              <w:left w:val="nil"/>
              <w:bottom w:val="single" w:sz="4" w:space="0" w:color="auto"/>
              <w:right w:val="single" w:sz="4" w:space="0" w:color="auto"/>
            </w:tcBorders>
            <w:shd w:val="clear" w:color="auto" w:fill="C6EFCE"/>
            <w:noWrap/>
          </w:tcPr>
          <w:p w14:paraId="3E9F88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C9.I2.1</w:t>
            </w:r>
          </w:p>
          <w:p w14:paraId="0936BE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Instrumente financiare pentru sectorul privat – Garanția de portofoliu pentru reziliență </w:t>
            </w:r>
          </w:p>
        </w:tc>
        <w:tc>
          <w:tcPr>
            <w:tcW w:w="1275" w:type="dxa"/>
            <w:tcBorders>
              <w:top w:val="nil"/>
              <w:left w:val="nil"/>
              <w:bottom w:val="single" w:sz="4" w:space="0" w:color="auto"/>
              <w:right w:val="single" w:sz="4" w:space="0" w:color="auto"/>
            </w:tcBorders>
            <w:shd w:val="clear" w:color="auto" w:fill="C6EFCE"/>
            <w:noWrap/>
          </w:tcPr>
          <w:p w14:paraId="1423AF3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80580B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 de finanțare sau de investiții în valoare de cel puțin 50 % din cuantumul total al resurselor alocate instrumentului, aprobate de Comitetul pentru investiții al InvestEU</w:t>
            </w:r>
          </w:p>
        </w:tc>
      </w:tr>
      <w:tr w:rsidR="00981F92" w:rsidRPr="000A27B3" w14:paraId="7B4D00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77E3F3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251</w:t>
            </w:r>
          </w:p>
        </w:tc>
        <w:tc>
          <w:tcPr>
            <w:tcW w:w="3544" w:type="dxa"/>
            <w:tcBorders>
              <w:top w:val="nil"/>
              <w:left w:val="nil"/>
              <w:bottom w:val="single" w:sz="4" w:space="0" w:color="auto"/>
              <w:right w:val="single" w:sz="4" w:space="0" w:color="auto"/>
            </w:tcBorders>
            <w:shd w:val="clear" w:color="auto" w:fill="C6EFCE"/>
            <w:noWrap/>
          </w:tcPr>
          <w:p w14:paraId="414B8F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C9.I2.2 </w:t>
            </w:r>
          </w:p>
          <w:p w14:paraId="0AD674E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Instrumente financiare pentru sectorul privat – Garanția de portofoliu pentru acțiune climatică </w:t>
            </w:r>
          </w:p>
        </w:tc>
        <w:tc>
          <w:tcPr>
            <w:tcW w:w="1275" w:type="dxa"/>
            <w:tcBorders>
              <w:top w:val="nil"/>
              <w:left w:val="nil"/>
              <w:bottom w:val="single" w:sz="4" w:space="0" w:color="auto"/>
              <w:right w:val="single" w:sz="4" w:space="0" w:color="auto"/>
            </w:tcBorders>
            <w:shd w:val="clear" w:color="auto" w:fill="C6EFCE"/>
            <w:noWrap/>
          </w:tcPr>
          <w:p w14:paraId="60502FB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7F4453B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 de finanțare sau de investiții în valoare de cel puțin 50 % din cuantumul total al resurselor alocate instrumentului, aprobate de Comitetul pentru investiții al InvestEU</w:t>
            </w:r>
          </w:p>
        </w:tc>
      </w:tr>
      <w:tr w:rsidR="00981F92" w:rsidRPr="000A27B3" w14:paraId="27D7EF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0F96D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260</w:t>
            </w:r>
          </w:p>
        </w:tc>
        <w:tc>
          <w:tcPr>
            <w:tcW w:w="3544" w:type="dxa"/>
            <w:tcBorders>
              <w:top w:val="nil"/>
              <w:left w:val="nil"/>
              <w:bottom w:val="single" w:sz="4" w:space="0" w:color="auto"/>
              <w:right w:val="single" w:sz="4" w:space="0" w:color="auto"/>
            </w:tcBorders>
            <w:shd w:val="clear" w:color="auto" w:fill="C6EFCE"/>
            <w:noWrap/>
          </w:tcPr>
          <w:p w14:paraId="751B0FE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C9.I2.5 </w:t>
            </w:r>
          </w:p>
          <w:p w14:paraId="2A3EABB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Instrumente financiare pentru sectorul privat – Investiții în eficiență energetică în sectorul rezidențial și al clădirilor </w:t>
            </w:r>
          </w:p>
        </w:tc>
        <w:tc>
          <w:tcPr>
            <w:tcW w:w="1275" w:type="dxa"/>
            <w:tcBorders>
              <w:top w:val="nil"/>
              <w:left w:val="nil"/>
              <w:bottom w:val="single" w:sz="4" w:space="0" w:color="auto"/>
              <w:right w:val="single" w:sz="4" w:space="0" w:color="auto"/>
            </w:tcBorders>
            <w:shd w:val="clear" w:color="auto" w:fill="C6EFCE"/>
            <w:noWrap/>
          </w:tcPr>
          <w:p w14:paraId="414DB94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DC9F56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 de finanțare sau de investiții în valoare de cel puțin 50 % din cuantumul total al fondurilor sau al investițiilor vizate, aprobate de Comitetul pentru investiții al InvestEU</w:t>
            </w:r>
          </w:p>
        </w:tc>
      </w:tr>
      <w:tr w:rsidR="00981F92" w:rsidRPr="000A27B3" w14:paraId="4C2AAD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203F4A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273</w:t>
            </w:r>
          </w:p>
        </w:tc>
        <w:tc>
          <w:tcPr>
            <w:tcW w:w="3544" w:type="dxa"/>
            <w:tcBorders>
              <w:top w:val="nil"/>
              <w:left w:val="nil"/>
              <w:bottom w:val="single" w:sz="4" w:space="0" w:color="auto"/>
              <w:right w:val="single" w:sz="4" w:space="0" w:color="auto"/>
            </w:tcBorders>
            <w:shd w:val="clear" w:color="auto" w:fill="C6EFCE"/>
            <w:noWrap/>
          </w:tcPr>
          <w:p w14:paraId="0CCD6D6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C9.R2 </w:t>
            </w:r>
          </w:p>
          <w:p w14:paraId="3FEBE8B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Raționalizarea guvernanței în domeniul cercetării, dezvoltării și inovării </w:t>
            </w:r>
          </w:p>
        </w:tc>
        <w:tc>
          <w:tcPr>
            <w:tcW w:w="1275" w:type="dxa"/>
            <w:tcBorders>
              <w:top w:val="nil"/>
              <w:left w:val="nil"/>
              <w:bottom w:val="single" w:sz="4" w:space="0" w:color="auto"/>
              <w:right w:val="single" w:sz="4" w:space="0" w:color="auto"/>
            </w:tcBorders>
            <w:shd w:val="clear" w:color="auto" w:fill="C6EFCE"/>
            <w:noWrap/>
          </w:tcPr>
          <w:p w14:paraId="584C2A9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D0BE3A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Ordonanței de Guvern de instituire a unui organism unic care să înglobeze consiliile existente, să asigure coordonarea interministerială și să comunice cu sectorul privat</w:t>
            </w:r>
          </w:p>
        </w:tc>
      </w:tr>
      <w:tr w:rsidR="00981F92" w:rsidRPr="000A27B3" w14:paraId="6B8537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429A4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286</w:t>
            </w:r>
          </w:p>
        </w:tc>
        <w:tc>
          <w:tcPr>
            <w:tcW w:w="3544" w:type="dxa"/>
            <w:tcBorders>
              <w:top w:val="nil"/>
              <w:left w:val="nil"/>
              <w:bottom w:val="single" w:sz="4" w:space="0" w:color="auto"/>
              <w:right w:val="single" w:sz="4" w:space="0" w:color="auto"/>
            </w:tcBorders>
            <w:shd w:val="clear" w:color="auto" w:fill="C6EFCE"/>
            <w:noWrap/>
          </w:tcPr>
          <w:p w14:paraId="422449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C9.I10 </w:t>
            </w:r>
          </w:p>
          <w:p w14:paraId="051A87A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Înființarea și susținerea financiară a unei rețele naționale de opt centre regionale de orientare în carieră ca parte a ERA TALENT PLATFORM</w:t>
            </w:r>
          </w:p>
        </w:tc>
        <w:tc>
          <w:tcPr>
            <w:tcW w:w="1275" w:type="dxa"/>
            <w:tcBorders>
              <w:top w:val="nil"/>
              <w:left w:val="nil"/>
              <w:bottom w:val="single" w:sz="4" w:space="0" w:color="auto"/>
              <w:right w:val="single" w:sz="4" w:space="0" w:color="auto"/>
            </w:tcBorders>
            <w:shd w:val="clear" w:color="auto" w:fill="C6EFCE"/>
            <w:noWrap/>
          </w:tcPr>
          <w:p w14:paraId="65D2A0A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C6A0D1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 rețea de universități publice care găzduiesc și operaționalizează 8 centre de orientare în cariera de cercetător</w:t>
            </w:r>
          </w:p>
        </w:tc>
      </w:tr>
      <w:tr w:rsidR="00981F92" w:rsidRPr="000A27B3" w14:paraId="0400F8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0A26A9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315</w:t>
            </w:r>
          </w:p>
        </w:tc>
        <w:tc>
          <w:tcPr>
            <w:tcW w:w="3544" w:type="dxa"/>
            <w:tcBorders>
              <w:top w:val="nil"/>
              <w:left w:val="nil"/>
              <w:bottom w:val="single" w:sz="4" w:space="0" w:color="auto"/>
              <w:right w:val="single" w:sz="4" w:space="0" w:color="auto"/>
            </w:tcBorders>
            <w:shd w:val="clear" w:color="auto" w:fill="C6EFCE"/>
            <w:noWrap/>
          </w:tcPr>
          <w:p w14:paraId="21DF704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C10.R5 </w:t>
            </w:r>
          </w:p>
          <w:p w14:paraId="13E33CC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sistemului de planificare – Codul amenajării teritoriului, urbanismului și construcțiilor</w:t>
            </w:r>
          </w:p>
        </w:tc>
        <w:tc>
          <w:tcPr>
            <w:tcW w:w="1275" w:type="dxa"/>
            <w:tcBorders>
              <w:top w:val="nil"/>
              <w:left w:val="nil"/>
              <w:bottom w:val="single" w:sz="4" w:space="0" w:color="auto"/>
              <w:right w:val="single" w:sz="4" w:space="0" w:color="auto"/>
            </w:tcBorders>
            <w:shd w:val="clear" w:color="auto" w:fill="C6EFCE"/>
            <w:noWrap/>
          </w:tcPr>
          <w:p w14:paraId="0F9F176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55188F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Codului amenajării teritoriului, urbanismului și construcțiilor </w:t>
            </w:r>
          </w:p>
        </w:tc>
      </w:tr>
      <w:tr w:rsidR="000A27B3" w:rsidRPr="000A27B3" w14:paraId="54092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452AE7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316</w:t>
            </w:r>
          </w:p>
        </w:tc>
        <w:tc>
          <w:tcPr>
            <w:tcW w:w="3544" w:type="dxa"/>
            <w:tcBorders>
              <w:top w:val="nil"/>
              <w:left w:val="nil"/>
              <w:bottom w:val="single" w:sz="4" w:space="0" w:color="auto"/>
              <w:right w:val="single" w:sz="4" w:space="0" w:color="auto"/>
            </w:tcBorders>
            <w:shd w:val="clear" w:color="auto" w:fill="C6EFCE"/>
            <w:noWrap/>
          </w:tcPr>
          <w:p w14:paraId="62FCF71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C10.R5 </w:t>
            </w:r>
          </w:p>
          <w:p w14:paraId="1D9FBC4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sistemului de planificare – Codul amenajării teritoriului, urbanismului și construcțiilor</w:t>
            </w:r>
          </w:p>
        </w:tc>
        <w:tc>
          <w:tcPr>
            <w:tcW w:w="1275" w:type="dxa"/>
            <w:tcBorders>
              <w:top w:val="nil"/>
              <w:left w:val="nil"/>
              <w:bottom w:val="single" w:sz="4" w:space="0" w:color="auto"/>
              <w:right w:val="single" w:sz="4" w:space="0" w:color="auto"/>
            </w:tcBorders>
            <w:shd w:val="clear" w:color="auto" w:fill="C6EFCE"/>
            <w:noWrap/>
          </w:tcPr>
          <w:p w14:paraId="14065C2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30A7A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Punerea în funcțiune a platformei de date digitale urbane interoperabile (componentă a Observatorului teritorial) </w:t>
            </w:r>
          </w:p>
        </w:tc>
      </w:tr>
      <w:tr w:rsidR="00981F92" w:rsidRPr="000A27B3" w14:paraId="742F6D1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7DD60385" w14:textId="77777777" w:rsidR="00981F92" w:rsidRPr="009F1DC7" w:rsidRDefault="00981F92">
            <w:pPr>
              <w:spacing w:after="0"/>
              <w:jc w:val="center"/>
              <w:rPr>
                <w:rFonts w:ascii="Times New Roman" w:hAnsi="Times New Roman" w:cs="Times New Roman"/>
                <w:noProof/>
                <w:lang w:val="fr-FR"/>
              </w:rPr>
            </w:pPr>
          </w:p>
        </w:tc>
        <w:tc>
          <w:tcPr>
            <w:tcW w:w="3544" w:type="dxa"/>
            <w:tcBorders>
              <w:top w:val="single" w:sz="4" w:space="0" w:color="auto"/>
              <w:left w:val="nil"/>
              <w:bottom w:val="single" w:sz="4" w:space="0" w:color="auto"/>
              <w:right w:val="single" w:sz="4" w:space="0" w:color="auto"/>
            </w:tcBorders>
            <w:shd w:val="clear" w:color="auto" w:fill="C6EFCE"/>
            <w:noWrap/>
          </w:tcPr>
          <w:p w14:paraId="1651FBDB" w14:textId="77777777" w:rsidR="00981F92" w:rsidRPr="009F1DC7" w:rsidRDefault="00981F92">
            <w:pPr>
              <w:spacing w:after="0"/>
              <w:rPr>
                <w:rFonts w:ascii="Times New Roman" w:hAnsi="Times New Roman" w:cs="Times New Roman"/>
                <w:noProof/>
                <w:lang w:val="fr-FR"/>
              </w:rPr>
            </w:pPr>
          </w:p>
        </w:tc>
        <w:tc>
          <w:tcPr>
            <w:tcW w:w="1275" w:type="dxa"/>
            <w:tcBorders>
              <w:top w:val="single" w:sz="4" w:space="0" w:color="auto"/>
              <w:left w:val="nil"/>
              <w:bottom w:val="single" w:sz="4" w:space="0" w:color="auto"/>
              <w:right w:val="single" w:sz="4" w:space="0" w:color="auto"/>
            </w:tcBorders>
            <w:shd w:val="clear" w:color="auto" w:fill="C6EFCE"/>
            <w:noWrap/>
          </w:tcPr>
          <w:p w14:paraId="6237C1D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tcPr>
          <w:p w14:paraId="10137726" w14:textId="77777777" w:rsidR="00981F92" w:rsidRPr="000A27B3" w:rsidRDefault="00981F92">
            <w:pPr>
              <w:spacing w:after="0"/>
              <w:jc w:val="both"/>
              <w:rPr>
                <w:rFonts w:ascii="Times New Roman" w:eastAsia="Times New Roman" w:hAnsi="Times New Roman" w:cs="Times New Roman"/>
                <w:noProof/>
                <w:lang w:eastAsia="en-GB"/>
              </w:rPr>
            </w:pPr>
          </w:p>
          <w:p w14:paraId="55CEA8D2" w14:textId="047C3924" w:rsidR="00981F92" w:rsidRPr="000A27B3" w:rsidRDefault="00981F92">
            <w:pPr>
              <w:spacing w:after="0"/>
              <w:jc w:val="right"/>
              <w:rPr>
                <w:rFonts w:ascii="Times New Roman" w:hAnsi="Times New Roman" w:cs="Times New Roman"/>
                <w:noProof/>
              </w:rPr>
            </w:pPr>
            <w:r>
              <w:rPr>
                <w:rFonts w:ascii="Times New Roman" w:hAnsi="Times New Roman"/>
                <w:noProof/>
              </w:rPr>
              <w:t>1 677 245 690 EUR</w:t>
            </w:r>
          </w:p>
        </w:tc>
      </w:tr>
    </w:tbl>
    <w:p w14:paraId="5A78B4F0" w14:textId="77777777" w:rsidR="00981F92" w:rsidRPr="000A27B3" w:rsidRDefault="00981F92">
      <w:pPr>
        <w:pStyle w:val="NumPar2"/>
        <w:tabs>
          <w:tab w:val="clear" w:pos="850"/>
        </w:tabs>
        <w:ind w:firstLine="0"/>
        <w:rPr>
          <w:noProof/>
          <w:szCs w:val="24"/>
        </w:rPr>
      </w:pPr>
      <w:r>
        <w:rPr>
          <w:noProof/>
        </w:rPr>
        <w:br w:type="page"/>
      </w:r>
    </w:p>
    <w:p w14:paraId="63C25432" w14:textId="77777777" w:rsidR="00981F92" w:rsidRPr="000A27B3" w:rsidRDefault="00981F92">
      <w:pPr>
        <w:pStyle w:val="Heading3"/>
        <w:rPr>
          <w:noProof/>
          <w:szCs w:val="24"/>
        </w:rPr>
      </w:pPr>
      <w:r>
        <w:rPr>
          <w:noProof/>
        </w:rPr>
        <w:t xml:space="preserve">A cincea tranșă (sprijin sub formă de împrumut): </w:t>
      </w:r>
    </w:p>
    <w:tbl>
      <w:tblPr>
        <w:tblW w:w="9634" w:type="dxa"/>
        <w:tblInd w:w="113" w:type="dxa"/>
        <w:tblLook w:val="04A0" w:firstRow="1" w:lastRow="0" w:firstColumn="1" w:lastColumn="0" w:noHBand="0" w:noVBand="1"/>
      </w:tblPr>
      <w:tblGrid>
        <w:gridCol w:w="1413"/>
        <w:gridCol w:w="3544"/>
        <w:gridCol w:w="1275"/>
        <w:gridCol w:w="3402"/>
      </w:tblGrid>
      <w:tr w:rsidR="00981F92" w:rsidRPr="000A27B3" w14:paraId="573B262F" w14:textId="77777777">
        <w:trPr>
          <w:trHeight w:val="905"/>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124E96B"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701B6CE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672D111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6F563EA"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02"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4F06E990"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4215B659"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334AFFE"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675071B9"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427A6DE" w14:textId="77777777" w:rsidR="00981F92" w:rsidRPr="000A27B3" w:rsidRDefault="00981F92">
            <w:pPr>
              <w:spacing w:after="0"/>
              <w:rPr>
                <w:rFonts w:ascii="Times New Roman" w:eastAsia="Times New Roman" w:hAnsi="Times New Roman" w:cs="Times New Roman"/>
                <w:b/>
                <w:bCs/>
                <w:noProof/>
                <w:lang w:eastAsia="en-GB"/>
              </w:rPr>
            </w:pPr>
          </w:p>
        </w:tc>
        <w:tc>
          <w:tcPr>
            <w:tcW w:w="3402" w:type="dxa"/>
            <w:vMerge/>
            <w:tcBorders>
              <w:top w:val="single" w:sz="4" w:space="0" w:color="auto"/>
              <w:left w:val="nil"/>
              <w:bottom w:val="single" w:sz="4" w:space="0" w:color="000000"/>
              <w:right w:val="single" w:sz="4" w:space="0" w:color="auto"/>
            </w:tcBorders>
            <w:vAlign w:val="center"/>
            <w:hideMark/>
          </w:tcPr>
          <w:p w14:paraId="50395243"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6CB70C30"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12449C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44</w:t>
            </w:r>
          </w:p>
        </w:tc>
        <w:tc>
          <w:tcPr>
            <w:tcW w:w="3544" w:type="dxa"/>
            <w:tcBorders>
              <w:top w:val="nil"/>
              <w:left w:val="nil"/>
              <w:bottom w:val="single" w:sz="4" w:space="0" w:color="auto"/>
              <w:right w:val="single" w:sz="4" w:space="0" w:color="auto"/>
            </w:tcBorders>
            <w:shd w:val="clear" w:color="auto" w:fill="C6EFCE"/>
            <w:noWrap/>
          </w:tcPr>
          <w:p w14:paraId="482FF75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C3.R1</w:t>
            </w:r>
          </w:p>
          <w:p w14:paraId="732FC0F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guvernanței în domeniul gestionării deșeurilor în vederea accelerării tranziției către economia circulară </w:t>
            </w:r>
          </w:p>
        </w:tc>
        <w:tc>
          <w:tcPr>
            <w:tcW w:w="1275" w:type="dxa"/>
            <w:tcBorders>
              <w:top w:val="nil"/>
              <w:left w:val="nil"/>
              <w:bottom w:val="single" w:sz="4" w:space="0" w:color="auto"/>
              <w:right w:val="single" w:sz="4" w:space="0" w:color="auto"/>
            </w:tcBorders>
            <w:shd w:val="clear" w:color="auto" w:fill="C6EFCE"/>
            <w:noWrap/>
          </w:tcPr>
          <w:p w14:paraId="0A0A4B6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7FA69B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Adoptarea planului de acțiune pentru strategia națională privind economia circulară</w:t>
            </w:r>
          </w:p>
        </w:tc>
      </w:tr>
      <w:tr w:rsidR="00981F92" w:rsidRPr="000A27B3" w14:paraId="601B661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55B84C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348</w:t>
            </w:r>
          </w:p>
        </w:tc>
        <w:tc>
          <w:tcPr>
            <w:tcW w:w="3544" w:type="dxa"/>
            <w:tcBorders>
              <w:top w:val="nil"/>
              <w:left w:val="nil"/>
              <w:bottom w:val="single" w:sz="4" w:space="0" w:color="auto"/>
              <w:right w:val="single" w:sz="4" w:space="0" w:color="auto"/>
            </w:tcBorders>
            <w:shd w:val="clear" w:color="auto" w:fill="C6EFCE"/>
            <w:noWrap/>
          </w:tcPr>
          <w:p w14:paraId="63026D9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C11.I6</w:t>
            </w:r>
          </w:p>
          <w:p w14:paraId="6F32E76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unui sistem digital pentru procesele de finanțare a culturii </w:t>
            </w:r>
          </w:p>
        </w:tc>
        <w:tc>
          <w:tcPr>
            <w:tcW w:w="1275" w:type="dxa"/>
            <w:tcBorders>
              <w:top w:val="nil"/>
              <w:left w:val="nil"/>
              <w:bottom w:val="single" w:sz="4" w:space="0" w:color="auto"/>
              <w:right w:val="single" w:sz="4" w:space="0" w:color="auto"/>
            </w:tcBorders>
            <w:shd w:val="clear" w:color="auto" w:fill="C6EFCE"/>
            <w:noWrap/>
          </w:tcPr>
          <w:p w14:paraId="0EE491C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1B8F85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Sunt operaționale platforme și sisteme digitale</w:t>
            </w:r>
          </w:p>
        </w:tc>
      </w:tr>
      <w:tr w:rsidR="00981F92" w:rsidRPr="000A27B3" w14:paraId="2155C85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62937F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349</w:t>
            </w:r>
          </w:p>
        </w:tc>
        <w:tc>
          <w:tcPr>
            <w:tcW w:w="3544" w:type="dxa"/>
            <w:tcBorders>
              <w:top w:val="nil"/>
              <w:left w:val="nil"/>
              <w:bottom w:val="single" w:sz="4" w:space="0" w:color="auto"/>
              <w:right w:val="single" w:sz="4" w:space="0" w:color="auto"/>
            </w:tcBorders>
            <w:shd w:val="clear" w:color="auto" w:fill="C6EFCE"/>
            <w:noWrap/>
          </w:tcPr>
          <w:p w14:paraId="4655830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C11.I7</w:t>
            </w:r>
          </w:p>
          <w:p w14:paraId="5990A47E" w14:textId="7508DF92" w:rsidR="00981F92" w:rsidRPr="000A27B3" w:rsidRDefault="00981F92">
            <w:pPr>
              <w:spacing w:after="0"/>
              <w:jc w:val="both"/>
              <w:rPr>
                <w:rFonts w:ascii="Times New Roman" w:hAnsi="Times New Roman" w:cs="Times New Roman"/>
                <w:noProof/>
              </w:rPr>
            </w:pPr>
            <w:r>
              <w:rPr>
                <w:rFonts w:ascii="Times New Roman" w:hAnsi="Times New Roman"/>
                <w:noProof/>
              </w:rPr>
              <w:t xml:space="preserve">Accelerarea digitalizării producției și distribuției de filme </w:t>
            </w:r>
          </w:p>
        </w:tc>
        <w:tc>
          <w:tcPr>
            <w:tcW w:w="1275" w:type="dxa"/>
            <w:tcBorders>
              <w:top w:val="nil"/>
              <w:left w:val="nil"/>
              <w:bottom w:val="single" w:sz="4" w:space="0" w:color="auto"/>
              <w:right w:val="single" w:sz="4" w:space="0" w:color="auto"/>
            </w:tcBorders>
            <w:shd w:val="clear" w:color="auto" w:fill="C6EFCE"/>
            <w:noWrap/>
          </w:tcPr>
          <w:p w14:paraId="1D0366C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68A43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de finanțare</w:t>
            </w:r>
          </w:p>
        </w:tc>
      </w:tr>
      <w:tr w:rsidR="00981F92" w:rsidRPr="000A27B3" w14:paraId="1102ADB2"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2F4405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496</w:t>
            </w:r>
          </w:p>
        </w:tc>
        <w:tc>
          <w:tcPr>
            <w:tcW w:w="3544" w:type="dxa"/>
            <w:tcBorders>
              <w:top w:val="nil"/>
              <w:left w:val="nil"/>
              <w:bottom w:val="single" w:sz="4" w:space="0" w:color="auto"/>
              <w:right w:val="single" w:sz="4" w:space="0" w:color="auto"/>
            </w:tcBorders>
            <w:shd w:val="clear" w:color="auto" w:fill="C6EFCE"/>
            <w:noWrap/>
          </w:tcPr>
          <w:p w14:paraId="1F546D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C15.I13</w:t>
            </w:r>
          </w:p>
          <w:p w14:paraId="0508B77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Echiparea laboratoarelor informatice din școlile de educație și formare profesională (EFP)</w:t>
            </w:r>
          </w:p>
        </w:tc>
        <w:tc>
          <w:tcPr>
            <w:tcW w:w="1275" w:type="dxa"/>
            <w:tcBorders>
              <w:top w:val="nil"/>
              <w:left w:val="nil"/>
              <w:bottom w:val="single" w:sz="4" w:space="0" w:color="auto"/>
              <w:right w:val="single" w:sz="4" w:space="0" w:color="auto"/>
            </w:tcBorders>
            <w:shd w:val="clear" w:color="auto" w:fill="C6EFCE"/>
            <w:noWrap/>
          </w:tcPr>
          <w:p w14:paraId="3A724E4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E32E18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Unități de învățământ profesional și tehnic dotate cu laboratoare de informatică</w:t>
            </w:r>
          </w:p>
        </w:tc>
      </w:tr>
      <w:tr w:rsidR="00981F92" w:rsidRPr="000A27B3" w14:paraId="09E49CB8"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hideMark/>
          </w:tcPr>
          <w:p w14:paraId="2ECE3B3D"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497</w:t>
            </w:r>
          </w:p>
        </w:tc>
        <w:tc>
          <w:tcPr>
            <w:tcW w:w="3544" w:type="dxa"/>
            <w:tcBorders>
              <w:top w:val="nil"/>
              <w:left w:val="nil"/>
              <w:bottom w:val="single" w:sz="4" w:space="0" w:color="auto"/>
              <w:right w:val="single" w:sz="4" w:space="0" w:color="auto"/>
            </w:tcBorders>
            <w:shd w:val="clear" w:color="auto" w:fill="C6EFCE"/>
            <w:noWrap/>
            <w:hideMark/>
          </w:tcPr>
          <w:p w14:paraId="38C3682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C15.I14 </w:t>
            </w:r>
          </w:p>
          <w:p w14:paraId="3B7E931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Echiparea atelierelor de practică din unitățile de învățământ profesional și tehnic</w:t>
            </w:r>
          </w:p>
        </w:tc>
        <w:tc>
          <w:tcPr>
            <w:tcW w:w="1275" w:type="dxa"/>
            <w:tcBorders>
              <w:top w:val="nil"/>
              <w:left w:val="nil"/>
              <w:bottom w:val="single" w:sz="4" w:space="0" w:color="auto"/>
              <w:right w:val="single" w:sz="4" w:space="0" w:color="auto"/>
            </w:tcBorders>
            <w:shd w:val="clear" w:color="auto" w:fill="C6EFCE"/>
            <w:noWrap/>
            <w:hideMark/>
          </w:tcPr>
          <w:p w14:paraId="01DD3EF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hideMark/>
          </w:tcPr>
          <w:p w14:paraId="1FC5FF6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Unități de învățământ profesional și tehnic dotate cu laboratoare de practică funcționale</w:t>
            </w:r>
          </w:p>
        </w:tc>
      </w:tr>
      <w:tr w:rsidR="00981F92" w:rsidRPr="000A27B3" w14:paraId="3BDAB05A"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25CF81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w:t>
            </w:r>
          </w:p>
        </w:tc>
        <w:tc>
          <w:tcPr>
            <w:tcW w:w="3544" w:type="dxa"/>
            <w:tcBorders>
              <w:top w:val="nil"/>
              <w:left w:val="nil"/>
              <w:bottom w:val="single" w:sz="4" w:space="0" w:color="auto"/>
              <w:right w:val="single" w:sz="4" w:space="0" w:color="auto"/>
            </w:tcBorders>
            <w:shd w:val="clear" w:color="auto" w:fill="C6EFCE"/>
            <w:noWrap/>
          </w:tcPr>
          <w:p w14:paraId="63A65B8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C1.I2</w:t>
            </w:r>
          </w:p>
          <w:p w14:paraId="001132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Colectare a apelor uzate în aglomerări mai mici de 2 000 de locuitori echivalenți care împiedică atingerea unei stări bune a corpurilor de apă și / sau afectează zone naturale protejate</w:t>
            </w:r>
          </w:p>
        </w:tc>
        <w:tc>
          <w:tcPr>
            <w:tcW w:w="1275" w:type="dxa"/>
            <w:tcBorders>
              <w:top w:val="nil"/>
              <w:left w:val="nil"/>
              <w:bottom w:val="single" w:sz="4" w:space="0" w:color="auto"/>
              <w:right w:val="single" w:sz="4" w:space="0" w:color="auto"/>
            </w:tcBorders>
            <w:shd w:val="clear" w:color="auto" w:fill="C6EFCE"/>
            <w:noWrap/>
          </w:tcPr>
          <w:p w14:paraId="2ED826D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555E90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Sisteme individuale sau alte sisteme corespunzătoare construite și operaționale în aglomerări mai mici de 2 000 de locuitori echivalenți</w:t>
            </w:r>
          </w:p>
        </w:tc>
      </w:tr>
      <w:tr w:rsidR="00981F92" w:rsidRPr="000A27B3" w14:paraId="262A20BF"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FAC469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w:t>
            </w:r>
          </w:p>
        </w:tc>
        <w:tc>
          <w:tcPr>
            <w:tcW w:w="3544" w:type="dxa"/>
            <w:tcBorders>
              <w:top w:val="nil"/>
              <w:left w:val="nil"/>
              <w:bottom w:val="single" w:sz="4" w:space="0" w:color="auto"/>
              <w:right w:val="single" w:sz="4" w:space="0" w:color="auto"/>
            </w:tcBorders>
            <w:shd w:val="clear" w:color="auto" w:fill="C6EFCE"/>
            <w:noWrap/>
          </w:tcPr>
          <w:p w14:paraId="1F1DA75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C2.I3.2 </w:t>
            </w:r>
          </w:p>
          <w:p w14:paraId="4FA87D5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Identificarea zonelor potențiale de protecție strictă în habitate naturale terestre și marine în vederea punerii în aplicare a Strategiei UE privind biodiversitatea pentru 2030</w:t>
            </w:r>
          </w:p>
        </w:tc>
        <w:tc>
          <w:tcPr>
            <w:tcW w:w="1275" w:type="dxa"/>
            <w:tcBorders>
              <w:top w:val="nil"/>
              <w:left w:val="nil"/>
              <w:bottom w:val="single" w:sz="4" w:space="0" w:color="auto"/>
              <w:right w:val="single" w:sz="4" w:space="0" w:color="auto"/>
            </w:tcBorders>
            <w:shd w:val="clear" w:color="auto" w:fill="C6EFCE"/>
            <w:noWrap/>
          </w:tcPr>
          <w:p w14:paraId="0DDCF47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09BDAE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actului normativ pentru desemnarea zonelor de protecție strictă (identificate în zonele protejate Natura 2000 cu planuri de management existente sau care includ păduri primare și seculare)</w:t>
            </w:r>
          </w:p>
        </w:tc>
      </w:tr>
      <w:tr w:rsidR="00981F92" w:rsidRPr="000A27B3" w14:paraId="4EBA7473"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3936FBD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82</w:t>
            </w:r>
          </w:p>
        </w:tc>
        <w:tc>
          <w:tcPr>
            <w:tcW w:w="3544" w:type="dxa"/>
            <w:tcBorders>
              <w:top w:val="nil"/>
              <w:left w:val="nil"/>
              <w:bottom w:val="single" w:sz="4" w:space="0" w:color="auto"/>
              <w:right w:val="single" w:sz="4" w:space="0" w:color="auto"/>
            </w:tcBorders>
            <w:shd w:val="clear" w:color="auto" w:fill="C6EFCE"/>
            <w:noWrap/>
          </w:tcPr>
          <w:p w14:paraId="0D68CA7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C4.I3</w:t>
            </w:r>
          </w:p>
          <w:p w14:paraId="082B084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infrastructurii rutiere durabile aferente rețelei TEN-T, taxarea drumurilor, managementul traficului și siguranța rutieră </w:t>
            </w:r>
          </w:p>
        </w:tc>
        <w:tc>
          <w:tcPr>
            <w:tcW w:w="1275" w:type="dxa"/>
            <w:tcBorders>
              <w:top w:val="nil"/>
              <w:left w:val="nil"/>
              <w:bottom w:val="single" w:sz="4" w:space="0" w:color="auto"/>
              <w:right w:val="single" w:sz="4" w:space="0" w:color="auto"/>
            </w:tcBorders>
            <w:shd w:val="clear" w:color="auto" w:fill="C6EFCE"/>
            <w:noWrap/>
          </w:tcPr>
          <w:p w14:paraId="75E93A3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0F6C746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100 % din lucrări, în urma licitațiilor deschise și concurențiale și a permiselor relevante obținute, cu avizele din evaluarea impactului asupra mediului și evaluarea corespunzătoare (parte din Directiva privind habitatele) emise și încorporate încă din faza de proiectare a investițiilor</w:t>
            </w:r>
          </w:p>
        </w:tc>
      </w:tr>
      <w:tr w:rsidR="00981F92" w:rsidRPr="000A27B3" w14:paraId="57DF6285"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212423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87</w:t>
            </w:r>
          </w:p>
        </w:tc>
        <w:tc>
          <w:tcPr>
            <w:tcW w:w="3544" w:type="dxa"/>
            <w:tcBorders>
              <w:top w:val="nil"/>
              <w:left w:val="nil"/>
              <w:bottom w:val="single" w:sz="4" w:space="0" w:color="auto"/>
              <w:right w:val="single" w:sz="4" w:space="0" w:color="auto"/>
            </w:tcBorders>
            <w:shd w:val="clear" w:color="auto" w:fill="C6EFCE"/>
            <w:noWrap/>
          </w:tcPr>
          <w:p w14:paraId="7183C53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C4.I4</w:t>
            </w:r>
          </w:p>
          <w:p w14:paraId="673101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rețelei de transport cu metroul în municipiile București și Cluj-Napoca </w:t>
            </w:r>
          </w:p>
        </w:tc>
        <w:tc>
          <w:tcPr>
            <w:tcW w:w="1275" w:type="dxa"/>
            <w:tcBorders>
              <w:top w:val="nil"/>
              <w:left w:val="nil"/>
              <w:bottom w:val="single" w:sz="4" w:space="0" w:color="auto"/>
              <w:right w:val="single" w:sz="4" w:space="0" w:color="auto"/>
            </w:tcBorders>
            <w:shd w:val="clear" w:color="auto" w:fill="C6EFCE"/>
            <w:noWrap/>
          </w:tcPr>
          <w:p w14:paraId="5E0DD30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5364AA2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100 % din lucrări, în urma unor licitații deschise și concurențiale, și obținerea autorizațiilor relevante</w:t>
            </w:r>
          </w:p>
        </w:tc>
      </w:tr>
      <w:tr w:rsidR="00981F92" w:rsidRPr="000A27B3" w14:paraId="1E2E48AD"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FD35A7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109</w:t>
            </w:r>
          </w:p>
        </w:tc>
        <w:tc>
          <w:tcPr>
            <w:tcW w:w="3544" w:type="dxa"/>
            <w:tcBorders>
              <w:top w:val="nil"/>
              <w:left w:val="nil"/>
              <w:bottom w:val="single" w:sz="4" w:space="0" w:color="auto"/>
              <w:right w:val="single" w:sz="4" w:space="0" w:color="auto"/>
            </w:tcBorders>
            <w:shd w:val="clear" w:color="auto" w:fill="C6EFCE"/>
            <w:noWrap/>
          </w:tcPr>
          <w:p w14:paraId="5A41578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C5.I3</w:t>
            </w:r>
          </w:p>
          <w:p w14:paraId="17C78B8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Consolidarea capacității profesionale a specialiștilor și lucrătorilor în domeniul construcțiilor prin elaborarea de cursuri de formare privind eficiența energetică a construcțiilor</w:t>
            </w:r>
          </w:p>
        </w:tc>
        <w:tc>
          <w:tcPr>
            <w:tcW w:w="1275" w:type="dxa"/>
            <w:tcBorders>
              <w:top w:val="nil"/>
              <w:left w:val="nil"/>
              <w:bottom w:val="single" w:sz="4" w:space="0" w:color="auto"/>
              <w:right w:val="single" w:sz="4" w:space="0" w:color="auto"/>
            </w:tcBorders>
            <w:shd w:val="clear" w:color="auto" w:fill="C6EFCE"/>
            <w:noWrap/>
          </w:tcPr>
          <w:p w14:paraId="5D41217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26AEE25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Cel puțin 8 000 de specialiști și lucrători obțin certificarea absolvirii cursurilor de formare în domeniul eficienței energetice </w:t>
            </w:r>
          </w:p>
        </w:tc>
      </w:tr>
      <w:tr w:rsidR="000A27B3" w:rsidRPr="000A27B3" w14:paraId="392553A8"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0A6CE3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128</w:t>
            </w:r>
          </w:p>
        </w:tc>
        <w:tc>
          <w:tcPr>
            <w:tcW w:w="3544" w:type="dxa"/>
            <w:tcBorders>
              <w:top w:val="nil"/>
              <w:left w:val="nil"/>
              <w:bottom w:val="single" w:sz="4" w:space="0" w:color="auto"/>
              <w:right w:val="single" w:sz="4" w:space="0" w:color="auto"/>
            </w:tcBorders>
            <w:shd w:val="clear" w:color="auto" w:fill="C6EFCE"/>
            <w:noWrap/>
          </w:tcPr>
          <w:p w14:paraId="4A42FF9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C6.R6</w:t>
            </w:r>
          </w:p>
          <w:p w14:paraId="0754CA7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Creșterea competitivității și decarbonizarea sectorului de încălzire - răcire </w:t>
            </w:r>
          </w:p>
        </w:tc>
        <w:tc>
          <w:tcPr>
            <w:tcW w:w="1275" w:type="dxa"/>
            <w:tcBorders>
              <w:top w:val="nil"/>
              <w:left w:val="nil"/>
              <w:bottom w:val="single" w:sz="4" w:space="0" w:color="auto"/>
              <w:right w:val="single" w:sz="4" w:space="0" w:color="auto"/>
            </w:tcBorders>
            <w:shd w:val="clear" w:color="auto" w:fill="C6EFCE"/>
            <w:noWrap/>
          </w:tcPr>
          <w:p w14:paraId="5AE89D1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8E01F8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cadrului legislativ care introduce măsuri de decarbonizare a sectorului încălzirii și răcirii</w:t>
            </w:r>
          </w:p>
        </w:tc>
      </w:tr>
      <w:tr w:rsidR="000A27B3" w:rsidRPr="000A27B3" w14:paraId="029222D7"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0D3FB66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274</w:t>
            </w:r>
          </w:p>
        </w:tc>
        <w:tc>
          <w:tcPr>
            <w:tcW w:w="3544" w:type="dxa"/>
            <w:tcBorders>
              <w:top w:val="nil"/>
              <w:left w:val="nil"/>
              <w:bottom w:val="single" w:sz="4" w:space="0" w:color="auto"/>
              <w:right w:val="single" w:sz="4" w:space="0" w:color="auto"/>
            </w:tcBorders>
            <w:shd w:val="clear" w:color="auto" w:fill="C6EFCE"/>
            <w:noWrap/>
          </w:tcPr>
          <w:p w14:paraId="604581B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C9.R3 </w:t>
            </w:r>
          </w:p>
          <w:p w14:paraId="658DD2F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carierei de cercetător </w:t>
            </w:r>
          </w:p>
        </w:tc>
        <w:tc>
          <w:tcPr>
            <w:tcW w:w="1275" w:type="dxa"/>
            <w:tcBorders>
              <w:top w:val="nil"/>
              <w:left w:val="nil"/>
              <w:bottom w:val="single" w:sz="4" w:space="0" w:color="auto"/>
              <w:right w:val="single" w:sz="4" w:space="0" w:color="auto"/>
            </w:tcBorders>
            <w:shd w:val="clear" w:color="auto" w:fill="C6EFCE"/>
            <w:noWrap/>
          </w:tcPr>
          <w:p w14:paraId="0CE45D1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2FD467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Intrarea în vigoare a legislației privind cariera și statutul cercetătorului </w:t>
            </w:r>
          </w:p>
        </w:tc>
      </w:tr>
      <w:tr w:rsidR="00981F92" w:rsidRPr="005209CD" w14:paraId="01403130"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2042D2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284</w:t>
            </w:r>
          </w:p>
        </w:tc>
        <w:tc>
          <w:tcPr>
            <w:tcW w:w="3544" w:type="dxa"/>
            <w:tcBorders>
              <w:top w:val="nil"/>
              <w:left w:val="nil"/>
              <w:bottom w:val="single" w:sz="4" w:space="0" w:color="auto"/>
              <w:right w:val="single" w:sz="4" w:space="0" w:color="auto"/>
            </w:tcBorders>
            <w:shd w:val="clear" w:color="auto" w:fill="C6EFCE"/>
            <w:noWrap/>
          </w:tcPr>
          <w:p w14:paraId="05459C5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C9.I8 </w:t>
            </w:r>
          </w:p>
          <w:p w14:paraId="5A8CA28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unui program pentru atragerea resursei umane înalt specializate din străinătate în activități de cercetare, dezvoltare și inovare </w:t>
            </w:r>
          </w:p>
        </w:tc>
        <w:tc>
          <w:tcPr>
            <w:tcW w:w="1275" w:type="dxa"/>
            <w:tcBorders>
              <w:top w:val="nil"/>
              <w:left w:val="nil"/>
              <w:bottom w:val="single" w:sz="4" w:space="0" w:color="auto"/>
              <w:right w:val="single" w:sz="4" w:space="0" w:color="auto"/>
            </w:tcBorders>
            <w:shd w:val="clear" w:color="auto" w:fill="C6EFCE"/>
            <w:noWrap/>
          </w:tcPr>
          <w:p w14:paraId="60431F5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A15CC0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Proiecte conduse de cercetători internaționali care au beneficiat de finanțare </w:t>
            </w:r>
          </w:p>
        </w:tc>
      </w:tr>
      <w:tr w:rsidR="00981F92" w:rsidRPr="000A27B3" w14:paraId="1AD516C1"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6ABA45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285</w:t>
            </w:r>
          </w:p>
        </w:tc>
        <w:tc>
          <w:tcPr>
            <w:tcW w:w="3544" w:type="dxa"/>
            <w:tcBorders>
              <w:top w:val="nil"/>
              <w:left w:val="nil"/>
              <w:bottom w:val="single" w:sz="4" w:space="0" w:color="auto"/>
              <w:right w:val="single" w:sz="4" w:space="0" w:color="auto"/>
            </w:tcBorders>
            <w:shd w:val="clear" w:color="auto" w:fill="C6EFCE"/>
            <w:noWrap/>
          </w:tcPr>
          <w:p w14:paraId="51CCE7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C9.I9 </w:t>
            </w:r>
          </w:p>
          <w:p w14:paraId="3CCA2CE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Program de sprijin pentru posesorii de certificate de excelență primite în cadrul concursului pentru burse individuale Marie Sklodowska Curie </w:t>
            </w:r>
          </w:p>
        </w:tc>
        <w:tc>
          <w:tcPr>
            <w:tcW w:w="1275" w:type="dxa"/>
            <w:tcBorders>
              <w:top w:val="nil"/>
              <w:left w:val="nil"/>
              <w:bottom w:val="single" w:sz="4" w:space="0" w:color="auto"/>
              <w:right w:val="single" w:sz="4" w:space="0" w:color="auto"/>
            </w:tcBorders>
            <w:shd w:val="clear" w:color="auto" w:fill="C6EFCE"/>
            <w:noWrap/>
          </w:tcPr>
          <w:p w14:paraId="33290C9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8D47D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Beneficiari ai mărcii de excelență Marie Sklodowska Curie</w:t>
            </w:r>
          </w:p>
        </w:tc>
      </w:tr>
      <w:tr w:rsidR="00981F92" w:rsidRPr="000A27B3" w14:paraId="3A693C1E"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BD6A72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329</w:t>
            </w:r>
          </w:p>
        </w:tc>
        <w:tc>
          <w:tcPr>
            <w:tcW w:w="3544" w:type="dxa"/>
            <w:tcBorders>
              <w:top w:val="nil"/>
              <w:left w:val="nil"/>
              <w:bottom w:val="single" w:sz="4" w:space="0" w:color="auto"/>
              <w:right w:val="single" w:sz="4" w:space="0" w:color="auto"/>
            </w:tcBorders>
            <w:shd w:val="clear" w:color="auto" w:fill="C6EFCE"/>
            <w:noWrap/>
          </w:tcPr>
          <w:p w14:paraId="74D86AF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C11.R1</w:t>
            </w:r>
          </w:p>
          <w:p w14:paraId="2D8CB597" w14:textId="720A1F23" w:rsidR="00981F92" w:rsidRPr="000A27B3" w:rsidRDefault="00981F92">
            <w:pPr>
              <w:spacing w:after="0"/>
              <w:jc w:val="both"/>
              <w:rPr>
                <w:rFonts w:ascii="Times New Roman" w:hAnsi="Times New Roman" w:cs="Times New Roman"/>
                <w:noProof/>
              </w:rPr>
            </w:pPr>
            <w:r>
              <w:rPr>
                <w:rFonts w:ascii="Times New Roman" w:hAnsi="Times New Roman"/>
                <w:noProof/>
              </w:rPr>
              <w:t xml:space="preserve">Operaționalizarea organizațiilor de management al destinației (OMD-uri) </w:t>
            </w:r>
          </w:p>
        </w:tc>
        <w:tc>
          <w:tcPr>
            <w:tcW w:w="1275" w:type="dxa"/>
            <w:tcBorders>
              <w:top w:val="nil"/>
              <w:left w:val="nil"/>
              <w:bottom w:val="single" w:sz="4" w:space="0" w:color="auto"/>
              <w:right w:val="single" w:sz="4" w:space="0" w:color="auto"/>
            </w:tcBorders>
            <w:shd w:val="clear" w:color="auto" w:fill="C6EFCE"/>
            <w:noWrap/>
          </w:tcPr>
          <w:p w14:paraId="0A1F215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74E1AD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OMD-urile sunt instituite </w:t>
            </w:r>
          </w:p>
        </w:tc>
      </w:tr>
      <w:tr w:rsidR="000A27B3" w:rsidRPr="005209CD" w14:paraId="787FD6B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2342EB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135</w:t>
            </w:r>
          </w:p>
        </w:tc>
        <w:tc>
          <w:tcPr>
            <w:tcW w:w="3544" w:type="dxa"/>
            <w:tcBorders>
              <w:top w:val="nil"/>
              <w:left w:val="nil"/>
              <w:bottom w:val="single" w:sz="4" w:space="0" w:color="auto"/>
              <w:right w:val="single" w:sz="4" w:space="0" w:color="auto"/>
            </w:tcBorders>
            <w:shd w:val="clear" w:color="auto" w:fill="C6EFCE"/>
            <w:noWrap/>
          </w:tcPr>
          <w:p w14:paraId="56F0872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C6.I4</w:t>
            </w:r>
          </w:p>
          <w:p w14:paraId="647CF1C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Lanț industrial de producție și/sau asamblare și/sau reciclare a bateriilor, a celulelor și panourilor fotovoltaice (inclusiv echipamente auxiliare), producție de materii prime utilizate în sectorul industrial aferent și noi capacități de stocare a energiei electrice </w:t>
            </w:r>
          </w:p>
        </w:tc>
        <w:tc>
          <w:tcPr>
            <w:tcW w:w="1275" w:type="dxa"/>
            <w:tcBorders>
              <w:top w:val="nil"/>
              <w:left w:val="nil"/>
              <w:bottom w:val="single" w:sz="4" w:space="0" w:color="auto"/>
              <w:right w:val="single" w:sz="4" w:space="0" w:color="auto"/>
            </w:tcBorders>
            <w:shd w:val="clear" w:color="auto" w:fill="C6EFCE"/>
            <w:noWrap/>
          </w:tcPr>
          <w:p w14:paraId="2855262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5A4A5F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pentru investițiile în lanțul valoric al producției de baterii și în lanțul valoric al producției fotovoltaice</w:t>
            </w:r>
          </w:p>
        </w:tc>
      </w:tr>
      <w:tr w:rsidR="000A27B3" w:rsidRPr="005209CD" w14:paraId="60757CB5"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B5DDA9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136</w:t>
            </w:r>
          </w:p>
        </w:tc>
        <w:tc>
          <w:tcPr>
            <w:tcW w:w="3544" w:type="dxa"/>
            <w:tcBorders>
              <w:top w:val="nil"/>
              <w:left w:val="nil"/>
              <w:bottom w:val="single" w:sz="4" w:space="0" w:color="auto"/>
              <w:right w:val="single" w:sz="4" w:space="0" w:color="auto"/>
            </w:tcBorders>
            <w:shd w:val="clear" w:color="auto" w:fill="C6EFCE"/>
            <w:noWrap/>
          </w:tcPr>
          <w:p w14:paraId="3A989DA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C6.I4</w:t>
            </w:r>
          </w:p>
          <w:p w14:paraId="0BE55A6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Lanț industrial de producție și/sau asamblare și/sau reciclare a bateriilor, a celulelor și panourilor fotovoltaice (inclusiv echipamente auxiliare), producție de materii prime utilizate în sectorul industrial aferent și noi capacități de stocare a energiei electrice </w:t>
            </w:r>
          </w:p>
        </w:tc>
        <w:tc>
          <w:tcPr>
            <w:tcW w:w="1275" w:type="dxa"/>
            <w:tcBorders>
              <w:top w:val="nil"/>
              <w:left w:val="nil"/>
              <w:bottom w:val="single" w:sz="4" w:space="0" w:color="auto"/>
              <w:right w:val="single" w:sz="4" w:space="0" w:color="auto"/>
            </w:tcBorders>
            <w:shd w:val="clear" w:color="auto" w:fill="C6EFCE"/>
            <w:noWrap/>
          </w:tcPr>
          <w:p w14:paraId="78CACF0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1774372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Semnarea contractelor în cadrul schemei de sprijin pentru stocarea cu baterii</w:t>
            </w:r>
          </w:p>
        </w:tc>
      </w:tr>
      <w:tr w:rsidR="000A27B3" w:rsidRPr="005209CD" w14:paraId="1A843999"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63E10E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267</w:t>
            </w:r>
          </w:p>
        </w:tc>
        <w:tc>
          <w:tcPr>
            <w:tcW w:w="3544" w:type="dxa"/>
            <w:tcBorders>
              <w:top w:val="nil"/>
              <w:left w:val="nil"/>
              <w:bottom w:val="single" w:sz="4" w:space="0" w:color="auto"/>
              <w:right w:val="single" w:sz="4" w:space="0" w:color="auto"/>
            </w:tcBorders>
            <w:shd w:val="clear" w:color="auto" w:fill="C6EFCE"/>
            <w:noWrap/>
          </w:tcPr>
          <w:p w14:paraId="661B765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C9.I4</w:t>
            </w:r>
          </w:p>
          <w:p w14:paraId="46989EB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Proiecte transfrontaliere și multinaționale – Procesoare cu consum redus de energie și cipuri semiconductoare </w:t>
            </w:r>
          </w:p>
        </w:tc>
        <w:tc>
          <w:tcPr>
            <w:tcW w:w="1275" w:type="dxa"/>
            <w:tcBorders>
              <w:top w:val="nil"/>
              <w:left w:val="nil"/>
              <w:bottom w:val="single" w:sz="4" w:space="0" w:color="auto"/>
              <w:right w:val="single" w:sz="4" w:space="0" w:color="auto"/>
            </w:tcBorders>
            <w:shd w:val="clear" w:color="auto" w:fill="C6EFCE"/>
            <w:noWrap/>
          </w:tcPr>
          <w:p w14:paraId="680D662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516108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Entități selectate pentru a participa la proiect</w:t>
            </w:r>
          </w:p>
        </w:tc>
      </w:tr>
      <w:tr w:rsidR="000A27B3" w:rsidRPr="000A27B3" w14:paraId="2AE60119"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DA26B6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526</w:t>
            </w:r>
          </w:p>
        </w:tc>
        <w:tc>
          <w:tcPr>
            <w:tcW w:w="3544" w:type="dxa"/>
            <w:tcBorders>
              <w:top w:val="nil"/>
              <w:left w:val="nil"/>
              <w:bottom w:val="single" w:sz="4" w:space="0" w:color="auto"/>
              <w:right w:val="single" w:sz="4" w:space="0" w:color="auto"/>
            </w:tcBorders>
            <w:shd w:val="clear" w:color="auto" w:fill="C6EFCE"/>
            <w:noWrap/>
          </w:tcPr>
          <w:p w14:paraId="3AFF8A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C16.I6. </w:t>
            </w:r>
          </w:p>
          <w:p w14:paraId="786814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Proiect-pilot pentru instalarea a 20 MW de panouri solare plutitoare pe canalele de irigații</w:t>
            </w:r>
          </w:p>
        </w:tc>
        <w:tc>
          <w:tcPr>
            <w:tcW w:w="1275" w:type="dxa"/>
            <w:tcBorders>
              <w:top w:val="nil"/>
              <w:left w:val="nil"/>
              <w:bottom w:val="single" w:sz="4" w:space="0" w:color="auto"/>
              <w:right w:val="single" w:sz="4" w:space="0" w:color="auto"/>
            </w:tcBorders>
            <w:shd w:val="clear" w:color="auto" w:fill="C6EFCE"/>
            <w:noWrap/>
          </w:tcPr>
          <w:p w14:paraId="4BE6EBA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74EC5E2E" w14:textId="77777777" w:rsidR="00981F92" w:rsidRPr="000A27B3" w:rsidRDefault="00981F92">
            <w:pPr>
              <w:spacing w:after="0"/>
              <w:jc w:val="both"/>
              <w:rPr>
                <w:rFonts w:ascii="Times New Roman" w:hAnsi="Times New Roman" w:cs="Times New Roman"/>
                <w:noProof/>
              </w:rPr>
            </w:pPr>
            <w:r>
              <w:rPr>
                <w:rFonts w:ascii="Times New Roman" w:hAnsi="Times New Roman"/>
                <w:noProof/>
                <w:sz w:val="24"/>
              </w:rPr>
              <w:t xml:space="preserve">Semnarea contractului (contractelor) </w:t>
            </w:r>
          </w:p>
        </w:tc>
      </w:tr>
      <w:tr w:rsidR="000A27B3" w:rsidRPr="005209CD" w14:paraId="6D1BE4D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4C4F59F" w14:textId="77777777" w:rsidR="00981F92" w:rsidRPr="000A27B3" w:rsidRDefault="00981F92" w:rsidP="00CA23DD">
            <w:pPr>
              <w:spacing w:after="0"/>
              <w:rPr>
                <w:rFonts w:ascii="Times New Roman" w:hAnsi="Times New Roman" w:cs="Times New Roman"/>
                <w:noProof/>
              </w:rPr>
            </w:pPr>
            <w:r>
              <w:rPr>
                <w:rFonts w:ascii="Times New Roman" w:hAnsi="Times New Roman"/>
                <w:noProof/>
              </w:rPr>
              <w:t>276</w:t>
            </w:r>
          </w:p>
        </w:tc>
        <w:tc>
          <w:tcPr>
            <w:tcW w:w="3544" w:type="dxa"/>
            <w:tcBorders>
              <w:top w:val="nil"/>
              <w:left w:val="nil"/>
              <w:bottom w:val="single" w:sz="4" w:space="0" w:color="auto"/>
              <w:right w:val="single" w:sz="4" w:space="0" w:color="auto"/>
            </w:tcBorders>
            <w:shd w:val="clear" w:color="auto" w:fill="C6EFCE"/>
            <w:noWrap/>
          </w:tcPr>
          <w:p w14:paraId="230FB0E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C9.R4 </w:t>
            </w:r>
          </w:p>
          <w:p w14:paraId="2C03379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Consolidarea cooperării dintre mediul de afaceri și cel de cercetare </w:t>
            </w:r>
          </w:p>
        </w:tc>
        <w:tc>
          <w:tcPr>
            <w:tcW w:w="1275" w:type="dxa"/>
            <w:tcBorders>
              <w:top w:val="nil"/>
              <w:left w:val="nil"/>
              <w:bottom w:val="single" w:sz="4" w:space="0" w:color="auto"/>
              <w:right w:val="single" w:sz="4" w:space="0" w:color="auto"/>
            </w:tcBorders>
            <w:shd w:val="clear" w:color="auto" w:fill="C6EFCE"/>
            <w:noWrap/>
          </w:tcPr>
          <w:p w14:paraId="1279286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4D0FAA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modificărilor legislative ce vizează crearea unui mediu favorabil investițiilor publice și private în cercetare, dezvoltare și inovare</w:t>
            </w:r>
          </w:p>
        </w:tc>
      </w:tr>
      <w:tr w:rsidR="000A27B3" w:rsidRPr="005209CD" w14:paraId="2816B4B6" w14:textId="77777777" w:rsidTr="00CA23DD">
        <w:trPr>
          <w:trHeight w:val="653"/>
        </w:trPr>
        <w:tc>
          <w:tcPr>
            <w:tcW w:w="1413" w:type="dxa"/>
            <w:tcBorders>
              <w:top w:val="nil"/>
              <w:left w:val="single" w:sz="4" w:space="0" w:color="auto"/>
              <w:bottom w:val="single" w:sz="4" w:space="0" w:color="auto"/>
              <w:right w:val="single" w:sz="4" w:space="0" w:color="auto"/>
            </w:tcBorders>
            <w:shd w:val="clear" w:color="auto" w:fill="C6EFCE"/>
            <w:noWrap/>
          </w:tcPr>
          <w:p w14:paraId="6227CBAC" w14:textId="77777777" w:rsidR="00981F92" w:rsidRPr="000A27B3" w:rsidRDefault="00981F92">
            <w:pPr>
              <w:spacing w:after="0"/>
              <w:rPr>
                <w:rFonts w:ascii="Times New Roman" w:hAnsi="Times New Roman" w:cs="Times New Roman"/>
                <w:noProof/>
              </w:rPr>
            </w:pPr>
            <w:r>
              <w:rPr>
                <w:rFonts w:ascii="Times New Roman" w:hAnsi="Times New Roman"/>
                <w:noProof/>
              </w:rPr>
              <w:t>333</w:t>
            </w:r>
          </w:p>
        </w:tc>
        <w:tc>
          <w:tcPr>
            <w:tcW w:w="3544" w:type="dxa"/>
            <w:tcBorders>
              <w:top w:val="nil"/>
              <w:left w:val="nil"/>
              <w:bottom w:val="single" w:sz="4" w:space="0" w:color="auto"/>
              <w:right w:val="single" w:sz="4" w:space="0" w:color="auto"/>
            </w:tcBorders>
            <w:shd w:val="clear" w:color="auto" w:fill="C6EFCE"/>
            <w:noWrap/>
          </w:tcPr>
          <w:p w14:paraId="2BBD7A2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C11.I1 </w:t>
            </w:r>
          </w:p>
          <w:p w14:paraId="1F03D687" w14:textId="49052FB0"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Promovarea celor 12 rute turistice/culturale </w:t>
            </w:r>
          </w:p>
        </w:tc>
        <w:tc>
          <w:tcPr>
            <w:tcW w:w="1275" w:type="dxa"/>
            <w:tcBorders>
              <w:top w:val="nil"/>
              <w:left w:val="nil"/>
              <w:bottom w:val="single" w:sz="4" w:space="0" w:color="auto"/>
              <w:right w:val="single" w:sz="4" w:space="0" w:color="auto"/>
            </w:tcBorders>
            <w:shd w:val="clear" w:color="auto" w:fill="C6EFCE"/>
            <w:noWrap/>
          </w:tcPr>
          <w:p w14:paraId="7149C0E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357A18D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Lansarea celor 12 rute culturale</w:t>
            </w:r>
          </w:p>
        </w:tc>
      </w:tr>
      <w:tr w:rsidR="000A27B3" w:rsidRPr="005209CD" w14:paraId="450B2563"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0A1F7918" w14:textId="77777777" w:rsidR="00981F92" w:rsidRPr="000A27B3" w:rsidRDefault="00981F92">
            <w:pPr>
              <w:spacing w:after="0"/>
              <w:rPr>
                <w:rFonts w:ascii="Times New Roman" w:hAnsi="Times New Roman" w:cs="Times New Roman"/>
                <w:noProof/>
              </w:rPr>
            </w:pPr>
            <w:r>
              <w:rPr>
                <w:rFonts w:ascii="Times New Roman" w:hAnsi="Times New Roman"/>
                <w:noProof/>
              </w:rPr>
              <w:t>11</w:t>
            </w:r>
          </w:p>
        </w:tc>
        <w:tc>
          <w:tcPr>
            <w:tcW w:w="3544" w:type="dxa"/>
            <w:tcBorders>
              <w:top w:val="nil"/>
              <w:left w:val="nil"/>
              <w:bottom w:val="single" w:sz="4" w:space="0" w:color="auto"/>
              <w:right w:val="single" w:sz="4" w:space="0" w:color="auto"/>
            </w:tcBorders>
            <w:shd w:val="clear" w:color="auto" w:fill="C6EFCE"/>
            <w:noWrap/>
          </w:tcPr>
          <w:p w14:paraId="7475526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C1.I2 </w:t>
            </w:r>
          </w:p>
          <w:p w14:paraId="53E80F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Colectarea apelor uzate în aglomerări mai mici de 2 000 de locuitori echivalenți, care împiedică atingerea unei stări bune a corpurilor de apă și / sau afectează arii naturale protejate</w:t>
            </w:r>
          </w:p>
        </w:tc>
        <w:tc>
          <w:tcPr>
            <w:tcW w:w="1275" w:type="dxa"/>
            <w:tcBorders>
              <w:top w:val="nil"/>
              <w:left w:val="nil"/>
              <w:bottom w:val="single" w:sz="4" w:space="0" w:color="auto"/>
              <w:right w:val="single" w:sz="4" w:space="0" w:color="auto"/>
            </w:tcBorders>
            <w:shd w:val="clear" w:color="auto" w:fill="C6EFCE"/>
            <w:noWrap/>
          </w:tcPr>
          <w:p w14:paraId="0897C9F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22CA03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Rețelele de canalizare în aglomerări mai mici de 2 000 de locuitori echivalenți sunt construite și operaționale</w:t>
            </w:r>
          </w:p>
        </w:tc>
      </w:tr>
      <w:tr w:rsidR="000A27B3" w:rsidRPr="005209CD" w14:paraId="196F75C2"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57A624C6" w14:textId="77777777" w:rsidR="00981F92" w:rsidRPr="000A27B3" w:rsidRDefault="00981F92">
            <w:pPr>
              <w:spacing w:after="0"/>
              <w:rPr>
                <w:rFonts w:ascii="Times New Roman" w:hAnsi="Times New Roman" w:cs="Times New Roman"/>
                <w:noProof/>
              </w:rPr>
            </w:pPr>
            <w:r>
              <w:rPr>
                <w:rFonts w:ascii="Times New Roman" w:hAnsi="Times New Roman"/>
                <w:noProof/>
              </w:rPr>
              <w:t>249</w:t>
            </w:r>
          </w:p>
        </w:tc>
        <w:tc>
          <w:tcPr>
            <w:tcW w:w="3544" w:type="dxa"/>
            <w:tcBorders>
              <w:top w:val="nil"/>
              <w:left w:val="nil"/>
              <w:bottom w:val="single" w:sz="4" w:space="0" w:color="auto"/>
              <w:right w:val="single" w:sz="4" w:space="0" w:color="auto"/>
            </w:tcBorders>
            <w:shd w:val="clear" w:color="auto" w:fill="C6EFCE"/>
            <w:noWrap/>
          </w:tcPr>
          <w:p w14:paraId="1BDDA9A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C9.I2.1 </w:t>
            </w:r>
          </w:p>
          <w:p w14:paraId="21C250D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Instrumente financiare pentru sectorul privat – Garanția de portofoliu pentru reziliență </w:t>
            </w:r>
          </w:p>
        </w:tc>
        <w:tc>
          <w:tcPr>
            <w:tcW w:w="1275" w:type="dxa"/>
            <w:tcBorders>
              <w:top w:val="nil"/>
              <w:left w:val="nil"/>
              <w:bottom w:val="single" w:sz="4" w:space="0" w:color="auto"/>
              <w:right w:val="single" w:sz="4" w:space="0" w:color="auto"/>
            </w:tcBorders>
            <w:shd w:val="clear" w:color="auto" w:fill="C6EFCE"/>
            <w:noWrap/>
          </w:tcPr>
          <w:p w14:paraId="36A36A5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36348F6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Operațiunile de finanțare sau de investiții în valoare de 100 % din resursele alocate instrumentului sunt aprobate de Comitetul pentru investiții al InvestEU</w:t>
            </w:r>
          </w:p>
        </w:tc>
      </w:tr>
      <w:tr w:rsidR="000A27B3" w:rsidRPr="005209CD" w14:paraId="39FB1117"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405648C" w14:textId="77777777" w:rsidR="00981F92" w:rsidRPr="000A27B3" w:rsidRDefault="00981F92">
            <w:pPr>
              <w:spacing w:after="0"/>
              <w:rPr>
                <w:rFonts w:ascii="Times New Roman" w:hAnsi="Times New Roman" w:cs="Times New Roman"/>
                <w:noProof/>
              </w:rPr>
            </w:pPr>
            <w:r>
              <w:rPr>
                <w:rFonts w:ascii="Times New Roman" w:hAnsi="Times New Roman"/>
                <w:noProof/>
              </w:rPr>
              <w:t>252</w:t>
            </w:r>
          </w:p>
        </w:tc>
        <w:tc>
          <w:tcPr>
            <w:tcW w:w="3544" w:type="dxa"/>
            <w:tcBorders>
              <w:top w:val="nil"/>
              <w:left w:val="nil"/>
              <w:bottom w:val="single" w:sz="4" w:space="0" w:color="auto"/>
              <w:right w:val="single" w:sz="4" w:space="0" w:color="auto"/>
            </w:tcBorders>
            <w:shd w:val="clear" w:color="auto" w:fill="C6EFCE"/>
            <w:noWrap/>
          </w:tcPr>
          <w:p w14:paraId="3DEF3D3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C9.I2.2 </w:t>
            </w:r>
          </w:p>
          <w:p w14:paraId="1E0CC9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Instrumente financiare pentru sectorul privat – Garanția de portofoliu pentru acțiune climatică </w:t>
            </w:r>
          </w:p>
        </w:tc>
        <w:tc>
          <w:tcPr>
            <w:tcW w:w="1275" w:type="dxa"/>
            <w:tcBorders>
              <w:top w:val="nil"/>
              <w:left w:val="nil"/>
              <w:bottom w:val="single" w:sz="4" w:space="0" w:color="auto"/>
              <w:right w:val="single" w:sz="4" w:space="0" w:color="auto"/>
            </w:tcBorders>
            <w:shd w:val="clear" w:color="auto" w:fill="C6EFCE"/>
            <w:noWrap/>
          </w:tcPr>
          <w:p w14:paraId="6B91FE7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5ADBB6A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Operațiunile de finanțare sau de investiții în valoare de cel puțin 100 % din cuantumul total al resurselor alocate instrumentului sunt aprobate de Comitetul pentru investiții al InvestEU</w:t>
            </w:r>
          </w:p>
        </w:tc>
      </w:tr>
      <w:tr w:rsidR="000A27B3" w:rsidRPr="005209CD" w14:paraId="642DD8A5"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6FCB72D3" w14:textId="77777777" w:rsidR="00981F92" w:rsidRPr="000A27B3" w:rsidRDefault="00981F92">
            <w:pPr>
              <w:spacing w:after="0"/>
              <w:rPr>
                <w:rFonts w:ascii="Times New Roman" w:hAnsi="Times New Roman" w:cs="Times New Roman"/>
                <w:noProof/>
              </w:rPr>
            </w:pPr>
            <w:r>
              <w:rPr>
                <w:rFonts w:ascii="Times New Roman" w:hAnsi="Times New Roman"/>
                <w:noProof/>
              </w:rPr>
              <w:t>261</w:t>
            </w:r>
          </w:p>
        </w:tc>
        <w:tc>
          <w:tcPr>
            <w:tcW w:w="3544" w:type="dxa"/>
            <w:tcBorders>
              <w:top w:val="nil"/>
              <w:left w:val="nil"/>
              <w:bottom w:val="single" w:sz="4" w:space="0" w:color="auto"/>
              <w:right w:val="single" w:sz="4" w:space="0" w:color="auto"/>
            </w:tcBorders>
            <w:shd w:val="clear" w:color="auto" w:fill="C6EFCE"/>
            <w:noWrap/>
          </w:tcPr>
          <w:p w14:paraId="6B00EFD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C9.I2.5 </w:t>
            </w:r>
          </w:p>
          <w:p w14:paraId="1DFD768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Instrumente financiare pentru sectorul privat – Investiții în eficiență energetică în sectorul rezidențial și al clădirilor</w:t>
            </w:r>
          </w:p>
          <w:p w14:paraId="1FB7E84A" w14:textId="77777777" w:rsidR="00981F92" w:rsidRPr="000A27B3" w:rsidRDefault="00981F92">
            <w:pPr>
              <w:spacing w:after="0"/>
              <w:jc w:val="both"/>
              <w:rPr>
                <w:rFonts w:ascii="Times New Roman" w:hAnsi="Times New Roman" w:cs="Times New Roman"/>
                <w:noProof/>
                <w:lang w:val="en-IE"/>
              </w:rPr>
            </w:pPr>
          </w:p>
        </w:tc>
        <w:tc>
          <w:tcPr>
            <w:tcW w:w="1275" w:type="dxa"/>
            <w:tcBorders>
              <w:top w:val="nil"/>
              <w:left w:val="nil"/>
              <w:bottom w:val="single" w:sz="4" w:space="0" w:color="auto"/>
              <w:right w:val="single" w:sz="4" w:space="0" w:color="auto"/>
            </w:tcBorders>
            <w:shd w:val="clear" w:color="auto" w:fill="C6EFCE"/>
            <w:noWrap/>
          </w:tcPr>
          <w:p w14:paraId="6D5725E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356635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 de finanțare sau de investiții în valoare de cel puțin 100 % din cuantumul total al fondurilor sau al investițiilor vizate sunt aprobate de Comitetul pentru investiții al InvestEU</w:t>
            </w:r>
          </w:p>
        </w:tc>
      </w:tr>
      <w:tr w:rsidR="000A27B3" w:rsidRPr="005209CD" w14:paraId="0111F9D3"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DDD1C30" w14:textId="77777777" w:rsidR="00981F92" w:rsidRPr="000A27B3" w:rsidRDefault="00981F92">
            <w:pPr>
              <w:spacing w:after="0"/>
              <w:rPr>
                <w:rFonts w:ascii="Times New Roman" w:hAnsi="Times New Roman" w:cs="Times New Roman"/>
                <w:noProof/>
              </w:rPr>
            </w:pPr>
            <w:r>
              <w:rPr>
                <w:rFonts w:ascii="Times New Roman" w:hAnsi="Times New Roman"/>
                <w:noProof/>
              </w:rPr>
              <w:t>263</w:t>
            </w:r>
          </w:p>
        </w:tc>
        <w:tc>
          <w:tcPr>
            <w:tcW w:w="3544" w:type="dxa"/>
            <w:tcBorders>
              <w:top w:val="nil"/>
              <w:left w:val="nil"/>
              <w:bottom w:val="single" w:sz="4" w:space="0" w:color="auto"/>
              <w:right w:val="single" w:sz="4" w:space="0" w:color="auto"/>
            </w:tcBorders>
            <w:shd w:val="clear" w:color="auto" w:fill="C6EFCE"/>
            <w:noWrap/>
          </w:tcPr>
          <w:p w14:paraId="368F4D0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C9.I3.1 </w:t>
            </w:r>
          </w:p>
          <w:p w14:paraId="328A0AF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Scheme de ajutor pentru sectorul privat – Schemă de ajutor pentru digitalizarea IMM-urilor </w:t>
            </w:r>
          </w:p>
        </w:tc>
        <w:tc>
          <w:tcPr>
            <w:tcW w:w="1275" w:type="dxa"/>
            <w:tcBorders>
              <w:top w:val="nil"/>
              <w:left w:val="nil"/>
              <w:bottom w:val="single" w:sz="4" w:space="0" w:color="auto"/>
              <w:right w:val="single" w:sz="4" w:space="0" w:color="auto"/>
            </w:tcBorders>
            <w:shd w:val="clear" w:color="auto" w:fill="C6EFCE"/>
            <w:noWrap/>
          </w:tcPr>
          <w:p w14:paraId="74D352E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6A20A2C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Numărul de contracte de finanțare semnate </w:t>
            </w:r>
          </w:p>
        </w:tc>
      </w:tr>
      <w:tr w:rsidR="000A27B3" w:rsidRPr="005209CD" w14:paraId="11BAFC1F"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9A9D059" w14:textId="77777777" w:rsidR="00981F92" w:rsidRPr="000A27B3" w:rsidRDefault="00981F92">
            <w:pPr>
              <w:spacing w:after="0"/>
              <w:rPr>
                <w:rFonts w:ascii="Times New Roman" w:hAnsi="Times New Roman" w:cs="Times New Roman"/>
                <w:noProof/>
              </w:rPr>
            </w:pPr>
            <w:r>
              <w:rPr>
                <w:rFonts w:ascii="Times New Roman" w:hAnsi="Times New Roman"/>
                <w:noProof/>
              </w:rPr>
              <w:t>347</w:t>
            </w:r>
          </w:p>
        </w:tc>
        <w:tc>
          <w:tcPr>
            <w:tcW w:w="3544" w:type="dxa"/>
            <w:tcBorders>
              <w:top w:val="nil"/>
              <w:left w:val="nil"/>
              <w:bottom w:val="single" w:sz="4" w:space="0" w:color="auto"/>
              <w:right w:val="single" w:sz="4" w:space="0" w:color="auto"/>
            </w:tcBorders>
            <w:shd w:val="clear" w:color="auto" w:fill="C6EFCE"/>
            <w:noWrap/>
          </w:tcPr>
          <w:p w14:paraId="72AA9EC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C11.I5 </w:t>
            </w:r>
          </w:p>
          <w:p w14:paraId="16992ED7" w14:textId="05549814" w:rsidR="00981F92" w:rsidRPr="000A27B3" w:rsidRDefault="00981F92">
            <w:pPr>
              <w:spacing w:after="0"/>
              <w:jc w:val="both"/>
              <w:rPr>
                <w:rFonts w:ascii="Times New Roman" w:hAnsi="Times New Roman" w:cs="Times New Roman"/>
                <w:noProof/>
              </w:rPr>
            </w:pPr>
            <w:r>
              <w:rPr>
                <w:rFonts w:ascii="Times New Roman" w:hAnsi="Times New Roman"/>
                <w:noProof/>
              </w:rPr>
              <w:t xml:space="preserve">Sporirea accesului la cultură în zonele defavorizate din punct de vedere cultural </w:t>
            </w:r>
          </w:p>
        </w:tc>
        <w:tc>
          <w:tcPr>
            <w:tcW w:w="1275" w:type="dxa"/>
            <w:tcBorders>
              <w:top w:val="nil"/>
              <w:left w:val="nil"/>
              <w:bottom w:val="single" w:sz="4" w:space="0" w:color="auto"/>
              <w:right w:val="single" w:sz="4" w:space="0" w:color="auto"/>
            </w:tcBorders>
            <w:shd w:val="clear" w:color="auto" w:fill="C6EFCE"/>
            <w:noWrap/>
          </w:tcPr>
          <w:p w14:paraId="0DA6AC6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E2F902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Localitățile mici cu acces sporit la cultură</w:t>
            </w:r>
          </w:p>
        </w:tc>
      </w:tr>
      <w:tr w:rsidR="000A27B3" w:rsidRPr="000A27B3" w14:paraId="64C731C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D66E8B5" w14:textId="77777777" w:rsidR="00981F92" w:rsidRPr="000A27B3" w:rsidRDefault="00981F92">
            <w:pPr>
              <w:spacing w:after="0"/>
              <w:rPr>
                <w:rFonts w:ascii="Times New Roman" w:hAnsi="Times New Roman" w:cs="Times New Roman"/>
                <w:noProof/>
              </w:rPr>
            </w:pPr>
            <w:r>
              <w:rPr>
                <w:rFonts w:ascii="Times New Roman" w:hAnsi="Times New Roman"/>
                <w:noProof/>
              </w:rPr>
              <w:t>269</w:t>
            </w:r>
          </w:p>
        </w:tc>
        <w:tc>
          <w:tcPr>
            <w:tcW w:w="3544" w:type="dxa"/>
            <w:tcBorders>
              <w:top w:val="nil"/>
              <w:left w:val="nil"/>
              <w:bottom w:val="single" w:sz="4" w:space="0" w:color="auto"/>
              <w:right w:val="single" w:sz="4" w:space="0" w:color="auto"/>
            </w:tcBorders>
            <w:shd w:val="clear" w:color="auto" w:fill="C6EFCE"/>
            <w:noWrap/>
          </w:tcPr>
          <w:p w14:paraId="7FFA517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C9.I4</w:t>
            </w:r>
          </w:p>
          <w:p w14:paraId="41149A7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Proiecte transfrontaliere și multinaționale – Procesoare cu consum redus de energie și cipuri semiconductoare </w:t>
            </w:r>
          </w:p>
        </w:tc>
        <w:tc>
          <w:tcPr>
            <w:tcW w:w="1275" w:type="dxa"/>
            <w:tcBorders>
              <w:top w:val="nil"/>
              <w:left w:val="nil"/>
              <w:bottom w:val="single" w:sz="4" w:space="0" w:color="auto"/>
              <w:right w:val="single" w:sz="4" w:space="0" w:color="auto"/>
            </w:tcBorders>
            <w:shd w:val="clear" w:color="auto" w:fill="C6EFCE"/>
            <w:noWrap/>
          </w:tcPr>
          <w:p w14:paraId="4E76F63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4CF6E4C" w14:textId="77777777" w:rsidR="00981F92" w:rsidRPr="000A27B3" w:rsidRDefault="00981F92">
            <w:pPr>
              <w:spacing w:after="0"/>
              <w:jc w:val="both"/>
              <w:rPr>
                <w:rFonts w:ascii="Times New Roman" w:hAnsi="Times New Roman" w:cs="Times New Roman"/>
                <w:noProof/>
              </w:rPr>
            </w:pPr>
            <w:r>
              <w:rPr>
                <w:rFonts w:ascii="Times New Roman" w:hAnsi="Times New Roman"/>
                <w:noProof/>
                <w:sz w:val="24"/>
              </w:rPr>
              <w:t>Fondurile sunt angajate pentru entitățile selectate</w:t>
            </w:r>
          </w:p>
        </w:tc>
      </w:tr>
      <w:tr w:rsidR="005209CD" w:rsidRPr="005209CD" w14:paraId="5A9AF3A2"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10DBFB62" w14:textId="794E0068" w:rsidR="005209CD" w:rsidRPr="000A27B3" w:rsidRDefault="005209CD" w:rsidP="005209CD">
            <w:pPr>
              <w:spacing w:after="0"/>
              <w:rPr>
                <w:rFonts w:ascii="Times New Roman" w:hAnsi="Times New Roman" w:cs="Times New Roman"/>
                <w:noProof/>
              </w:rPr>
            </w:pPr>
            <w:r>
              <w:rPr>
                <w:rFonts w:ascii="Times New Roman" w:hAnsi="Times New Roman"/>
                <w:noProof/>
              </w:rPr>
              <w:t>283</w:t>
            </w:r>
          </w:p>
        </w:tc>
        <w:tc>
          <w:tcPr>
            <w:tcW w:w="3544" w:type="dxa"/>
            <w:tcBorders>
              <w:top w:val="nil"/>
              <w:left w:val="nil"/>
              <w:bottom w:val="single" w:sz="4" w:space="0" w:color="auto"/>
              <w:right w:val="single" w:sz="4" w:space="0" w:color="auto"/>
            </w:tcBorders>
            <w:shd w:val="clear" w:color="auto" w:fill="C6EFCE"/>
            <w:noWrap/>
          </w:tcPr>
          <w:p w14:paraId="407292C3"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rPr>
              <w:t>C9.I7</w:t>
            </w:r>
          </w:p>
          <w:p w14:paraId="6247912D" w14:textId="06751BC9" w:rsidR="005209CD" w:rsidRPr="000A27B3" w:rsidRDefault="005209CD" w:rsidP="005209CD">
            <w:pPr>
              <w:spacing w:after="0"/>
              <w:jc w:val="both"/>
              <w:rPr>
                <w:rFonts w:ascii="Times New Roman" w:hAnsi="Times New Roman" w:cs="Times New Roman"/>
                <w:noProof/>
              </w:rPr>
            </w:pPr>
            <w:r>
              <w:rPr>
                <w:rFonts w:ascii="Times New Roman" w:hAnsi="Times New Roman"/>
                <w:noProof/>
              </w:rPr>
              <w:t xml:space="preserve">Consolidarea excelenței si susținerea participării României la parteneriatele si misiunile din cadrul programului Orizont Europa </w:t>
            </w:r>
          </w:p>
        </w:tc>
        <w:tc>
          <w:tcPr>
            <w:tcW w:w="1275" w:type="dxa"/>
            <w:tcBorders>
              <w:top w:val="nil"/>
              <w:left w:val="nil"/>
              <w:bottom w:val="single" w:sz="4" w:space="0" w:color="auto"/>
              <w:right w:val="single" w:sz="4" w:space="0" w:color="auto"/>
            </w:tcBorders>
            <w:shd w:val="clear" w:color="auto" w:fill="C6EFCE"/>
            <w:noWrap/>
          </w:tcPr>
          <w:p w14:paraId="6E995C7D" w14:textId="55B7926F" w:rsidR="005209CD" w:rsidRPr="000A27B3" w:rsidRDefault="005209CD" w:rsidP="005209CD">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C7E0BE4" w14:textId="7E7990CD" w:rsidR="005209CD" w:rsidRPr="000A27B3" w:rsidRDefault="005209CD" w:rsidP="005209CD">
            <w:pPr>
              <w:spacing w:after="0"/>
              <w:jc w:val="both"/>
              <w:rPr>
                <w:rFonts w:ascii="Times New Roman" w:hAnsi="Times New Roman"/>
                <w:noProof/>
                <w:sz w:val="24"/>
              </w:rPr>
            </w:pPr>
            <w:r>
              <w:rPr>
                <w:rFonts w:ascii="Times New Roman" w:hAnsi="Times New Roman"/>
                <w:noProof/>
              </w:rPr>
              <w:t>Numărul de contracte de finanțare a cercetării semnate</w:t>
            </w:r>
          </w:p>
        </w:tc>
      </w:tr>
      <w:tr w:rsidR="005209CD" w:rsidRPr="000A27B3" w14:paraId="65EF4A9A"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48CE574B" w14:textId="77777777" w:rsidR="005209CD" w:rsidRPr="000A27B3" w:rsidRDefault="005209CD" w:rsidP="005209CD">
            <w:pPr>
              <w:spacing w:after="0"/>
              <w:rPr>
                <w:rFonts w:ascii="Times New Roman" w:hAnsi="Times New Roman" w:cs="Times New Roman"/>
                <w:noProof/>
              </w:rPr>
            </w:pPr>
            <w:r>
              <w:rPr>
                <w:rFonts w:ascii="Times New Roman" w:hAnsi="Times New Roman"/>
                <w:noProof/>
              </w:rPr>
              <w:t>523</w:t>
            </w:r>
          </w:p>
        </w:tc>
        <w:tc>
          <w:tcPr>
            <w:tcW w:w="3544" w:type="dxa"/>
            <w:tcBorders>
              <w:top w:val="nil"/>
              <w:left w:val="nil"/>
              <w:bottom w:val="single" w:sz="4" w:space="0" w:color="auto"/>
              <w:right w:val="single" w:sz="4" w:space="0" w:color="auto"/>
            </w:tcBorders>
            <w:shd w:val="clear" w:color="auto" w:fill="C6EFCE"/>
            <w:noWrap/>
          </w:tcPr>
          <w:p w14:paraId="2EF7BF93"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rPr>
              <w:t>C16.R2 Înființarea ghișeelor unice pentru furnizarea de servicii de consiliere în domeniul energiei pentru renovările ce vizează eficiența energetică și producția de energie din surse regenerabile</w:t>
            </w:r>
          </w:p>
        </w:tc>
        <w:tc>
          <w:tcPr>
            <w:tcW w:w="1275" w:type="dxa"/>
            <w:tcBorders>
              <w:top w:val="nil"/>
              <w:left w:val="nil"/>
              <w:bottom w:val="single" w:sz="4" w:space="0" w:color="auto"/>
              <w:right w:val="single" w:sz="4" w:space="0" w:color="auto"/>
            </w:tcBorders>
            <w:shd w:val="clear" w:color="auto" w:fill="C6EFCE"/>
            <w:noWrap/>
          </w:tcPr>
          <w:p w14:paraId="717D3062" w14:textId="77777777" w:rsidR="005209CD" w:rsidRPr="000A27B3" w:rsidRDefault="005209CD" w:rsidP="005209CD">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AB61277"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rPr>
              <w:t>Intrarea în vigoare a modificărilor legislative pentru înființarea și dezvoltarea birourilor pentru ghișeele unice pentru furnizarea de servicii de consiliere în domeniul energiei</w:t>
            </w:r>
          </w:p>
        </w:tc>
      </w:tr>
      <w:tr w:rsidR="005209CD" w:rsidRPr="000A27B3" w14:paraId="73722AC6"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280DDAF3" w14:textId="77777777" w:rsidR="005209CD" w:rsidRPr="000A27B3" w:rsidRDefault="005209CD" w:rsidP="005209CD">
            <w:pPr>
              <w:spacing w:after="0"/>
              <w:rPr>
                <w:rFonts w:ascii="Times New Roman" w:hAnsi="Times New Roman" w:cs="Times New Roman"/>
                <w:noProof/>
              </w:rPr>
            </w:pPr>
            <w:r>
              <w:rPr>
                <w:rFonts w:ascii="Times New Roman" w:hAnsi="Times New Roman"/>
                <w:noProof/>
              </w:rPr>
              <w:t>524</w:t>
            </w:r>
          </w:p>
        </w:tc>
        <w:tc>
          <w:tcPr>
            <w:tcW w:w="3544" w:type="dxa"/>
            <w:tcBorders>
              <w:top w:val="nil"/>
              <w:left w:val="nil"/>
              <w:bottom w:val="single" w:sz="4" w:space="0" w:color="auto"/>
              <w:right w:val="single" w:sz="4" w:space="0" w:color="auto"/>
            </w:tcBorders>
            <w:shd w:val="clear" w:color="auto" w:fill="C6EFCE"/>
            <w:noWrap/>
          </w:tcPr>
          <w:p w14:paraId="3695706C"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rPr>
              <w:t>C16.R2 Înființarea ghișeelor unice pentru furnizarea de servicii de consiliere în domeniul energiei pentru renovările ce vizează eficiența energetică și producția de energie din surse regenerabile</w:t>
            </w:r>
          </w:p>
        </w:tc>
        <w:tc>
          <w:tcPr>
            <w:tcW w:w="1275" w:type="dxa"/>
            <w:tcBorders>
              <w:top w:val="nil"/>
              <w:left w:val="nil"/>
              <w:bottom w:val="single" w:sz="4" w:space="0" w:color="auto"/>
              <w:right w:val="single" w:sz="4" w:space="0" w:color="auto"/>
            </w:tcBorders>
            <w:shd w:val="clear" w:color="auto" w:fill="C6EFCE"/>
            <w:noWrap/>
          </w:tcPr>
          <w:p w14:paraId="1E06B867" w14:textId="77777777" w:rsidR="005209CD" w:rsidRPr="000A27B3" w:rsidRDefault="005209CD" w:rsidP="005209CD">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02DD00BE"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sz w:val="24"/>
              </w:rPr>
              <w:t>Acțiuni de consolidare a capacităților</w:t>
            </w:r>
          </w:p>
        </w:tc>
      </w:tr>
      <w:tr w:rsidR="005209CD" w:rsidRPr="000A27B3" w14:paraId="3757BCC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7DDFDF25" w14:textId="77777777" w:rsidR="005209CD" w:rsidRPr="000A27B3" w:rsidRDefault="005209CD" w:rsidP="005209CD">
            <w:pPr>
              <w:spacing w:after="0"/>
              <w:rPr>
                <w:rFonts w:ascii="Times New Roman" w:hAnsi="Times New Roman" w:cs="Times New Roman"/>
                <w:noProof/>
              </w:rPr>
            </w:pPr>
            <w:r>
              <w:rPr>
                <w:rFonts w:ascii="Times New Roman" w:hAnsi="Times New Roman"/>
                <w:noProof/>
              </w:rPr>
              <w:t>525</w:t>
            </w:r>
          </w:p>
        </w:tc>
        <w:tc>
          <w:tcPr>
            <w:tcW w:w="3544" w:type="dxa"/>
            <w:tcBorders>
              <w:top w:val="nil"/>
              <w:left w:val="nil"/>
              <w:bottom w:val="single" w:sz="4" w:space="0" w:color="auto"/>
              <w:right w:val="single" w:sz="4" w:space="0" w:color="auto"/>
            </w:tcBorders>
            <w:shd w:val="clear" w:color="auto" w:fill="C6EFCE"/>
            <w:noWrap/>
          </w:tcPr>
          <w:p w14:paraId="108090E5"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rPr>
              <w:t>C16.R2 Înființarea ghișeelor unice pentru furnizarea de servicii de consiliere în domeniul energiei pentru renovările ce vizează eficiența energetică și producția de energie din surse regenerabile</w:t>
            </w:r>
          </w:p>
        </w:tc>
        <w:tc>
          <w:tcPr>
            <w:tcW w:w="1275" w:type="dxa"/>
            <w:tcBorders>
              <w:top w:val="nil"/>
              <w:left w:val="nil"/>
              <w:bottom w:val="single" w:sz="4" w:space="0" w:color="auto"/>
              <w:right w:val="single" w:sz="4" w:space="0" w:color="auto"/>
            </w:tcBorders>
            <w:shd w:val="clear" w:color="auto" w:fill="C6EFCE"/>
            <w:noWrap/>
          </w:tcPr>
          <w:p w14:paraId="2F435DCF" w14:textId="77777777" w:rsidR="005209CD" w:rsidRPr="000A27B3" w:rsidRDefault="005209CD" w:rsidP="005209CD">
            <w:pPr>
              <w:spacing w:after="0"/>
              <w:jc w:val="center"/>
              <w:rPr>
                <w:rFonts w:ascii="Times New Roman" w:hAnsi="Times New Roman" w:cs="Times New Roman"/>
                <w:noProof/>
              </w:rPr>
            </w:pPr>
            <w:r>
              <w:rPr>
                <w:rFonts w:ascii="Times New Roman" w:hAnsi="Times New Roman"/>
                <w:noProof/>
              </w:rPr>
              <w:t>T</w:t>
            </w:r>
          </w:p>
        </w:tc>
        <w:tc>
          <w:tcPr>
            <w:tcW w:w="3402" w:type="dxa"/>
            <w:tcBorders>
              <w:top w:val="nil"/>
              <w:left w:val="nil"/>
              <w:bottom w:val="single" w:sz="4" w:space="0" w:color="auto"/>
              <w:right w:val="single" w:sz="4" w:space="0" w:color="auto"/>
            </w:tcBorders>
            <w:shd w:val="clear" w:color="auto" w:fill="C6EFCE"/>
            <w:noWrap/>
          </w:tcPr>
          <w:p w14:paraId="4672A604"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sz w:val="24"/>
              </w:rPr>
              <w:t>Deschiderea ghișeelor unice fizice</w:t>
            </w:r>
          </w:p>
        </w:tc>
      </w:tr>
      <w:tr w:rsidR="005209CD" w:rsidRPr="000A27B3" w14:paraId="7F8F4D0C" w14:textId="77777777">
        <w:trPr>
          <w:trHeight w:val="301"/>
        </w:trPr>
        <w:tc>
          <w:tcPr>
            <w:tcW w:w="1413" w:type="dxa"/>
            <w:tcBorders>
              <w:top w:val="nil"/>
              <w:left w:val="single" w:sz="4" w:space="0" w:color="auto"/>
              <w:bottom w:val="single" w:sz="4" w:space="0" w:color="auto"/>
              <w:right w:val="single" w:sz="4" w:space="0" w:color="auto"/>
            </w:tcBorders>
            <w:shd w:val="clear" w:color="auto" w:fill="C6EFCE"/>
            <w:noWrap/>
          </w:tcPr>
          <w:p w14:paraId="3BF2B3AE" w14:textId="77777777" w:rsidR="005209CD" w:rsidRPr="000A27B3" w:rsidRDefault="005209CD" w:rsidP="005209CD">
            <w:pPr>
              <w:spacing w:after="0"/>
              <w:rPr>
                <w:rFonts w:ascii="Times New Roman" w:hAnsi="Times New Roman" w:cs="Times New Roman"/>
                <w:noProof/>
              </w:rPr>
            </w:pPr>
            <w:r>
              <w:rPr>
                <w:rFonts w:ascii="Times New Roman" w:hAnsi="Times New Roman"/>
                <w:noProof/>
              </w:rPr>
              <w:t>528</w:t>
            </w:r>
          </w:p>
        </w:tc>
        <w:tc>
          <w:tcPr>
            <w:tcW w:w="3544" w:type="dxa"/>
            <w:tcBorders>
              <w:top w:val="nil"/>
              <w:left w:val="nil"/>
              <w:bottom w:val="single" w:sz="4" w:space="0" w:color="auto"/>
              <w:right w:val="single" w:sz="4" w:space="0" w:color="auto"/>
            </w:tcBorders>
            <w:shd w:val="clear" w:color="auto" w:fill="C6EFCE"/>
            <w:noWrap/>
          </w:tcPr>
          <w:p w14:paraId="68E3DE52" w14:textId="77777777" w:rsidR="005209CD" w:rsidRPr="000A27B3" w:rsidRDefault="005209CD" w:rsidP="005209CD">
            <w:pPr>
              <w:spacing w:after="0"/>
              <w:jc w:val="both"/>
              <w:rPr>
                <w:rFonts w:ascii="Times New Roman" w:hAnsi="Times New Roman" w:cs="Times New Roman"/>
                <w:noProof/>
              </w:rPr>
            </w:pPr>
            <w:r>
              <w:rPr>
                <w:rFonts w:ascii="Times New Roman" w:hAnsi="Times New Roman"/>
                <w:noProof/>
              </w:rPr>
              <w:t>C16.I7 Schema de granturi sub formă de bonuri valorice pentru îmbunătățirea eficienței energetice a gospodăriilor</w:t>
            </w:r>
          </w:p>
        </w:tc>
        <w:tc>
          <w:tcPr>
            <w:tcW w:w="1275" w:type="dxa"/>
            <w:tcBorders>
              <w:top w:val="nil"/>
              <w:left w:val="nil"/>
              <w:bottom w:val="single" w:sz="4" w:space="0" w:color="auto"/>
              <w:right w:val="single" w:sz="4" w:space="0" w:color="auto"/>
            </w:tcBorders>
            <w:shd w:val="clear" w:color="auto" w:fill="C6EFCE"/>
            <w:noWrap/>
          </w:tcPr>
          <w:p w14:paraId="08D4CDE7" w14:textId="77777777" w:rsidR="005209CD" w:rsidRPr="000A27B3" w:rsidRDefault="005209CD" w:rsidP="005209CD">
            <w:pPr>
              <w:spacing w:after="0"/>
              <w:jc w:val="center"/>
              <w:rPr>
                <w:rFonts w:ascii="Times New Roman" w:hAnsi="Times New Roman" w:cs="Times New Roman"/>
                <w:noProof/>
              </w:rPr>
            </w:pPr>
            <w:r>
              <w:rPr>
                <w:rFonts w:ascii="Times New Roman" w:hAnsi="Times New Roman"/>
                <w:noProof/>
              </w:rPr>
              <w:t>J</w:t>
            </w:r>
          </w:p>
        </w:tc>
        <w:tc>
          <w:tcPr>
            <w:tcW w:w="3402" w:type="dxa"/>
            <w:tcBorders>
              <w:top w:val="nil"/>
              <w:left w:val="nil"/>
              <w:bottom w:val="single" w:sz="4" w:space="0" w:color="auto"/>
              <w:right w:val="single" w:sz="4" w:space="0" w:color="auto"/>
            </w:tcBorders>
            <w:shd w:val="clear" w:color="auto" w:fill="C6EFCE"/>
            <w:noWrap/>
          </w:tcPr>
          <w:p w14:paraId="66EBCFC9" w14:textId="526D4FDB" w:rsidR="005209CD" w:rsidRPr="000A27B3" w:rsidRDefault="005209CD" w:rsidP="005209CD">
            <w:pPr>
              <w:spacing w:after="0"/>
              <w:jc w:val="both"/>
              <w:rPr>
                <w:rFonts w:ascii="Times New Roman" w:hAnsi="Times New Roman" w:cs="Times New Roman"/>
                <w:noProof/>
              </w:rPr>
            </w:pPr>
            <w:r>
              <w:rPr>
                <w:rFonts w:ascii="Times New Roman" w:hAnsi="Times New Roman"/>
                <w:noProof/>
                <w:sz w:val="24"/>
              </w:rPr>
              <w:t>Lansarea cererilor de propuneri de proiecte</w:t>
            </w:r>
          </w:p>
        </w:tc>
      </w:tr>
      <w:tr w:rsidR="005209CD" w:rsidRPr="000A27B3" w14:paraId="10E73770" w14:textId="77777777">
        <w:trPr>
          <w:trHeight w:val="301"/>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378BCF4E" w14:textId="77777777" w:rsidR="005209CD" w:rsidRPr="009F1DC7" w:rsidRDefault="005209CD" w:rsidP="005209CD">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099CA640" w14:textId="77777777" w:rsidR="005209CD" w:rsidRPr="009F1DC7" w:rsidRDefault="005209CD" w:rsidP="005209CD">
            <w:pPr>
              <w:spacing w:after="0"/>
              <w:jc w:val="both"/>
              <w:rPr>
                <w:rFonts w:ascii="Times New Roman" w:eastAsia="Times New Roman" w:hAnsi="Times New Roman" w:cs="Times New Roman"/>
                <w:noProof/>
                <w:lang w:val="fr-FR" w:eastAsia="en-GB"/>
              </w:rPr>
            </w:pPr>
          </w:p>
        </w:tc>
        <w:tc>
          <w:tcPr>
            <w:tcW w:w="1275" w:type="dxa"/>
            <w:tcBorders>
              <w:top w:val="single" w:sz="4" w:space="0" w:color="auto"/>
              <w:left w:val="nil"/>
              <w:bottom w:val="single" w:sz="4" w:space="0" w:color="auto"/>
              <w:right w:val="single" w:sz="4" w:space="0" w:color="auto"/>
            </w:tcBorders>
            <w:shd w:val="clear" w:color="auto" w:fill="C6EFCE"/>
            <w:noWrap/>
          </w:tcPr>
          <w:p w14:paraId="59A2A098" w14:textId="77777777" w:rsidR="005209CD" w:rsidRPr="000A27B3" w:rsidRDefault="005209CD" w:rsidP="005209CD">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02" w:type="dxa"/>
            <w:tcBorders>
              <w:top w:val="single" w:sz="4" w:space="0" w:color="auto"/>
              <w:left w:val="nil"/>
              <w:bottom w:val="single" w:sz="4" w:space="0" w:color="auto"/>
              <w:right w:val="single" w:sz="4" w:space="0" w:color="auto"/>
            </w:tcBorders>
            <w:shd w:val="clear" w:color="auto" w:fill="C6EFCE"/>
            <w:noWrap/>
            <w:vAlign w:val="center"/>
          </w:tcPr>
          <w:p w14:paraId="4EF7BBAA" w14:textId="2CA8D5B9" w:rsidR="005209CD" w:rsidRPr="000A27B3" w:rsidRDefault="005209CD" w:rsidP="005209CD">
            <w:pPr>
              <w:spacing w:after="0"/>
              <w:jc w:val="right"/>
              <w:rPr>
                <w:rFonts w:ascii="Times New Roman" w:eastAsia="Times New Roman" w:hAnsi="Times New Roman" w:cs="Times New Roman"/>
                <w:noProof/>
              </w:rPr>
            </w:pPr>
            <w:r>
              <w:rPr>
                <w:rFonts w:ascii="Times New Roman" w:hAnsi="Times New Roman"/>
                <w:noProof/>
              </w:rPr>
              <w:t>3 287 401 552 EUR</w:t>
            </w:r>
          </w:p>
        </w:tc>
      </w:tr>
    </w:tbl>
    <w:p w14:paraId="5212CBB9" w14:textId="77777777" w:rsidR="00981F92" w:rsidRPr="000A27B3" w:rsidRDefault="00981F92">
      <w:pPr>
        <w:pStyle w:val="NumPar2"/>
        <w:tabs>
          <w:tab w:val="clear" w:pos="850"/>
        </w:tabs>
        <w:ind w:firstLine="0"/>
        <w:rPr>
          <w:noProof/>
          <w:sz w:val="22"/>
        </w:rPr>
        <w:sectPr w:rsidR="00981F92" w:rsidRPr="000A27B3">
          <w:headerReference w:type="even" r:id="rId367"/>
          <w:headerReference w:type="default" r:id="rId368"/>
          <w:footerReference w:type="even" r:id="rId369"/>
          <w:footerReference w:type="default" r:id="rId370"/>
          <w:headerReference w:type="first" r:id="rId371"/>
          <w:footerReference w:type="first" r:id="rId372"/>
          <w:pgSz w:w="11907" w:h="16839"/>
          <w:pgMar w:top="1134" w:right="1134" w:bottom="1134" w:left="1134" w:header="567" w:footer="567" w:gutter="0"/>
          <w:cols w:space="720"/>
          <w:docGrid w:linePitch="360"/>
        </w:sectPr>
      </w:pPr>
    </w:p>
    <w:p w14:paraId="361E56C4" w14:textId="1D0CDD73" w:rsidR="00981F92" w:rsidRPr="000A27B3" w:rsidRDefault="00981F92">
      <w:pPr>
        <w:pStyle w:val="Heading3"/>
        <w:rPr>
          <w:noProof/>
          <w:szCs w:val="24"/>
        </w:rPr>
      </w:pPr>
      <w:r>
        <w:rPr>
          <w:noProof/>
        </w:rPr>
        <w:t xml:space="preserve">A șasea tranșă (sprijin sub formă de împrumut): </w:t>
      </w:r>
    </w:p>
    <w:tbl>
      <w:tblPr>
        <w:tblW w:w="9634" w:type="dxa"/>
        <w:tblInd w:w="113" w:type="dxa"/>
        <w:tblLook w:val="04A0" w:firstRow="1" w:lastRow="0" w:firstColumn="1" w:lastColumn="0" w:noHBand="0" w:noVBand="1"/>
      </w:tblPr>
      <w:tblGrid>
        <w:gridCol w:w="1413"/>
        <w:gridCol w:w="3544"/>
        <w:gridCol w:w="1231"/>
        <w:gridCol w:w="3447"/>
      </w:tblGrid>
      <w:tr w:rsidR="00981F92" w:rsidRPr="000A27B3" w14:paraId="11CA1527"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4F37FE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4C7DE368"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1489F29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30"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B2D1EBF"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47"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5D013138"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5BB1961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09A2A8D" w14:textId="77777777" w:rsidR="00981F92" w:rsidRPr="000A27B3" w:rsidRDefault="00981F92">
            <w:pPr>
              <w:spacing w:after="0"/>
              <w:jc w:val="center"/>
              <w:rPr>
                <w:rFonts w:ascii="Times New Roman" w:eastAsia="Times New Roman" w:hAnsi="Times New Roman" w:cs="Times New Roman"/>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55F0B3D" w14:textId="77777777" w:rsidR="00981F92" w:rsidRPr="000A27B3" w:rsidRDefault="00981F92">
            <w:pPr>
              <w:spacing w:after="0"/>
              <w:rPr>
                <w:rFonts w:ascii="Times New Roman" w:eastAsia="Times New Roman" w:hAnsi="Times New Roman" w:cs="Times New Roman"/>
                <w:b/>
                <w:bCs/>
                <w:noProof/>
                <w:lang w:eastAsia="en-GB"/>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2A3ED67D" w14:textId="77777777" w:rsidR="00981F92" w:rsidRPr="000A27B3" w:rsidRDefault="00981F92">
            <w:pPr>
              <w:spacing w:after="0"/>
              <w:jc w:val="center"/>
              <w:rPr>
                <w:rFonts w:ascii="Times New Roman" w:eastAsia="Times New Roman" w:hAnsi="Times New Roman" w:cs="Times New Roman"/>
                <w:noProof/>
                <w:lang w:eastAsia="en-GB"/>
              </w:rPr>
            </w:pPr>
          </w:p>
        </w:tc>
        <w:tc>
          <w:tcPr>
            <w:tcW w:w="3447" w:type="dxa"/>
            <w:vMerge/>
            <w:tcBorders>
              <w:top w:val="single" w:sz="4" w:space="0" w:color="auto"/>
              <w:left w:val="nil"/>
              <w:bottom w:val="single" w:sz="4" w:space="0" w:color="000000"/>
              <w:right w:val="single" w:sz="4" w:space="0" w:color="auto"/>
            </w:tcBorders>
            <w:vAlign w:val="center"/>
            <w:hideMark/>
          </w:tcPr>
          <w:p w14:paraId="47B73D25"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2F9A7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46D7246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4</w:t>
            </w:r>
          </w:p>
        </w:tc>
        <w:tc>
          <w:tcPr>
            <w:tcW w:w="3544" w:type="dxa"/>
            <w:tcBorders>
              <w:top w:val="nil"/>
              <w:left w:val="nil"/>
              <w:bottom w:val="single" w:sz="4" w:space="0" w:color="auto"/>
              <w:right w:val="single" w:sz="4" w:space="0" w:color="auto"/>
            </w:tcBorders>
            <w:shd w:val="clear" w:color="auto" w:fill="C6EFCE"/>
            <w:noWrap/>
            <w:hideMark/>
          </w:tcPr>
          <w:p w14:paraId="469B700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C1.R2 </w:t>
            </w:r>
          </w:p>
          <w:p w14:paraId="5425D818"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Reconfigurarea actualului mecanism economic al ANAR în vederea asigurării modernizării și întreținerii sistemului național de gospodărire a apelor, precum și a implementării corespunzătoare a Directivei-cadru privind apa și a Directivei privind inundațiile </w:t>
            </w:r>
          </w:p>
        </w:tc>
        <w:tc>
          <w:tcPr>
            <w:tcW w:w="1230" w:type="dxa"/>
            <w:tcBorders>
              <w:top w:val="nil"/>
              <w:left w:val="nil"/>
              <w:bottom w:val="single" w:sz="4" w:space="0" w:color="auto"/>
              <w:right w:val="single" w:sz="4" w:space="0" w:color="auto"/>
            </w:tcBorders>
            <w:shd w:val="clear" w:color="auto" w:fill="C6EFCE"/>
            <w:noWrap/>
            <w:hideMark/>
          </w:tcPr>
          <w:p w14:paraId="4ADFEDD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hideMark/>
          </w:tcPr>
          <w:p w14:paraId="0BB4BBEF"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Intrarea în vigoare a legii de modificare a Legii apelor - Legea nr. 107/1996</w:t>
            </w:r>
          </w:p>
        </w:tc>
      </w:tr>
      <w:tr w:rsidR="00981F92" w:rsidRPr="000A27B3" w14:paraId="5C0143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C7515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w:t>
            </w:r>
          </w:p>
        </w:tc>
        <w:tc>
          <w:tcPr>
            <w:tcW w:w="3544" w:type="dxa"/>
            <w:tcBorders>
              <w:top w:val="nil"/>
              <w:left w:val="nil"/>
              <w:bottom w:val="single" w:sz="4" w:space="0" w:color="auto"/>
              <w:right w:val="single" w:sz="4" w:space="0" w:color="auto"/>
            </w:tcBorders>
            <w:shd w:val="clear" w:color="auto" w:fill="C6EFCE"/>
            <w:noWrap/>
          </w:tcPr>
          <w:p w14:paraId="7D875AA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C1.I1 </w:t>
            </w:r>
          </w:p>
          <w:p w14:paraId="4CAE9F4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Extinderea sistemelor de apă și canalizare în aglomerări mai mari de 2 000 de locuitori echivalenți, prioritizate prin Planul accelerat de conformare cu directivele europene</w:t>
            </w:r>
          </w:p>
        </w:tc>
        <w:tc>
          <w:tcPr>
            <w:tcW w:w="1230" w:type="dxa"/>
            <w:tcBorders>
              <w:top w:val="nil"/>
              <w:left w:val="nil"/>
              <w:bottom w:val="single" w:sz="4" w:space="0" w:color="auto"/>
              <w:right w:val="single" w:sz="4" w:space="0" w:color="auto"/>
            </w:tcBorders>
            <w:shd w:val="clear" w:color="auto" w:fill="C6EFCE"/>
            <w:noWrap/>
          </w:tcPr>
          <w:p w14:paraId="6221272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2CE804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Rețelele de distribuție a apei sunt construite și operaționale</w:t>
            </w:r>
          </w:p>
        </w:tc>
      </w:tr>
      <w:tr w:rsidR="000A27B3" w:rsidRPr="000A27B3" w14:paraId="6E6DE7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77D89D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7</w:t>
            </w:r>
          </w:p>
        </w:tc>
        <w:tc>
          <w:tcPr>
            <w:tcW w:w="3544" w:type="dxa"/>
            <w:tcBorders>
              <w:top w:val="nil"/>
              <w:left w:val="nil"/>
              <w:bottom w:val="single" w:sz="4" w:space="0" w:color="auto"/>
              <w:right w:val="single" w:sz="4" w:space="0" w:color="auto"/>
            </w:tcBorders>
            <w:shd w:val="clear" w:color="auto" w:fill="C6EFCE"/>
            <w:noWrap/>
          </w:tcPr>
          <w:p w14:paraId="661D37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C1.I1 </w:t>
            </w:r>
          </w:p>
          <w:p w14:paraId="09E6E6C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Extinderea sistemelor de apă și canalizare în aglomerări mai mari de 2 000 de locuitori echivalenți, prioritizate prin Planul accelerat de conformare cu directivele europene </w:t>
            </w:r>
          </w:p>
        </w:tc>
        <w:tc>
          <w:tcPr>
            <w:tcW w:w="1230" w:type="dxa"/>
            <w:tcBorders>
              <w:top w:val="nil"/>
              <w:left w:val="nil"/>
              <w:bottom w:val="single" w:sz="4" w:space="0" w:color="auto"/>
              <w:right w:val="single" w:sz="4" w:space="0" w:color="auto"/>
            </w:tcBorders>
            <w:shd w:val="clear" w:color="auto" w:fill="C6EFCE"/>
            <w:noWrap/>
          </w:tcPr>
          <w:p w14:paraId="7A30C38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BCACED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Rețele de canalizare construite și operaționale </w:t>
            </w:r>
          </w:p>
        </w:tc>
      </w:tr>
      <w:tr w:rsidR="00981F92" w:rsidRPr="000A27B3" w14:paraId="532201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A984CF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48</w:t>
            </w:r>
          </w:p>
        </w:tc>
        <w:tc>
          <w:tcPr>
            <w:tcW w:w="3544" w:type="dxa"/>
            <w:tcBorders>
              <w:top w:val="nil"/>
              <w:left w:val="nil"/>
              <w:bottom w:val="single" w:sz="4" w:space="0" w:color="auto"/>
              <w:right w:val="single" w:sz="4" w:space="0" w:color="auto"/>
            </w:tcBorders>
            <w:shd w:val="clear" w:color="auto" w:fill="C6EFCE"/>
            <w:noWrap/>
          </w:tcPr>
          <w:p w14:paraId="5FCE8E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C3.I1a</w:t>
            </w:r>
          </w:p>
          <w:p w14:paraId="123809F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Înființarea de centre de colectare cu aport voluntar</w:t>
            </w:r>
          </w:p>
        </w:tc>
        <w:tc>
          <w:tcPr>
            <w:tcW w:w="1230" w:type="dxa"/>
            <w:tcBorders>
              <w:top w:val="nil"/>
              <w:left w:val="nil"/>
              <w:bottom w:val="single" w:sz="4" w:space="0" w:color="auto"/>
              <w:right w:val="single" w:sz="4" w:space="0" w:color="auto"/>
            </w:tcBorders>
            <w:shd w:val="clear" w:color="auto" w:fill="C6EFCE"/>
            <w:noWrap/>
          </w:tcPr>
          <w:p w14:paraId="0AE3C29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EADF8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Centrele de colectare cu aport voluntar sunt înființate și operaționale</w:t>
            </w:r>
          </w:p>
        </w:tc>
      </w:tr>
      <w:tr w:rsidR="000A27B3" w:rsidRPr="000A27B3" w14:paraId="427AE6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AB229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w:t>
            </w:r>
          </w:p>
        </w:tc>
        <w:tc>
          <w:tcPr>
            <w:tcW w:w="3544" w:type="dxa"/>
            <w:tcBorders>
              <w:top w:val="nil"/>
              <w:left w:val="nil"/>
              <w:bottom w:val="single" w:sz="4" w:space="0" w:color="auto"/>
              <w:right w:val="single" w:sz="4" w:space="0" w:color="auto"/>
            </w:tcBorders>
            <w:shd w:val="clear" w:color="auto" w:fill="C6EFCE"/>
            <w:noWrap/>
          </w:tcPr>
          <w:p w14:paraId="7FF1421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C3.I1b</w:t>
            </w:r>
          </w:p>
          <w:p w14:paraId="65806E5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de insule ecologice digitalizate pentru colectarea separată a deșeurilor la nivel local</w:t>
            </w:r>
          </w:p>
        </w:tc>
        <w:tc>
          <w:tcPr>
            <w:tcW w:w="1230" w:type="dxa"/>
            <w:tcBorders>
              <w:top w:val="nil"/>
              <w:left w:val="nil"/>
              <w:bottom w:val="single" w:sz="4" w:space="0" w:color="auto"/>
              <w:right w:val="single" w:sz="4" w:space="0" w:color="auto"/>
            </w:tcBorders>
            <w:shd w:val="clear" w:color="auto" w:fill="C6EFCE"/>
            <w:noWrap/>
          </w:tcPr>
          <w:p w14:paraId="0B15529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C0DA4D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Insulele ecologice digitalizate pentru colectarea separată a deșeurilor sunt înființate și operaționale</w:t>
            </w:r>
          </w:p>
        </w:tc>
      </w:tr>
      <w:tr w:rsidR="00981F92" w:rsidRPr="000A27B3" w14:paraId="0D7F57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E2330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14</w:t>
            </w:r>
          </w:p>
        </w:tc>
        <w:tc>
          <w:tcPr>
            <w:tcW w:w="3544" w:type="dxa"/>
            <w:tcBorders>
              <w:top w:val="nil"/>
              <w:left w:val="nil"/>
              <w:bottom w:val="single" w:sz="4" w:space="0" w:color="auto"/>
              <w:right w:val="single" w:sz="4" w:space="0" w:color="auto"/>
            </w:tcBorders>
            <w:shd w:val="clear" w:color="auto" w:fill="C6EFCE"/>
            <w:noWrap/>
          </w:tcPr>
          <w:p w14:paraId="1ECC266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C1.I4.1</w:t>
            </w:r>
          </w:p>
          <w:p w14:paraId="18EAF4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Reabilitarea liniilor de apărare existente în conformitate cu Directiva privind inundațiile și cu Strategia Națională pentru Managementul Riscului la Inundații </w:t>
            </w:r>
          </w:p>
        </w:tc>
        <w:tc>
          <w:tcPr>
            <w:tcW w:w="1230" w:type="dxa"/>
            <w:tcBorders>
              <w:top w:val="nil"/>
              <w:left w:val="nil"/>
              <w:bottom w:val="single" w:sz="4" w:space="0" w:color="auto"/>
              <w:right w:val="single" w:sz="4" w:space="0" w:color="auto"/>
            </w:tcBorders>
            <w:shd w:val="clear" w:color="auto" w:fill="C6EFCE"/>
            <w:noWrap/>
          </w:tcPr>
          <w:p w14:paraId="08BC125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2193E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Reabilitarea liniilor de apărare împotriva inundațiilor în conformitate cu Directiva privind inundațiile și cu Strategia Națională pentru Managementul Riscului la Inundații </w:t>
            </w:r>
          </w:p>
        </w:tc>
      </w:tr>
      <w:tr w:rsidR="00981F92" w:rsidRPr="000A27B3" w14:paraId="078DED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943B05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52</w:t>
            </w:r>
          </w:p>
        </w:tc>
        <w:tc>
          <w:tcPr>
            <w:tcW w:w="3544" w:type="dxa"/>
            <w:tcBorders>
              <w:top w:val="nil"/>
              <w:left w:val="nil"/>
              <w:bottom w:val="single" w:sz="4" w:space="0" w:color="auto"/>
              <w:right w:val="single" w:sz="4" w:space="0" w:color="auto"/>
            </w:tcBorders>
            <w:shd w:val="clear" w:color="auto" w:fill="C6EFCE"/>
            <w:noWrap/>
          </w:tcPr>
          <w:p w14:paraId="64D0848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C3.I1c</w:t>
            </w:r>
          </w:p>
          <w:p w14:paraId="2E79B6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Centre integrate de colectare separată pentru aglomerări urbane</w:t>
            </w:r>
          </w:p>
        </w:tc>
        <w:tc>
          <w:tcPr>
            <w:tcW w:w="1230" w:type="dxa"/>
            <w:tcBorders>
              <w:top w:val="nil"/>
              <w:left w:val="nil"/>
              <w:bottom w:val="single" w:sz="4" w:space="0" w:color="auto"/>
              <w:right w:val="single" w:sz="4" w:space="0" w:color="auto"/>
            </w:tcBorders>
            <w:shd w:val="clear" w:color="auto" w:fill="C6EFCE"/>
            <w:noWrap/>
          </w:tcPr>
          <w:p w14:paraId="0E522C8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182875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Centrele integrate de colectare a deșeurilor sunt înființate și date în funcțiune în aglomerări urbane</w:t>
            </w:r>
          </w:p>
        </w:tc>
      </w:tr>
      <w:tr w:rsidR="00981F92" w:rsidRPr="000A27B3" w14:paraId="75916A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AD2390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56</w:t>
            </w:r>
          </w:p>
        </w:tc>
        <w:tc>
          <w:tcPr>
            <w:tcW w:w="3544" w:type="dxa"/>
            <w:tcBorders>
              <w:top w:val="nil"/>
              <w:left w:val="nil"/>
              <w:bottom w:val="single" w:sz="4" w:space="0" w:color="auto"/>
              <w:right w:val="single" w:sz="4" w:space="0" w:color="auto"/>
            </w:tcBorders>
            <w:shd w:val="clear" w:color="auto" w:fill="C6EFCE"/>
            <w:noWrap/>
          </w:tcPr>
          <w:p w14:paraId="1DE3F7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C3.I3a</w:t>
            </w:r>
          </w:p>
          <w:p w14:paraId="4D90A7E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Echipamente de monitorizare și control pentru Garda Națională de Mediu</w:t>
            </w:r>
          </w:p>
        </w:tc>
        <w:tc>
          <w:tcPr>
            <w:tcW w:w="1230" w:type="dxa"/>
            <w:tcBorders>
              <w:top w:val="nil"/>
              <w:left w:val="nil"/>
              <w:bottom w:val="single" w:sz="4" w:space="0" w:color="auto"/>
              <w:right w:val="single" w:sz="4" w:space="0" w:color="auto"/>
            </w:tcBorders>
            <w:shd w:val="clear" w:color="auto" w:fill="C6EFCE"/>
            <w:noWrap/>
          </w:tcPr>
          <w:p w14:paraId="4186A42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5547EC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Comisariatele județene ale Gărzii Naționale de Mediu dotate cu echipamente digitale pentru activitățile de monitorizare și control al gestionării deșeurilor</w:t>
            </w:r>
          </w:p>
        </w:tc>
      </w:tr>
      <w:tr w:rsidR="00981F92" w:rsidRPr="000A27B3" w14:paraId="457F64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AA879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83</w:t>
            </w:r>
          </w:p>
        </w:tc>
        <w:tc>
          <w:tcPr>
            <w:tcW w:w="3544" w:type="dxa"/>
            <w:tcBorders>
              <w:top w:val="nil"/>
              <w:left w:val="nil"/>
              <w:bottom w:val="single" w:sz="4" w:space="0" w:color="auto"/>
              <w:right w:val="single" w:sz="4" w:space="0" w:color="auto"/>
            </w:tcBorders>
            <w:shd w:val="clear" w:color="auto" w:fill="C6EFCE"/>
            <w:noWrap/>
          </w:tcPr>
          <w:p w14:paraId="371FA36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C4.I3</w:t>
            </w:r>
          </w:p>
          <w:p w14:paraId="53CCD5E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infrastructurii rutiere durabile aferente rețelei TEN-T, taxarea drumurilor, managementul traficului și siguranța rutieră</w:t>
            </w:r>
          </w:p>
        </w:tc>
        <w:tc>
          <w:tcPr>
            <w:tcW w:w="1230" w:type="dxa"/>
            <w:tcBorders>
              <w:top w:val="nil"/>
              <w:left w:val="nil"/>
              <w:bottom w:val="single" w:sz="4" w:space="0" w:color="auto"/>
              <w:right w:val="single" w:sz="4" w:space="0" w:color="auto"/>
            </w:tcBorders>
            <w:shd w:val="clear" w:color="auto" w:fill="C6EFCE"/>
            <w:noWrap/>
          </w:tcPr>
          <w:p w14:paraId="7436C1D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73B6C3B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Construcția de drumuri noi, 50 % din lucrări finalizate</w:t>
            </w:r>
          </w:p>
        </w:tc>
      </w:tr>
      <w:tr w:rsidR="00981F92" w:rsidRPr="000A27B3" w14:paraId="4E3A5B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345296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88</w:t>
            </w:r>
          </w:p>
        </w:tc>
        <w:tc>
          <w:tcPr>
            <w:tcW w:w="3544" w:type="dxa"/>
            <w:tcBorders>
              <w:top w:val="nil"/>
              <w:left w:val="nil"/>
              <w:bottom w:val="single" w:sz="4" w:space="0" w:color="auto"/>
              <w:right w:val="single" w:sz="4" w:space="0" w:color="auto"/>
            </w:tcBorders>
            <w:shd w:val="clear" w:color="auto" w:fill="C6EFCE"/>
            <w:noWrap/>
          </w:tcPr>
          <w:p w14:paraId="4F52C40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C4.I4</w:t>
            </w:r>
          </w:p>
          <w:p w14:paraId="3537892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rețelei de transport cu metroul în municipiile București și Cluj-Napoca </w:t>
            </w:r>
          </w:p>
        </w:tc>
        <w:tc>
          <w:tcPr>
            <w:tcW w:w="1230" w:type="dxa"/>
            <w:tcBorders>
              <w:top w:val="nil"/>
              <w:left w:val="nil"/>
              <w:bottom w:val="single" w:sz="4" w:space="0" w:color="auto"/>
              <w:right w:val="single" w:sz="4" w:space="0" w:color="auto"/>
            </w:tcBorders>
            <w:shd w:val="clear" w:color="auto" w:fill="C6EFCE"/>
            <w:noWrap/>
          </w:tcPr>
          <w:p w14:paraId="2E94742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1037F83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a 50 % din investițiile în liniile de metrou din București și Cluj-Napoca</w:t>
            </w:r>
          </w:p>
        </w:tc>
      </w:tr>
      <w:tr w:rsidR="00981F92" w:rsidRPr="000A27B3" w14:paraId="2664E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C9B21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107</w:t>
            </w:r>
          </w:p>
        </w:tc>
        <w:tc>
          <w:tcPr>
            <w:tcW w:w="3544" w:type="dxa"/>
            <w:tcBorders>
              <w:top w:val="nil"/>
              <w:left w:val="nil"/>
              <w:bottom w:val="single" w:sz="4" w:space="0" w:color="auto"/>
              <w:right w:val="single" w:sz="4" w:space="0" w:color="auto"/>
            </w:tcBorders>
            <w:shd w:val="clear" w:color="auto" w:fill="C6EFCE"/>
            <w:noWrap/>
          </w:tcPr>
          <w:p w14:paraId="67C1A1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C5.I2</w:t>
            </w:r>
          </w:p>
          <w:p w14:paraId="0A5BA01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Realizarea Registrului național al clădirilor </w:t>
            </w:r>
          </w:p>
        </w:tc>
        <w:tc>
          <w:tcPr>
            <w:tcW w:w="1230" w:type="dxa"/>
            <w:tcBorders>
              <w:top w:val="nil"/>
              <w:left w:val="nil"/>
              <w:bottom w:val="single" w:sz="4" w:space="0" w:color="auto"/>
              <w:right w:val="single" w:sz="4" w:space="0" w:color="auto"/>
            </w:tcBorders>
            <w:shd w:val="clear" w:color="auto" w:fill="C6EFCE"/>
            <w:noWrap/>
          </w:tcPr>
          <w:p w14:paraId="7819F1C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165DC54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Registrul național digital al clădirilor este înființat și operațional</w:t>
            </w:r>
          </w:p>
        </w:tc>
      </w:tr>
      <w:tr w:rsidR="00981F92" w:rsidRPr="000A27B3" w14:paraId="3ECD41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8EEE1F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110</w:t>
            </w:r>
          </w:p>
        </w:tc>
        <w:tc>
          <w:tcPr>
            <w:tcW w:w="3544" w:type="dxa"/>
            <w:tcBorders>
              <w:top w:val="nil"/>
              <w:left w:val="nil"/>
              <w:bottom w:val="single" w:sz="4" w:space="0" w:color="auto"/>
              <w:right w:val="single" w:sz="4" w:space="0" w:color="auto"/>
            </w:tcBorders>
            <w:shd w:val="clear" w:color="auto" w:fill="C6EFCE"/>
            <w:noWrap/>
          </w:tcPr>
          <w:p w14:paraId="4F602E5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C5.I4</w:t>
            </w:r>
          </w:p>
          <w:p w14:paraId="37DE25A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Economie circulară și creșterea eficienței energetice a clădirilor istorice</w:t>
            </w:r>
          </w:p>
        </w:tc>
        <w:tc>
          <w:tcPr>
            <w:tcW w:w="1230" w:type="dxa"/>
            <w:tcBorders>
              <w:top w:val="nil"/>
              <w:left w:val="nil"/>
              <w:bottom w:val="single" w:sz="4" w:space="0" w:color="auto"/>
              <w:right w:val="single" w:sz="4" w:space="0" w:color="auto"/>
            </w:tcBorders>
            <w:shd w:val="clear" w:color="auto" w:fill="C6EFCE"/>
            <w:noWrap/>
          </w:tcPr>
          <w:p w14:paraId="605863E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39FD204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Este operațional un laborator pentru analiza experimentală a materialelor și soluțiilor tehnologice pentru clădirile istorice</w:t>
            </w:r>
          </w:p>
        </w:tc>
      </w:tr>
      <w:tr w:rsidR="00981F92" w:rsidRPr="005209CD" w14:paraId="176346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358A9A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111</w:t>
            </w:r>
          </w:p>
        </w:tc>
        <w:tc>
          <w:tcPr>
            <w:tcW w:w="3544" w:type="dxa"/>
            <w:tcBorders>
              <w:top w:val="nil"/>
              <w:left w:val="nil"/>
              <w:bottom w:val="single" w:sz="4" w:space="0" w:color="auto"/>
              <w:right w:val="single" w:sz="4" w:space="0" w:color="auto"/>
            </w:tcBorders>
            <w:shd w:val="clear" w:color="auto" w:fill="C6EFCE"/>
            <w:noWrap/>
          </w:tcPr>
          <w:p w14:paraId="5B71F11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C5.I4</w:t>
            </w:r>
          </w:p>
          <w:p w14:paraId="3D3AF5B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Economie circulară și creșterea eficienței energetice a clădirilor istorice</w:t>
            </w:r>
          </w:p>
        </w:tc>
        <w:tc>
          <w:tcPr>
            <w:tcW w:w="1230" w:type="dxa"/>
            <w:tcBorders>
              <w:top w:val="nil"/>
              <w:left w:val="nil"/>
              <w:bottom w:val="single" w:sz="4" w:space="0" w:color="auto"/>
              <w:right w:val="single" w:sz="4" w:space="0" w:color="auto"/>
            </w:tcBorders>
            <w:shd w:val="clear" w:color="auto" w:fill="C6EFCE"/>
            <w:noWrap/>
          </w:tcPr>
          <w:p w14:paraId="19F2539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007C977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Este operațional un centru-pilot în cadrul Institutului Național al Patrimoniului pentru colectarea și reutilizarea materialelor de construcție istorice</w:t>
            </w:r>
          </w:p>
          <w:p w14:paraId="46CBE6D5" w14:textId="77777777" w:rsidR="00981F92" w:rsidRPr="009F1DC7" w:rsidRDefault="00981F92">
            <w:pPr>
              <w:spacing w:after="0"/>
              <w:jc w:val="both"/>
              <w:rPr>
                <w:rFonts w:ascii="Times New Roman" w:hAnsi="Times New Roman" w:cs="Times New Roman"/>
                <w:noProof/>
                <w:lang w:val="fr-FR"/>
              </w:rPr>
            </w:pPr>
          </w:p>
        </w:tc>
      </w:tr>
      <w:tr w:rsidR="00981F92" w:rsidRPr="005209CD" w14:paraId="262A4A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6855F1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254</w:t>
            </w:r>
          </w:p>
        </w:tc>
        <w:tc>
          <w:tcPr>
            <w:tcW w:w="3544" w:type="dxa"/>
            <w:tcBorders>
              <w:top w:val="nil"/>
              <w:left w:val="nil"/>
              <w:bottom w:val="single" w:sz="4" w:space="0" w:color="auto"/>
              <w:right w:val="single" w:sz="4" w:space="0" w:color="auto"/>
            </w:tcBorders>
            <w:shd w:val="clear" w:color="auto" w:fill="C6EFCE"/>
            <w:noWrap/>
          </w:tcPr>
          <w:p w14:paraId="559EA53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C9.I2.3 </w:t>
            </w:r>
          </w:p>
          <w:p w14:paraId="4234117B" w14:textId="0EFFD40E" w:rsidR="00981F92" w:rsidRPr="000A27B3" w:rsidRDefault="00981F92">
            <w:pPr>
              <w:spacing w:after="0"/>
              <w:jc w:val="both"/>
              <w:rPr>
                <w:rFonts w:ascii="Times New Roman" w:hAnsi="Times New Roman" w:cs="Times New Roman"/>
                <w:noProof/>
              </w:rPr>
            </w:pPr>
            <w:r>
              <w:rPr>
                <w:rFonts w:ascii="Times New Roman" w:hAnsi="Times New Roman"/>
                <w:noProof/>
              </w:rPr>
              <w:t>Instrumente financiare pentru sectorul privat – Fondul de fonduri de capital de risc pentru redresare</w:t>
            </w:r>
            <w:r w:rsidR="004C4C72">
              <w:rPr>
                <w:rFonts w:ascii="Times New Roman" w:hAnsi="Times New Roman"/>
                <w:noProof/>
              </w:rPr>
              <w:t xml:space="preserve"> </w:t>
            </w:r>
          </w:p>
        </w:tc>
        <w:tc>
          <w:tcPr>
            <w:tcW w:w="1230" w:type="dxa"/>
            <w:tcBorders>
              <w:top w:val="nil"/>
              <w:left w:val="nil"/>
              <w:bottom w:val="single" w:sz="4" w:space="0" w:color="auto"/>
              <w:right w:val="single" w:sz="4" w:space="0" w:color="auto"/>
            </w:tcBorders>
            <w:shd w:val="clear" w:color="auto" w:fill="C6EFCE"/>
            <w:noWrap/>
          </w:tcPr>
          <w:p w14:paraId="628F7CD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5B61AA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 de finanțare sau de investiții în valoare de cel puțin 50 % din cuantumul total al fondurilor sau al investițiilor vizate, aprobate de Comitetul pentru investiții</w:t>
            </w:r>
          </w:p>
        </w:tc>
      </w:tr>
      <w:tr w:rsidR="000A27B3" w:rsidRPr="005209CD" w14:paraId="5E92B5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F73EB1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257</w:t>
            </w:r>
          </w:p>
        </w:tc>
        <w:tc>
          <w:tcPr>
            <w:tcW w:w="3544" w:type="dxa"/>
            <w:tcBorders>
              <w:top w:val="nil"/>
              <w:left w:val="nil"/>
              <w:bottom w:val="single" w:sz="4" w:space="0" w:color="auto"/>
              <w:right w:val="single" w:sz="4" w:space="0" w:color="auto"/>
            </w:tcBorders>
            <w:shd w:val="clear" w:color="auto" w:fill="C6EFCE"/>
            <w:noWrap/>
          </w:tcPr>
          <w:p w14:paraId="5D0E9D4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C9.I2.4 </w:t>
            </w:r>
          </w:p>
          <w:p w14:paraId="14B3C6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Instrumente financiare pentru sectorul privat – Fondul pentru digitalizare, acțiune climatică și alte domenii de interes</w:t>
            </w:r>
          </w:p>
        </w:tc>
        <w:tc>
          <w:tcPr>
            <w:tcW w:w="1230" w:type="dxa"/>
            <w:tcBorders>
              <w:top w:val="nil"/>
              <w:left w:val="nil"/>
              <w:bottom w:val="single" w:sz="4" w:space="0" w:color="auto"/>
              <w:right w:val="single" w:sz="4" w:space="0" w:color="auto"/>
            </w:tcBorders>
            <w:shd w:val="clear" w:color="auto" w:fill="C6EFCE"/>
            <w:noWrap/>
          </w:tcPr>
          <w:p w14:paraId="4FE1F17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29F95DD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Cel puțin 30 % din beneficiarii vizați au beneficiat de sprijin</w:t>
            </w:r>
          </w:p>
        </w:tc>
      </w:tr>
      <w:tr w:rsidR="000A27B3" w:rsidRPr="005209CD" w14:paraId="56FCC75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C8888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w:t>
            </w:r>
          </w:p>
        </w:tc>
        <w:tc>
          <w:tcPr>
            <w:tcW w:w="3544" w:type="dxa"/>
            <w:tcBorders>
              <w:top w:val="nil"/>
              <w:left w:val="nil"/>
              <w:bottom w:val="single" w:sz="4" w:space="0" w:color="auto"/>
              <w:right w:val="single" w:sz="4" w:space="0" w:color="auto"/>
            </w:tcBorders>
            <w:shd w:val="clear" w:color="auto" w:fill="C6EFCE"/>
            <w:noWrap/>
          </w:tcPr>
          <w:p w14:paraId="622938B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C1.I5 </w:t>
            </w:r>
          </w:p>
          <w:p w14:paraId="6272AB3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Dotarea adecvată a administrațiilor bazinale pentru monitorizarea infrastructurii, prevenirea și gestionarea situațiilor de urgență </w:t>
            </w:r>
          </w:p>
        </w:tc>
        <w:tc>
          <w:tcPr>
            <w:tcW w:w="1230" w:type="dxa"/>
            <w:tcBorders>
              <w:top w:val="nil"/>
              <w:left w:val="nil"/>
              <w:bottom w:val="single" w:sz="4" w:space="0" w:color="auto"/>
              <w:right w:val="single" w:sz="4" w:space="0" w:color="auto"/>
            </w:tcBorders>
            <w:shd w:val="clear" w:color="auto" w:fill="C6EFCE"/>
            <w:noWrap/>
          </w:tcPr>
          <w:p w14:paraId="6420285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0B767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Administrațiile bazinale dotate cu utilaje pentru acces și intervenție în teren accidentat, șenilate amfibii pentru acces și transportul sacilor/digurilor mobile în zone greu accesibile, drone dotate cu senzori LIDAR/FLIR/fotogrametrie, tehnologii geoelectrorezistive/georadar pentru corpurile digurilor, precum și infrastructură hardware și software</w:t>
            </w:r>
          </w:p>
        </w:tc>
      </w:tr>
      <w:tr w:rsidR="000A27B3" w:rsidRPr="005209CD" w14:paraId="72808C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A791B3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246</w:t>
            </w:r>
          </w:p>
        </w:tc>
        <w:tc>
          <w:tcPr>
            <w:tcW w:w="3544" w:type="dxa"/>
            <w:tcBorders>
              <w:top w:val="nil"/>
              <w:left w:val="nil"/>
              <w:bottom w:val="single" w:sz="4" w:space="0" w:color="auto"/>
              <w:right w:val="single" w:sz="4" w:space="0" w:color="auto"/>
            </w:tcBorders>
            <w:shd w:val="clear" w:color="auto" w:fill="C6EFCE"/>
            <w:noWrap/>
          </w:tcPr>
          <w:p w14:paraId="5316046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C9.I1</w:t>
            </w:r>
          </w:p>
          <w:p w14:paraId="0EB444E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Platforme digitale privind transparentizarea legislativă, debirocratizarea și simplificarea procedurală destinate mediului de afaceri </w:t>
            </w:r>
          </w:p>
        </w:tc>
        <w:tc>
          <w:tcPr>
            <w:tcW w:w="1230" w:type="dxa"/>
            <w:tcBorders>
              <w:top w:val="nil"/>
              <w:left w:val="nil"/>
              <w:bottom w:val="single" w:sz="4" w:space="0" w:color="auto"/>
              <w:right w:val="single" w:sz="4" w:space="0" w:color="auto"/>
            </w:tcBorders>
            <w:shd w:val="clear" w:color="auto" w:fill="C6EFCE"/>
            <w:noWrap/>
          </w:tcPr>
          <w:p w14:paraId="34C3349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3FC48DC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Platforme digitale create, conectate la un punct de contact electronic unic și pe deplin operaționale</w:t>
            </w:r>
          </w:p>
        </w:tc>
      </w:tr>
      <w:tr w:rsidR="000A27B3" w:rsidRPr="000A27B3" w14:paraId="1E62BC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1C3CC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w:t>
            </w:r>
          </w:p>
        </w:tc>
        <w:tc>
          <w:tcPr>
            <w:tcW w:w="3544" w:type="dxa"/>
            <w:tcBorders>
              <w:top w:val="nil"/>
              <w:left w:val="nil"/>
              <w:bottom w:val="single" w:sz="4" w:space="0" w:color="auto"/>
              <w:right w:val="single" w:sz="4" w:space="0" w:color="auto"/>
            </w:tcBorders>
            <w:shd w:val="clear" w:color="auto" w:fill="C6EFCE"/>
            <w:noWrap/>
          </w:tcPr>
          <w:p w14:paraId="4B53F3A9" w14:textId="259BCFFA" w:rsidR="00981F92" w:rsidRPr="000A27B3" w:rsidRDefault="00981F92">
            <w:pPr>
              <w:spacing w:after="0"/>
              <w:jc w:val="both"/>
              <w:rPr>
                <w:rFonts w:ascii="Times New Roman" w:hAnsi="Times New Roman" w:cs="Times New Roman"/>
                <w:noProof/>
                <w:szCs w:val="24"/>
              </w:rPr>
            </w:pPr>
            <w:r>
              <w:rPr>
                <w:rFonts w:ascii="Times New Roman" w:hAnsi="Times New Roman"/>
                <w:noProof/>
              </w:rPr>
              <w:t xml:space="preserve">C2.I3.1 </w:t>
            </w:r>
          </w:p>
          <w:p w14:paraId="6EB766B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Actualizarea planurilor de management aprobate</w:t>
            </w:r>
          </w:p>
        </w:tc>
        <w:tc>
          <w:tcPr>
            <w:tcW w:w="1230" w:type="dxa"/>
            <w:tcBorders>
              <w:top w:val="nil"/>
              <w:left w:val="nil"/>
              <w:bottom w:val="single" w:sz="4" w:space="0" w:color="auto"/>
              <w:right w:val="single" w:sz="4" w:space="0" w:color="auto"/>
            </w:tcBorders>
            <w:shd w:val="clear" w:color="auto" w:fill="C6EFCE"/>
            <w:noWrap/>
          </w:tcPr>
          <w:p w14:paraId="0CED8AC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FF0A7D1"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 xml:space="preserve">Zone naturale protejate cu planuri de management actualizate intrate în vigoare </w:t>
            </w:r>
          </w:p>
        </w:tc>
      </w:tr>
      <w:tr w:rsidR="000A27B3" w:rsidRPr="000A27B3" w14:paraId="0023B4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CD3BD0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350</w:t>
            </w:r>
          </w:p>
        </w:tc>
        <w:tc>
          <w:tcPr>
            <w:tcW w:w="3544" w:type="dxa"/>
            <w:tcBorders>
              <w:top w:val="nil"/>
              <w:left w:val="nil"/>
              <w:bottom w:val="single" w:sz="4" w:space="0" w:color="auto"/>
              <w:right w:val="single" w:sz="4" w:space="0" w:color="auto"/>
            </w:tcBorders>
            <w:shd w:val="clear" w:color="auto" w:fill="C6EFCE"/>
            <w:noWrap/>
          </w:tcPr>
          <w:p w14:paraId="720835CC" w14:textId="77777777" w:rsidR="00981F92" w:rsidRPr="000A27B3" w:rsidRDefault="00981F92">
            <w:pPr>
              <w:spacing w:after="0"/>
              <w:jc w:val="both"/>
              <w:rPr>
                <w:rFonts w:ascii="Times New Roman" w:hAnsi="Times New Roman" w:cs="Times New Roman"/>
                <w:noProof/>
                <w:szCs w:val="24"/>
              </w:rPr>
            </w:pPr>
            <w:r>
              <w:rPr>
                <w:rFonts w:ascii="Times New Roman" w:hAnsi="Times New Roman"/>
                <w:noProof/>
              </w:rPr>
              <w:t xml:space="preserve">C11.I7 </w:t>
            </w:r>
          </w:p>
          <w:p w14:paraId="4004B50A" w14:textId="700EEEC2" w:rsidR="00981F92" w:rsidRPr="000A27B3" w:rsidRDefault="00981F92">
            <w:pPr>
              <w:spacing w:after="0"/>
              <w:jc w:val="both"/>
              <w:rPr>
                <w:rFonts w:ascii="Times New Roman" w:hAnsi="Times New Roman" w:cs="Times New Roman"/>
                <w:noProof/>
              </w:rPr>
            </w:pPr>
            <w:r>
              <w:rPr>
                <w:rFonts w:ascii="Times New Roman" w:hAnsi="Times New Roman"/>
                <w:noProof/>
              </w:rPr>
              <w:t xml:space="preserve">Accelerarea digitalizării producției și distribuției de filme </w:t>
            </w:r>
          </w:p>
        </w:tc>
        <w:tc>
          <w:tcPr>
            <w:tcW w:w="1230" w:type="dxa"/>
            <w:tcBorders>
              <w:top w:val="nil"/>
              <w:left w:val="nil"/>
              <w:bottom w:val="single" w:sz="4" w:space="0" w:color="auto"/>
              <w:right w:val="single" w:sz="4" w:space="0" w:color="auto"/>
            </w:tcBorders>
            <w:shd w:val="clear" w:color="auto" w:fill="C6EFCE"/>
            <w:noWrap/>
          </w:tcPr>
          <w:p w14:paraId="0FA22A0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B344ABA"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Creșterea gradului de digitalizare a producătorilor și distribuitorilor de film</w:t>
            </w:r>
          </w:p>
        </w:tc>
      </w:tr>
      <w:tr w:rsidR="000A27B3" w:rsidRPr="000A27B3" w14:paraId="2C6D6F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4C2722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499</w:t>
            </w:r>
          </w:p>
        </w:tc>
        <w:tc>
          <w:tcPr>
            <w:tcW w:w="3544" w:type="dxa"/>
            <w:tcBorders>
              <w:top w:val="nil"/>
              <w:left w:val="nil"/>
              <w:bottom w:val="single" w:sz="4" w:space="0" w:color="auto"/>
              <w:right w:val="single" w:sz="4" w:space="0" w:color="auto"/>
            </w:tcBorders>
            <w:shd w:val="clear" w:color="auto" w:fill="C6EFCE"/>
            <w:noWrap/>
          </w:tcPr>
          <w:p w14:paraId="62A1973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C15.I15</w:t>
            </w:r>
          </w:p>
          <w:p w14:paraId="6C33BE0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Școala online: Dezvoltarea platformei de evaluare și realizarea de conținut</w:t>
            </w:r>
          </w:p>
        </w:tc>
        <w:tc>
          <w:tcPr>
            <w:tcW w:w="1230" w:type="dxa"/>
            <w:tcBorders>
              <w:top w:val="nil"/>
              <w:left w:val="nil"/>
              <w:bottom w:val="single" w:sz="4" w:space="0" w:color="auto"/>
              <w:right w:val="single" w:sz="4" w:space="0" w:color="auto"/>
            </w:tcBorders>
            <w:shd w:val="clear" w:color="auto" w:fill="C6EFCE"/>
            <w:noWrap/>
          </w:tcPr>
          <w:p w14:paraId="180DD53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5BA0562"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Dezvoltarea resurselor educaționale deschise (materiale didactice)</w:t>
            </w:r>
          </w:p>
        </w:tc>
      </w:tr>
      <w:tr w:rsidR="000A27B3" w:rsidRPr="000A27B3" w14:paraId="084F18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D556EA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w:t>
            </w:r>
          </w:p>
        </w:tc>
        <w:tc>
          <w:tcPr>
            <w:tcW w:w="3544" w:type="dxa"/>
            <w:tcBorders>
              <w:top w:val="nil"/>
              <w:left w:val="nil"/>
              <w:bottom w:val="single" w:sz="4" w:space="0" w:color="auto"/>
              <w:right w:val="single" w:sz="4" w:space="0" w:color="auto"/>
            </w:tcBorders>
            <w:shd w:val="clear" w:color="auto" w:fill="C6EFCE"/>
            <w:noWrap/>
          </w:tcPr>
          <w:p w14:paraId="51826417" w14:textId="77777777" w:rsidR="00981F92" w:rsidRPr="000A27B3" w:rsidRDefault="00981F92">
            <w:pPr>
              <w:spacing w:after="0"/>
              <w:jc w:val="both"/>
              <w:rPr>
                <w:rFonts w:ascii="Times New Roman" w:hAnsi="Times New Roman" w:cs="Times New Roman"/>
                <w:noProof/>
                <w:szCs w:val="24"/>
              </w:rPr>
            </w:pPr>
            <w:r>
              <w:rPr>
                <w:rFonts w:ascii="Times New Roman" w:hAnsi="Times New Roman"/>
                <w:noProof/>
              </w:rPr>
              <w:t xml:space="preserve">C2.R2 </w:t>
            </w:r>
          </w:p>
          <w:p w14:paraId="1246B06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Reforma sistemului de management al ariilor naturale protejate în vederea implementării coerente și eficace a Strategiei Europene privind biodiversitate</w:t>
            </w:r>
          </w:p>
        </w:tc>
        <w:tc>
          <w:tcPr>
            <w:tcW w:w="1230" w:type="dxa"/>
            <w:tcBorders>
              <w:top w:val="nil"/>
              <w:left w:val="nil"/>
              <w:bottom w:val="single" w:sz="4" w:space="0" w:color="auto"/>
              <w:right w:val="single" w:sz="4" w:space="0" w:color="auto"/>
            </w:tcBorders>
            <w:shd w:val="clear" w:color="auto" w:fill="C6EFCE"/>
            <w:noWrap/>
          </w:tcPr>
          <w:p w14:paraId="3CE953E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5E449683"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Intrarea în vigoare a actului normativ de modificare a cadrului legal aplicabil sectoarelor cu impact asupra biodiversității</w:t>
            </w:r>
          </w:p>
        </w:tc>
      </w:tr>
      <w:tr w:rsidR="000A27B3" w:rsidRPr="005209CD" w14:paraId="74D2C3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D66ED3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58</w:t>
            </w:r>
          </w:p>
        </w:tc>
        <w:tc>
          <w:tcPr>
            <w:tcW w:w="3544" w:type="dxa"/>
            <w:tcBorders>
              <w:top w:val="nil"/>
              <w:left w:val="nil"/>
              <w:bottom w:val="single" w:sz="4" w:space="0" w:color="auto"/>
              <w:right w:val="single" w:sz="4" w:space="0" w:color="auto"/>
            </w:tcBorders>
            <w:shd w:val="clear" w:color="auto" w:fill="C6EFCE"/>
            <w:noWrap/>
          </w:tcPr>
          <w:p w14:paraId="50A76F1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C3.I3b</w:t>
            </w:r>
          </w:p>
          <w:p w14:paraId="425D6E7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Echipamente de monitorizare a calității aerului, radioactivității și zgomotului pentru Agenția Națională de Protecția Mediului</w:t>
            </w:r>
          </w:p>
        </w:tc>
        <w:tc>
          <w:tcPr>
            <w:tcW w:w="1230" w:type="dxa"/>
            <w:tcBorders>
              <w:top w:val="nil"/>
              <w:left w:val="nil"/>
              <w:bottom w:val="single" w:sz="4" w:space="0" w:color="auto"/>
              <w:right w:val="single" w:sz="4" w:space="0" w:color="auto"/>
            </w:tcBorders>
            <w:shd w:val="clear" w:color="auto" w:fill="C6EFCE"/>
            <w:noWrap/>
          </w:tcPr>
          <w:p w14:paraId="1564A6E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1639833"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Operaționalizarea echipamentelor de monitorizare a calității aerului, radioactivității și zgomotului</w:t>
            </w:r>
          </w:p>
        </w:tc>
      </w:tr>
      <w:tr w:rsidR="000A27B3" w:rsidRPr="000A27B3" w14:paraId="058C6A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4AD8EA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92</w:t>
            </w:r>
          </w:p>
        </w:tc>
        <w:tc>
          <w:tcPr>
            <w:tcW w:w="3544" w:type="dxa"/>
            <w:tcBorders>
              <w:top w:val="nil"/>
              <w:left w:val="nil"/>
              <w:bottom w:val="single" w:sz="4" w:space="0" w:color="auto"/>
              <w:right w:val="single" w:sz="4" w:space="0" w:color="auto"/>
            </w:tcBorders>
            <w:shd w:val="clear" w:color="auto" w:fill="C6EFCE"/>
            <w:noWrap/>
          </w:tcPr>
          <w:p w14:paraId="21472D2F" w14:textId="77777777" w:rsidR="00981F92" w:rsidRPr="000A27B3" w:rsidRDefault="00981F92">
            <w:pPr>
              <w:spacing w:after="0"/>
              <w:jc w:val="both"/>
              <w:rPr>
                <w:rFonts w:ascii="Times New Roman" w:hAnsi="Times New Roman" w:cs="Times New Roman"/>
                <w:noProof/>
                <w:szCs w:val="24"/>
              </w:rPr>
            </w:pPr>
            <w:r>
              <w:rPr>
                <w:rFonts w:ascii="Times New Roman" w:hAnsi="Times New Roman"/>
                <w:noProof/>
              </w:rPr>
              <w:t>C5.R1</w:t>
            </w:r>
          </w:p>
          <w:p w14:paraId="429D2F9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Realizarea unui cadru normativ simplificat și actualizat care să sprijine implementarea investițiilor în tranziția spre clădiri verzi și reziliente </w:t>
            </w:r>
          </w:p>
        </w:tc>
        <w:tc>
          <w:tcPr>
            <w:tcW w:w="1230" w:type="dxa"/>
            <w:tcBorders>
              <w:top w:val="nil"/>
              <w:left w:val="nil"/>
              <w:bottom w:val="single" w:sz="4" w:space="0" w:color="auto"/>
              <w:right w:val="single" w:sz="4" w:space="0" w:color="auto"/>
            </w:tcBorders>
            <w:shd w:val="clear" w:color="auto" w:fill="C6EFCE"/>
            <w:noWrap/>
          </w:tcPr>
          <w:p w14:paraId="2338046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70CEA7C"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Reducerea termenelor de eliberare a autorizațiilor de construcție</w:t>
            </w:r>
          </w:p>
        </w:tc>
      </w:tr>
      <w:tr w:rsidR="000A27B3" w:rsidRPr="000A27B3" w14:paraId="74CBA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6DC514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265</w:t>
            </w:r>
          </w:p>
        </w:tc>
        <w:tc>
          <w:tcPr>
            <w:tcW w:w="3544" w:type="dxa"/>
            <w:tcBorders>
              <w:top w:val="nil"/>
              <w:left w:val="nil"/>
              <w:bottom w:val="single" w:sz="4" w:space="0" w:color="auto"/>
              <w:right w:val="single" w:sz="4" w:space="0" w:color="auto"/>
            </w:tcBorders>
            <w:shd w:val="clear" w:color="auto" w:fill="C6EFCE"/>
            <w:noWrap/>
          </w:tcPr>
          <w:p w14:paraId="7D263381" w14:textId="77777777" w:rsidR="00981F92" w:rsidRPr="000A27B3" w:rsidRDefault="00981F92">
            <w:pPr>
              <w:spacing w:after="0"/>
              <w:jc w:val="both"/>
              <w:rPr>
                <w:rFonts w:ascii="Times New Roman" w:hAnsi="Times New Roman" w:cs="Times New Roman"/>
                <w:noProof/>
                <w:szCs w:val="24"/>
              </w:rPr>
            </w:pPr>
            <w:r>
              <w:rPr>
                <w:rFonts w:ascii="Times New Roman" w:hAnsi="Times New Roman"/>
                <w:noProof/>
              </w:rPr>
              <w:t xml:space="preserve">C9.I3.2 </w:t>
            </w:r>
          </w:p>
          <w:p w14:paraId="3D92D6A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Scheme de ajutor pentru sectorul privat - Schema de minimis pentru ajutarea firmelor din România în procesul de listare la bursă </w:t>
            </w:r>
          </w:p>
        </w:tc>
        <w:tc>
          <w:tcPr>
            <w:tcW w:w="1230" w:type="dxa"/>
            <w:tcBorders>
              <w:top w:val="nil"/>
              <w:left w:val="nil"/>
              <w:bottom w:val="single" w:sz="4" w:space="0" w:color="auto"/>
              <w:right w:val="single" w:sz="4" w:space="0" w:color="auto"/>
            </w:tcBorders>
            <w:shd w:val="clear" w:color="auto" w:fill="C6EFCE"/>
            <w:noWrap/>
          </w:tcPr>
          <w:p w14:paraId="4542533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1C7FFAF8" w14:textId="77777777" w:rsidR="00981F92" w:rsidRPr="000A27B3" w:rsidRDefault="00981F92">
            <w:pPr>
              <w:spacing w:after="0"/>
              <w:jc w:val="both"/>
              <w:rPr>
                <w:rFonts w:ascii="Times New Roman" w:hAnsi="Times New Roman"/>
                <w:noProof/>
                <w:sz w:val="24"/>
                <w:szCs w:val="32"/>
              </w:rPr>
            </w:pPr>
            <w:r>
              <w:rPr>
                <w:rFonts w:ascii="Times New Roman" w:hAnsi="Times New Roman"/>
                <w:noProof/>
              </w:rPr>
              <w:t>Numărul de contracte de finanțare semnate care vor permite listarea la Bursa de Valori București</w:t>
            </w:r>
          </w:p>
        </w:tc>
      </w:tr>
      <w:tr w:rsidR="00981F92" w:rsidRPr="000A27B3" w14:paraId="12ED8E9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44748D36"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465A32D9" w14:textId="77777777" w:rsidR="00981F92" w:rsidRPr="009F1DC7" w:rsidRDefault="00981F92">
            <w:pPr>
              <w:spacing w:after="0"/>
              <w:rPr>
                <w:rFonts w:ascii="Times New Roman" w:eastAsia="Times New Roman" w:hAnsi="Times New Roman" w:cs="Times New Roman"/>
                <w:noProof/>
                <w:lang w:val="fr-FR" w:eastAsia="en-GB"/>
              </w:rPr>
            </w:pPr>
          </w:p>
        </w:tc>
        <w:tc>
          <w:tcPr>
            <w:tcW w:w="1230" w:type="dxa"/>
            <w:tcBorders>
              <w:top w:val="single" w:sz="4" w:space="0" w:color="auto"/>
              <w:left w:val="nil"/>
              <w:bottom w:val="single" w:sz="4" w:space="0" w:color="auto"/>
              <w:right w:val="single" w:sz="4" w:space="0" w:color="auto"/>
            </w:tcBorders>
            <w:shd w:val="clear" w:color="auto" w:fill="C6EFCE"/>
            <w:noWrap/>
          </w:tcPr>
          <w:p w14:paraId="0D5D8DB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47" w:type="dxa"/>
            <w:tcBorders>
              <w:top w:val="single" w:sz="4" w:space="0" w:color="auto"/>
              <w:left w:val="nil"/>
              <w:bottom w:val="single" w:sz="4" w:space="0" w:color="auto"/>
              <w:right w:val="single" w:sz="4" w:space="0" w:color="auto"/>
            </w:tcBorders>
            <w:shd w:val="clear" w:color="auto" w:fill="C6EFCE"/>
            <w:noWrap/>
            <w:vAlign w:val="center"/>
          </w:tcPr>
          <w:p w14:paraId="5911977D" w14:textId="756DF5DD"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1 744 335 517 EUR</w:t>
            </w:r>
            <w:r w:rsidR="004C4C72">
              <w:rPr>
                <w:rFonts w:ascii="Times New Roman" w:hAnsi="Times New Roman"/>
                <w:noProof/>
              </w:rPr>
              <w:t xml:space="preserve"> </w:t>
            </w:r>
          </w:p>
        </w:tc>
      </w:tr>
    </w:tbl>
    <w:p w14:paraId="2E702DC8" w14:textId="77777777" w:rsidR="00981F92" w:rsidRPr="000A27B3" w:rsidRDefault="00981F92">
      <w:pPr>
        <w:pStyle w:val="NumPar2"/>
        <w:tabs>
          <w:tab w:val="clear" w:pos="850"/>
        </w:tabs>
        <w:ind w:firstLine="0"/>
        <w:rPr>
          <w:noProof/>
          <w:szCs w:val="24"/>
        </w:rPr>
      </w:pPr>
    </w:p>
    <w:p w14:paraId="209915EB" w14:textId="44A50645" w:rsidR="00981F92" w:rsidRPr="000A27B3" w:rsidRDefault="00981F92">
      <w:pPr>
        <w:pStyle w:val="Heading3"/>
        <w:rPr>
          <w:noProof/>
          <w:szCs w:val="24"/>
        </w:rPr>
      </w:pPr>
      <w:r>
        <w:rPr>
          <w:noProof/>
        </w:rPr>
        <w:t xml:space="preserve">A șaptea tranșă (sprijin sub formă de împrumut): </w:t>
      </w:r>
    </w:p>
    <w:tbl>
      <w:tblPr>
        <w:tblW w:w="9634" w:type="dxa"/>
        <w:tblInd w:w="113" w:type="dxa"/>
        <w:tblLook w:val="04A0" w:firstRow="1" w:lastRow="0" w:firstColumn="1" w:lastColumn="0" w:noHBand="0" w:noVBand="1"/>
      </w:tblPr>
      <w:tblGrid>
        <w:gridCol w:w="1413"/>
        <w:gridCol w:w="3544"/>
        <w:gridCol w:w="1231"/>
        <w:gridCol w:w="3461"/>
      </w:tblGrid>
      <w:tr w:rsidR="00981F92" w:rsidRPr="000A27B3" w14:paraId="23C24B2B"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BEA9E0E"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62BE5613"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 xml:space="preserve">Măsură conexă </w:t>
            </w:r>
          </w:p>
          <w:p w14:paraId="3AF912AF"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16"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004EA01D"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61"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6361388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47130F12"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6FCA745B"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4DEA8B1" w14:textId="77777777" w:rsidR="00981F92" w:rsidRPr="000A27B3" w:rsidRDefault="00981F92">
            <w:pPr>
              <w:spacing w:after="0"/>
              <w:rPr>
                <w:rFonts w:ascii="Times New Roman" w:eastAsia="Times New Roman" w:hAnsi="Times New Roman" w:cs="Times New Roman"/>
                <w:b/>
                <w:bCs/>
                <w:noProof/>
                <w:lang w:eastAsia="en-GB"/>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2CFA5BDA"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61" w:type="dxa"/>
            <w:vMerge/>
            <w:tcBorders>
              <w:top w:val="single" w:sz="4" w:space="0" w:color="auto"/>
              <w:left w:val="nil"/>
              <w:bottom w:val="single" w:sz="4" w:space="0" w:color="000000"/>
              <w:right w:val="single" w:sz="4" w:space="0" w:color="auto"/>
            </w:tcBorders>
            <w:vAlign w:val="center"/>
            <w:hideMark/>
          </w:tcPr>
          <w:p w14:paraId="1BA293F6" w14:textId="77777777" w:rsidR="00981F92" w:rsidRPr="000A27B3" w:rsidRDefault="00981F92">
            <w:pPr>
              <w:spacing w:after="0"/>
              <w:rPr>
                <w:rFonts w:ascii="Times New Roman" w:eastAsia="Times New Roman" w:hAnsi="Times New Roman" w:cs="Times New Roman"/>
                <w:b/>
                <w:bCs/>
                <w:noProof/>
                <w:lang w:eastAsia="en-GB"/>
              </w:rPr>
            </w:pPr>
          </w:p>
        </w:tc>
      </w:tr>
      <w:tr w:rsidR="00981F92" w:rsidRPr="000A27B3" w14:paraId="52461C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3EDA0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19</w:t>
            </w:r>
          </w:p>
        </w:tc>
        <w:tc>
          <w:tcPr>
            <w:tcW w:w="3544" w:type="dxa"/>
            <w:tcBorders>
              <w:top w:val="nil"/>
              <w:left w:val="nil"/>
              <w:bottom w:val="single" w:sz="4" w:space="0" w:color="auto"/>
              <w:right w:val="single" w:sz="4" w:space="0" w:color="auto"/>
            </w:tcBorders>
            <w:shd w:val="clear" w:color="auto" w:fill="C6EFCE"/>
            <w:noWrap/>
          </w:tcPr>
          <w:p w14:paraId="663FE2B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C1.I6 </w:t>
            </w:r>
          </w:p>
          <w:p w14:paraId="3BE85C1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Realizarea cadastrului apelor </w:t>
            </w:r>
          </w:p>
        </w:tc>
        <w:tc>
          <w:tcPr>
            <w:tcW w:w="1216" w:type="dxa"/>
            <w:tcBorders>
              <w:top w:val="nil"/>
              <w:left w:val="nil"/>
              <w:bottom w:val="single" w:sz="4" w:space="0" w:color="auto"/>
              <w:right w:val="single" w:sz="4" w:space="0" w:color="auto"/>
            </w:tcBorders>
            <w:shd w:val="clear" w:color="auto" w:fill="C6EFCE"/>
            <w:noWrap/>
          </w:tcPr>
          <w:p w14:paraId="5C21DC9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61" w:type="dxa"/>
            <w:tcBorders>
              <w:top w:val="nil"/>
              <w:left w:val="nil"/>
              <w:bottom w:val="single" w:sz="4" w:space="0" w:color="auto"/>
              <w:right w:val="single" w:sz="4" w:space="0" w:color="auto"/>
            </w:tcBorders>
            <w:shd w:val="clear" w:color="auto" w:fill="C6EFCE"/>
            <w:noWrap/>
          </w:tcPr>
          <w:p w14:paraId="1A1928F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S-a elaborat și este operațional cadastrul apelor</w:t>
            </w:r>
          </w:p>
        </w:tc>
      </w:tr>
      <w:tr w:rsidR="00981F92" w:rsidRPr="000A27B3" w14:paraId="2A680D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6D3271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20</w:t>
            </w:r>
          </w:p>
        </w:tc>
        <w:tc>
          <w:tcPr>
            <w:tcW w:w="3544" w:type="dxa"/>
            <w:tcBorders>
              <w:top w:val="nil"/>
              <w:left w:val="nil"/>
              <w:bottom w:val="single" w:sz="4" w:space="0" w:color="auto"/>
              <w:right w:val="single" w:sz="4" w:space="0" w:color="auto"/>
            </w:tcBorders>
            <w:shd w:val="clear" w:color="auto" w:fill="C6EFCE"/>
            <w:noWrap/>
          </w:tcPr>
          <w:p w14:paraId="4D90AAD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C1.I7 </w:t>
            </w:r>
          </w:p>
          <w:p w14:paraId="41F737D3" w14:textId="7FC0B5BF" w:rsidR="00981F92" w:rsidRPr="000A27B3" w:rsidRDefault="00981F92">
            <w:pPr>
              <w:spacing w:after="0"/>
              <w:jc w:val="both"/>
              <w:rPr>
                <w:rFonts w:ascii="Times New Roman" w:hAnsi="Times New Roman" w:cs="Times New Roman"/>
                <w:noProof/>
              </w:rPr>
            </w:pPr>
            <w:r>
              <w:rPr>
                <w:rFonts w:ascii="Times New Roman" w:hAnsi="Times New Roman"/>
                <w:noProof/>
              </w:rPr>
              <w:t>Extinderea rețelei naționale de observații din cadrul Sistemului Meteorologic Integrat Național (SIMIN)</w:t>
            </w:r>
            <w:r w:rsidR="004C4C72">
              <w:rPr>
                <w:rFonts w:ascii="Times New Roman" w:hAnsi="Times New Roman"/>
                <w:noProof/>
              </w:rPr>
              <w:t xml:space="preserve"> </w:t>
            </w:r>
          </w:p>
        </w:tc>
        <w:tc>
          <w:tcPr>
            <w:tcW w:w="1216" w:type="dxa"/>
            <w:tcBorders>
              <w:top w:val="nil"/>
              <w:left w:val="nil"/>
              <w:bottom w:val="single" w:sz="4" w:space="0" w:color="auto"/>
              <w:right w:val="single" w:sz="4" w:space="0" w:color="auto"/>
            </w:tcBorders>
            <w:shd w:val="clear" w:color="auto" w:fill="C6EFCE"/>
            <w:noWrap/>
          </w:tcPr>
          <w:p w14:paraId="4425703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6B4E002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Stațiile meteorologice sunt achiziționate și operaționale </w:t>
            </w:r>
          </w:p>
        </w:tc>
      </w:tr>
      <w:tr w:rsidR="00981F92" w:rsidRPr="000A27B3" w14:paraId="644D3A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4DF243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35</w:t>
            </w:r>
          </w:p>
        </w:tc>
        <w:tc>
          <w:tcPr>
            <w:tcW w:w="3544" w:type="dxa"/>
            <w:tcBorders>
              <w:top w:val="nil"/>
              <w:left w:val="nil"/>
              <w:bottom w:val="single" w:sz="4" w:space="0" w:color="auto"/>
              <w:right w:val="single" w:sz="4" w:space="0" w:color="auto"/>
            </w:tcBorders>
            <w:shd w:val="clear" w:color="auto" w:fill="C6EFCE"/>
            <w:noWrap/>
          </w:tcPr>
          <w:p w14:paraId="2F7D263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C2.I3.2 </w:t>
            </w:r>
          </w:p>
          <w:p w14:paraId="6F2F52A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Identificarea zonelor potențiale de protecție strictă în habitate naturale terestre și marine în vederea punerii în aplicare a Strategiei UE privind biodiversitatea pentru 2030</w:t>
            </w:r>
          </w:p>
        </w:tc>
        <w:tc>
          <w:tcPr>
            <w:tcW w:w="1216" w:type="dxa"/>
            <w:tcBorders>
              <w:top w:val="nil"/>
              <w:left w:val="nil"/>
              <w:bottom w:val="single" w:sz="4" w:space="0" w:color="auto"/>
              <w:right w:val="single" w:sz="4" w:space="0" w:color="auto"/>
            </w:tcBorders>
            <w:shd w:val="clear" w:color="auto" w:fill="C6EFCE"/>
            <w:noWrap/>
          </w:tcPr>
          <w:p w14:paraId="0582F8F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61" w:type="dxa"/>
            <w:tcBorders>
              <w:top w:val="nil"/>
              <w:left w:val="nil"/>
              <w:bottom w:val="single" w:sz="4" w:space="0" w:color="auto"/>
              <w:right w:val="single" w:sz="4" w:space="0" w:color="auto"/>
            </w:tcBorders>
            <w:shd w:val="clear" w:color="auto" w:fill="C6EFCE"/>
            <w:noWrap/>
          </w:tcPr>
          <w:p w14:paraId="0C95A7A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actului normativ pentru desemnarea zonelor de protecție strictă (identificate în zonele protejate Natura 2000 fără planuri de management existente și în alte zone)</w:t>
            </w:r>
          </w:p>
        </w:tc>
      </w:tr>
      <w:tr w:rsidR="00981F92" w:rsidRPr="000A27B3" w14:paraId="29FE7B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1BEF83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57</w:t>
            </w:r>
          </w:p>
        </w:tc>
        <w:tc>
          <w:tcPr>
            <w:tcW w:w="3544" w:type="dxa"/>
            <w:tcBorders>
              <w:top w:val="nil"/>
              <w:left w:val="nil"/>
              <w:bottom w:val="single" w:sz="4" w:space="0" w:color="auto"/>
              <w:right w:val="single" w:sz="4" w:space="0" w:color="auto"/>
            </w:tcBorders>
            <w:shd w:val="clear" w:color="auto" w:fill="C6EFCE"/>
            <w:noWrap/>
          </w:tcPr>
          <w:p w14:paraId="1645449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C3.I3a</w:t>
            </w:r>
            <w:r>
              <w:rPr>
                <w:rFonts w:ascii="Times New Roman" w:hAnsi="Times New Roman"/>
                <w:noProof/>
              </w:rPr>
              <w:br/>
              <w:t>Echipamente de monitorizare și control pentru Garda Națională de Mediu</w:t>
            </w:r>
          </w:p>
        </w:tc>
        <w:tc>
          <w:tcPr>
            <w:tcW w:w="1216" w:type="dxa"/>
            <w:tcBorders>
              <w:top w:val="nil"/>
              <w:left w:val="nil"/>
              <w:bottom w:val="single" w:sz="4" w:space="0" w:color="auto"/>
              <w:right w:val="single" w:sz="4" w:space="0" w:color="auto"/>
            </w:tcBorders>
            <w:shd w:val="clear" w:color="auto" w:fill="C6EFCE"/>
            <w:noWrap/>
          </w:tcPr>
          <w:p w14:paraId="7A64992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0053CD7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400 de misiuni de control efectuate cu ajutorul echipamentelor de monitorizare și control</w:t>
            </w:r>
          </w:p>
        </w:tc>
      </w:tr>
      <w:tr w:rsidR="000A27B3" w:rsidRPr="000A27B3" w14:paraId="142844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2CABCAA"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81</w:t>
            </w:r>
          </w:p>
        </w:tc>
        <w:tc>
          <w:tcPr>
            <w:tcW w:w="3544" w:type="dxa"/>
            <w:tcBorders>
              <w:top w:val="nil"/>
              <w:left w:val="nil"/>
              <w:bottom w:val="single" w:sz="4" w:space="0" w:color="auto"/>
              <w:right w:val="single" w:sz="4" w:space="0" w:color="auto"/>
            </w:tcBorders>
            <w:shd w:val="clear" w:color="auto" w:fill="C6EFCE"/>
            <w:noWrap/>
            <w:hideMark/>
          </w:tcPr>
          <w:p w14:paraId="56B47E0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C4.R2</w:t>
            </w:r>
          </w:p>
          <w:p w14:paraId="6553BC3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Management performant pentru transport de calitate - Îmbunătățirea capacității instituționale de management și guvernanță corporativă</w:t>
            </w:r>
          </w:p>
        </w:tc>
        <w:tc>
          <w:tcPr>
            <w:tcW w:w="1216" w:type="dxa"/>
            <w:tcBorders>
              <w:top w:val="nil"/>
              <w:left w:val="nil"/>
              <w:bottom w:val="single" w:sz="4" w:space="0" w:color="auto"/>
              <w:right w:val="single" w:sz="4" w:space="0" w:color="auto"/>
            </w:tcBorders>
            <w:shd w:val="clear" w:color="auto" w:fill="C6EFCE"/>
            <w:noWrap/>
            <w:hideMark/>
          </w:tcPr>
          <w:p w14:paraId="586781FC"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hideMark/>
          </w:tcPr>
          <w:p w14:paraId="15F286C1"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Îmbunătățirea performanțelor sistemului feroviar în ceea ce privește punctualitatea trenurilor</w:t>
            </w:r>
          </w:p>
        </w:tc>
      </w:tr>
      <w:tr w:rsidR="00981F92" w:rsidRPr="000A27B3" w14:paraId="7AFBB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CB1AF1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112</w:t>
            </w:r>
          </w:p>
        </w:tc>
        <w:tc>
          <w:tcPr>
            <w:tcW w:w="3544" w:type="dxa"/>
            <w:tcBorders>
              <w:top w:val="nil"/>
              <w:left w:val="nil"/>
              <w:bottom w:val="single" w:sz="4" w:space="0" w:color="auto"/>
              <w:right w:val="single" w:sz="4" w:space="0" w:color="auto"/>
            </w:tcBorders>
            <w:shd w:val="clear" w:color="auto" w:fill="C6EFCE"/>
            <w:noWrap/>
          </w:tcPr>
          <w:p w14:paraId="3797DE1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C5.I4</w:t>
            </w:r>
          </w:p>
          <w:p w14:paraId="58305AD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Economie circulară și creșterea eficienței energetice a clădirilor istorice</w:t>
            </w:r>
          </w:p>
        </w:tc>
        <w:tc>
          <w:tcPr>
            <w:tcW w:w="1216" w:type="dxa"/>
            <w:tcBorders>
              <w:top w:val="nil"/>
              <w:left w:val="nil"/>
              <w:bottom w:val="single" w:sz="4" w:space="0" w:color="auto"/>
              <w:right w:val="single" w:sz="4" w:space="0" w:color="auto"/>
            </w:tcBorders>
            <w:shd w:val="clear" w:color="auto" w:fill="C6EFCE"/>
            <w:noWrap/>
          </w:tcPr>
          <w:p w14:paraId="521AE52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6CD6796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Cel puțin 200 de profesioniști obțin certificarea absolvirii cursurilor de formare privind intervențiile aferente clădirilor istorice și eficiența energetică a acestora</w:t>
            </w:r>
          </w:p>
        </w:tc>
      </w:tr>
      <w:tr w:rsidR="00981F92" w:rsidRPr="000A27B3" w14:paraId="627815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E26E1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131</w:t>
            </w:r>
          </w:p>
        </w:tc>
        <w:tc>
          <w:tcPr>
            <w:tcW w:w="3544" w:type="dxa"/>
            <w:tcBorders>
              <w:top w:val="nil"/>
              <w:left w:val="nil"/>
              <w:bottom w:val="single" w:sz="4" w:space="0" w:color="auto"/>
              <w:right w:val="single" w:sz="4" w:space="0" w:color="auto"/>
            </w:tcBorders>
            <w:shd w:val="clear" w:color="auto" w:fill="C6EFCE"/>
            <w:noWrap/>
          </w:tcPr>
          <w:p w14:paraId="1DA5E18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C6.I2</w:t>
            </w:r>
          </w:p>
          <w:p w14:paraId="7FCA30A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Infrastructura de distribuție a gazelor din surse regenerabile (utilizând gazele naturale în combinație cu hidrogenul verde ca măsură tranzitorie), precum și capacitățile de producție a hidrogenului verde și/sau utilizarea acestuia pentru stocarea energiei electrice</w:t>
            </w:r>
          </w:p>
        </w:tc>
        <w:tc>
          <w:tcPr>
            <w:tcW w:w="1216" w:type="dxa"/>
            <w:tcBorders>
              <w:top w:val="nil"/>
              <w:left w:val="nil"/>
              <w:bottom w:val="single" w:sz="4" w:space="0" w:color="auto"/>
              <w:right w:val="single" w:sz="4" w:space="0" w:color="auto"/>
            </w:tcBorders>
            <w:shd w:val="clear" w:color="auto" w:fill="C6EFCE"/>
            <w:noWrap/>
          </w:tcPr>
          <w:p w14:paraId="0AB9D92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16CD711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Producția de hidrogen verde</w:t>
            </w:r>
          </w:p>
        </w:tc>
      </w:tr>
      <w:tr w:rsidR="00981F92" w:rsidRPr="000A27B3" w14:paraId="061E50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5425A7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141</w:t>
            </w:r>
          </w:p>
        </w:tc>
        <w:tc>
          <w:tcPr>
            <w:tcW w:w="3544" w:type="dxa"/>
            <w:tcBorders>
              <w:top w:val="nil"/>
              <w:left w:val="nil"/>
              <w:bottom w:val="single" w:sz="4" w:space="0" w:color="auto"/>
              <w:right w:val="single" w:sz="4" w:space="0" w:color="auto"/>
            </w:tcBorders>
            <w:shd w:val="clear" w:color="auto" w:fill="C6EFCE"/>
            <w:noWrap/>
          </w:tcPr>
          <w:p w14:paraId="0D967DA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C6.I5</w:t>
            </w:r>
          </w:p>
          <w:p w14:paraId="615F161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unei scheme de stimulare a eficienței energetice în industrie și a sporirii rezilienței sectorului industrial </w:t>
            </w:r>
          </w:p>
        </w:tc>
        <w:tc>
          <w:tcPr>
            <w:tcW w:w="1216" w:type="dxa"/>
            <w:tcBorders>
              <w:top w:val="nil"/>
              <w:left w:val="nil"/>
              <w:bottom w:val="single" w:sz="4" w:space="0" w:color="auto"/>
              <w:right w:val="single" w:sz="4" w:space="0" w:color="auto"/>
            </w:tcBorders>
            <w:shd w:val="clear" w:color="auto" w:fill="C6EFCE"/>
            <w:noWrap/>
          </w:tcPr>
          <w:p w14:paraId="17DFEA9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04387CF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Proiectul privind eficiența energetică este finalizat</w:t>
            </w:r>
          </w:p>
        </w:tc>
      </w:tr>
      <w:tr w:rsidR="00981F92" w:rsidRPr="000A27B3" w14:paraId="1442C5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F180B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188</w:t>
            </w:r>
          </w:p>
        </w:tc>
        <w:tc>
          <w:tcPr>
            <w:tcW w:w="3544" w:type="dxa"/>
            <w:tcBorders>
              <w:top w:val="nil"/>
              <w:left w:val="nil"/>
              <w:bottom w:val="single" w:sz="4" w:space="0" w:color="auto"/>
              <w:right w:val="single" w:sz="4" w:space="0" w:color="auto"/>
            </w:tcBorders>
            <w:shd w:val="clear" w:color="auto" w:fill="C6EFCE"/>
            <w:noWrap/>
          </w:tcPr>
          <w:p w14:paraId="72E3308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C7.I18</w:t>
            </w:r>
            <w:r>
              <w:rPr>
                <w:rFonts w:ascii="Times New Roman" w:hAnsi="Times New Roman"/>
                <w:noProof/>
              </w:rPr>
              <w:br/>
              <w:t>Transformarea digitală și adoptarea tehnologiei de automatizare a proceselor de lucru robotice în administrația publică</w:t>
            </w:r>
          </w:p>
        </w:tc>
        <w:tc>
          <w:tcPr>
            <w:tcW w:w="1216" w:type="dxa"/>
            <w:tcBorders>
              <w:top w:val="nil"/>
              <w:left w:val="nil"/>
              <w:bottom w:val="single" w:sz="4" w:space="0" w:color="auto"/>
              <w:right w:val="single" w:sz="4" w:space="0" w:color="auto"/>
            </w:tcBorders>
            <w:shd w:val="clear" w:color="auto" w:fill="C6EFCE"/>
            <w:noWrap/>
          </w:tcPr>
          <w:p w14:paraId="10C9EBF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2D6EF1E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Implementarea tehnologiei de automatizare a proceselor de lucru (RPA) și promovarea inteligenței artificiale (IA) în administrația publică </w:t>
            </w:r>
          </w:p>
        </w:tc>
      </w:tr>
      <w:tr w:rsidR="00981F92" w:rsidRPr="000A27B3" w14:paraId="53DADD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0A8E4E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190</w:t>
            </w:r>
          </w:p>
        </w:tc>
        <w:tc>
          <w:tcPr>
            <w:tcW w:w="3544" w:type="dxa"/>
            <w:tcBorders>
              <w:top w:val="nil"/>
              <w:left w:val="nil"/>
              <w:bottom w:val="single" w:sz="4" w:space="0" w:color="auto"/>
              <w:right w:val="single" w:sz="4" w:space="0" w:color="auto"/>
            </w:tcBorders>
            <w:shd w:val="clear" w:color="auto" w:fill="C6EFCE"/>
            <w:noWrap/>
          </w:tcPr>
          <w:p w14:paraId="4A62A5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C7.I19</w:t>
            </w:r>
          </w:p>
          <w:p w14:paraId="456668D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Scheme dedicate perfecționării/recalificării angajaților din firme</w:t>
            </w:r>
          </w:p>
        </w:tc>
        <w:tc>
          <w:tcPr>
            <w:tcW w:w="1216" w:type="dxa"/>
            <w:tcBorders>
              <w:top w:val="nil"/>
              <w:left w:val="nil"/>
              <w:bottom w:val="single" w:sz="4" w:space="0" w:color="auto"/>
              <w:right w:val="single" w:sz="4" w:space="0" w:color="auto"/>
            </w:tcBorders>
            <w:shd w:val="clear" w:color="auto" w:fill="C6EFCE"/>
            <w:noWrap/>
          </w:tcPr>
          <w:p w14:paraId="04D1B9C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7CD0084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IMM-urile finanțate pentru a oferi cursuri de formare personalului lor în domeniul competențelor digitale </w:t>
            </w:r>
          </w:p>
        </w:tc>
      </w:tr>
      <w:tr w:rsidR="00981F92" w:rsidRPr="000A27B3" w14:paraId="04574B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E685AF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244</w:t>
            </w:r>
          </w:p>
        </w:tc>
        <w:tc>
          <w:tcPr>
            <w:tcW w:w="3544" w:type="dxa"/>
            <w:tcBorders>
              <w:top w:val="nil"/>
              <w:left w:val="nil"/>
              <w:bottom w:val="single" w:sz="4" w:space="0" w:color="auto"/>
              <w:right w:val="single" w:sz="4" w:space="0" w:color="auto"/>
            </w:tcBorders>
            <w:shd w:val="clear" w:color="auto" w:fill="C6EFCE"/>
            <w:noWrap/>
          </w:tcPr>
          <w:p w14:paraId="5477867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C9.R1</w:t>
            </w:r>
          </w:p>
          <w:p w14:paraId="086E1B9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Transparență legislativă, debirocratizare și simplificare procedurală destinate mediului de afaceri </w:t>
            </w:r>
          </w:p>
        </w:tc>
        <w:tc>
          <w:tcPr>
            <w:tcW w:w="1216" w:type="dxa"/>
            <w:tcBorders>
              <w:top w:val="nil"/>
              <w:left w:val="nil"/>
              <w:bottom w:val="single" w:sz="4" w:space="0" w:color="auto"/>
              <w:right w:val="single" w:sz="4" w:space="0" w:color="auto"/>
            </w:tcBorders>
            <w:shd w:val="clear" w:color="auto" w:fill="C6EFCE"/>
            <w:noWrap/>
          </w:tcPr>
          <w:p w14:paraId="0324FE3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3D3A659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perioadei medii necesare pentru îndeplinirea cerințelor de reglementare legate de mediul de afaceri </w:t>
            </w:r>
          </w:p>
        </w:tc>
      </w:tr>
      <w:tr w:rsidR="00981F92" w:rsidRPr="000A27B3" w14:paraId="08C49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0156E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245</w:t>
            </w:r>
          </w:p>
        </w:tc>
        <w:tc>
          <w:tcPr>
            <w:tcW w:w="3544" w:type="dxa"/>
            <w:tcBorders>
              <w:top w:val="nil"/>
              <w:left w:val="nil"/>
              <w:bottom w:val="single" w:sz="4" w:space="0" w:color="auto"/>
              <w:right w:val="single" w:sz="4" w:space="0" w:color="auto"/>
            </w:tcBorders>
            <w:shd w:val="clear" w:color="auto" w:fill="C6EFCE"/>
            <w:noWrap/>
          </w:tcPr>
          <w:p w14:paraId="626F62B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C9.R1</w:t>
            </w:r>
          </w:p>
          <w:p w14:paraId="662BB47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Transparență legislativă, debirocratizare și simplificare procedurală destinate mediului de afaceri </w:t>
            </w:r>
          </w:p>
        </w:tc>
        <w:tc>
          <w:tcPr>
            <w:tcW w:w="1216" w:type="dxa"/>
            <w:tcBorders>
              <w:top w:val="nil"/>
              <w:left w:val="nil"/>
              <w:bottom w:val="single" w:sz="4" w:space="0" w:color="auto"/>
              <w:right w:val="single" w:sz="4" w:space="0" w:color="auto"/>
            </w:tcBorders>
            <w:shd w:val="clear" w:color="auto" w:fill="C6EFCE"/>
            <w:noWrap/>
          </w:tcPr>
          <w:p w14:paraId="35B62D5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28F637B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Acte legislative/modificări referitoare la IMM-urile cărora li s-a aplicat testul</w:t>
            </w:r>
          </w:p>
        </w:tc>
      </w:tr>
      <w:tr w:rsidR="00981F92" w:rsidRPr="005209CD" w14:paraId="383B12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841D4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275</w:t>
            </w:r>
          </w:p>
        </w:tc>
        <w:tc>
          <w:tcPr>
            <w:tcW w:w="3544" w:type="dxa"/>
            <w:tcBorders>
              <w:top w:val="nil"/>
              <w:left w:val="nil"/>
              <w:bottom w:val="single" w:sz="4" w:space="0" w:color="auto"/>
              <w:right w:val="single" w:sz="4" w:space="0" w:color="auto"/>
            </w:tcBorders>
            <w:shd w:val="clear" w:color="auto" w:fill="C6EFCE"/>
            <w:noWrap/>
          </w:tcPr>
          <w:p w14:paraId="5C63BD0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C9.R3 </w:t>
            </w:r>
          </w:p>
          <w:p w14:paraId="7958859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Reforma carierei de cercetător </w:t>
            </w:r>
          </w:p>
        </w:tc>
        <w:tc>
          <w:tcPr>
            <w:tcW w:w="1216" w:type="dxa"/>
            <w:tcBorders>
              <w:top w:val="nil"/>
              <w:left w:val="nil"/>
              <w:bottom w:val="single" w:sz="4" w:space="0" w:color="auto"/>
              <w:right w:val="single" w:sz="4" w:space="0" w:color="auto"/>
            </w:tcBorders>
            <w:shd w:val="clear" w:color="auto" w:fill="C6EFCE"/>
            <w:noWrap/>
          </w:tcPr>
          <w:p w14:paraId="540A0B4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2060AF8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Instituțiile care au aderat la Carta europeană a cercetătorilor și la Codul de recrutare a cercetătorilor au inițiat procesul de elaborare, implementare și evaluare a planurilor de acțiune </w:t>
            </w:r>
          </w:p>
        </w:tc>
      </w:tr>
      <w:tr w:rsidR="00981F92" w:rsidRPr="005209CD" w14:paraId="1BEF9A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D4D423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281</w:t>
            </w:r>
          </w:p>
        </w:tc>
        <w:tc>
          <w:tcPr>
            <w:tcW w:w="3544" w:type="dxa"/>
            <w:tcBorders>
              <w:top w:val="nil"/>
              <w:left w:val="nil"/>
              <w:bottom w:val="single" w:sz="4" w:space="0" w:color="auto"/>
              <w:right w:val="single" w:sz="4" w:space="0" w:color="auto"/>
            </w:tcBorders>
            <w:shd w:val="clear" w:color="auto" w:fill="C6EFCE"/>
            <w:noWrap/>
          </w:tcPr>
          <w:p w14:paraId="27F2794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C9.I5</w:t>
            </w:r>
          </w:p>
          <w:p w14:paraId="1C24245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Instituirea și operaționalizarea centrelor de competențe </w:t>
            </w:r>
          </w:p>
        </w:tc>
        <w:tc>
          <w:tcPr>
            <w:tcW w:w="1216" w:type="dxa"/>
            <w:tcBorders>
              <w:top w:val="nil"/>
              <w:left w:val="nil"/>
              <w:bottom w:val="single" w:sz="4" w:space="0" w:color="auto"/>
              <w:right w:val="single" w:sz="4" w:space="0" w:color="auto"/>
            </w:tcBorders>
            <w:shd w:val="clear" w:color="auto" w:fill="C6EFCE"/>
            <w:noWrap/>
          </w:tcPr>
          <w:p w14:paraId="3193CFC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0E964CB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Bugetul atras de centrele de competență din proiectele de cercetare, dezvoltare și inovare ale sectorului privat </w:t>
            </w:r>
          </w:p>
          <w:p w14:paraId="370A29BA" w14:textId="77777777" w:rsidR="00981F92" w:rsidRPr="009F1DC7" w:rsidRDefault="00981F92">
            <w:pPr>
              <w:spacing w:after="0"/>
              <w:jc w:val="both"/>
              <w:rPr>
                <w:rFonts w:ascii="Times New Roman" w:hAnsi="Times New Roman" w:cs="Times New Roman"/>
                <w:noProof/>
                <w:lang w:val="fr-FR"/>
              </w:rPr>
            </w:pPr>
          </w:p>
        </w:tc>
      </w:tr>
      <w:tr w:rsidR="000A27B3" w:rsidRPr="000A27B3" w14:paraId="22F1C7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1FBFB0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502</w:t>
            </w:r>
          </w:p>
        </w:tc>
        <w:tc>
          <w:tcPr>
            <w:tcW w:w="3544" w:type="dxa"/>
            <w:tcBorders>
              <w:top w:val="nil"/>
              <w:left w:val="nil"/>
              <w:bottom w:val="single" w:sz="4" w:space="0" w:color="auto"/>
              <w:right w:val="single" w:sz="4" w:space="0" w:color="auto"/>
            </w:tcBorders>
            <w:shd w:val="clear" w:color="auto" w:fill="C6EFCE"/>
            <w:noWrap/>
          </w:tcPr>
          <w:p w14:paraId="4ADB487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C15.I16</w:t>
            </w:r>
          </w:p>
          <w:p w14:paraId="5976D04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Digitalizarea universităților și pregătirea acestora pentru profesiile digitale ale viitorului</w:t>
            </w:r>
          </w:p>
        </w:tc>
        <w:tc>
          <w:tcPr>
            <w:tcW w:w="1216" w:type="dxa"/>
            <w:tcBorders>
              <w:top w:val="nil"/>
              <w:left w:val="nil"/>
              <w:bottom w:val="single" w:sz="4" w:space="0" w:color="auto"/>
              <w:right w:val="single" w:sz="4" w:space="0" w:color="auto"/>
            </w:tcBorders>
            <w:shd w:val="clear" w:color="auto" w:fill="C6EFCE"/>
            <w:noWrap/>
          </w:tcPr>
          <w:p w14:paraId="3E21C4C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3086157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Numărul de universități sprijinite cu noi centre tehnologice inovatoare pentru crearea noilor abilități ale viitorului </w:t>
            </w:r>
          </w:p>
        </w:tc>
      </w:tr>
      <w:tr w:rsidR="000A27B3" w:rsidRPr="000A27B3" w14:paraId="5688E1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08CBF5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498</w:t>
            </w:r>
          </w:p>
        </w:tc>
        <w:tc>
          <w:tcPr>
            <w:tcW w:w="3544" w:type="dxa"/>
            <w:tcBorders>
              <w:top w:val="nil"/>
              <w:left w:val="nil"/>
              <w:bottom w:val="single" w:sz="4" w:space="0" w:color="auto"/>
              <w:right w:val="single" w:sz="4" w:space="0" w:color="auto"/>
            </w:tcBorders>
            <w:shd w:val="clear" w:color="auto" w:fill="C6EFCE"/>
            <w:noWrap/>
          </w:tcPr>
          <w:p w14:paraId="2294B7C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C15.I15 </w:t>
            </w:r>
          </w:p>
          <w:p w14:paraId="3E5B4B5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Școala online: Dezvoltarea platformei de evaluare și realizarea de conținut</w:t>
            </w:r>
          </w:p>
        </w:tc>
        <w:tc>
          <w:tcPr>
            <w:tcW w:w="1216" w:type="dxa"/>
            <w:tcBorders>
              <w:top w:val="nil"/>
              <w:left w:val="nil"/>
              <w:bottom w:val="single" w:sz="4" w:space="0" w:color="auto"/>
              <w:right w:val="single" w:sz="4" w:space="0" w:color="auto"/>
            </w:tcBorders>
            <w:shd w:val="clear" w:color="auto" w:fill="C6EFCE"/>
            <w:noWrap/>
          </w:tcPr>
          <w:p w14:paraId="4F6576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61" w:type="dxa"/>
            <w:tcBorders>
              <w:top w:val="nil"/>
              <w:left w:val="nil"/>
              <w:bottom w:val="single" w:sz="4" w:space="0" w:color="auto"/>
              <w:right w:val="single" w:sz="4" w:space="0" w:color="auto"/>
            </w:tcBorders>
            <w:shd w:val="clear" w:color="auto" w:fill="C6EFCE"/>
            <w:noWrap/>
          </w:tcPr>
          <w:p w14:paraId="028229C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Platforma electronică de evaluare online a elevilor este operațională</w:t>
            </w:r>
          </w:p>
        </w:tc>
      </w:tr>
      <w:tr w:rsidR="000A27B3" w:rsidRPr="000A27B3" w14:paraId="746D6F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3446A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503</w:t>
            </w:r>
          </w:p>
        </w:tc>
        <w:tc>
          <w:tcPr>
            <w:tcW w:w="3544" w:type="dxa"/>
            <w:tcBorders>
              <w:top w:val="nil"/>
              <w:left w:val="nil"/>
              <w:bottom w:val="single" w:sz="4" w:space="0" w:color="auto"/>
              <w:right w:val="single" w:sz="4" w:space="0" w:color="auto"/>
            </w:tcBorders>
            <w:shd w:val="clear" w:color="auto" w:fill="C6EFCE"/>
            <w:noWrap/>
          </w:tcPr>
          <w:p w14:paraId="5C887A4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C15.I17</w:t>
            </w:r>
          </w:p>
          <w:p w14:paraId="7AC87D7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infrastructurii universitare (cămine, cantine, spații de recreere)</w:t>
            </w:r>
          </w:p>
        </w:tc>
        <w:tc>
          <w:tcPr>
            <w:tcW w:w="1216" w:type="dxa"/>
            <w:tcBorders>
              <w:top w:val="nil"/>
              <w:left w:val="nil"/>
              <w:bottom w:val="single" w:sz="4" w:space="0" w:color="auto"/>
              <w:right w:val="single" w:sz="4" w:space="0" w:color="auto"/>
            </w:tcBorders>
            <w:shd w:val="clear" w:color="auto" w:fill="C6EFCE"/>
            <w:noWrap/>
          </w:tcPr>
          <w:p w14:paraId="78821F7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32FECF8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Spații de recreere și lectură construite sau modernizate și date în folosință</w:t>
            </w:r>
          </w:p>
        </w:tc>
      </w:tr>
      <w:tr w:rsidR="000A27B3" w:rsidRPr="000A27B3" w14:paraId="12D29E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56E7BA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504</w:t>
            </w:r>
          </w:p>
        </w:tc>
        <w:tc>
          <w:tcPr>
            <w:tcW w:w="3544" w:type="dxa"/>
            <w:tcBorders>
              <w:top w:val="nil"/>
              <w:left w:val="nil"/>
              <w:bottom w:val="single" w:sz="4" w:space="0" w:color="auto"/>
              <w:right w:val="single" w:sz="4" w:space="0" w:color="auto"/>
            </w:tcBorders>
            <w:shd w:val="clear" w:color="auto" w:fill="C6EFCE"/>
            <w:noWrap/>
          </w:tcPr>
          <w:p w14:paraId="1A8B875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C15.I17</w:t>
            </w:r>
          </w:p>
          <w:p w14:paraId="75D5141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infrastructurii universitare (cămine, cantine și spații de recreere)</w:t>
            </w:r>
          </w:p>
        </w:tc>
        <w:tc>
          <w:tcPr>
            <w:tcW w:w="1216" w:type="dxa"/>
            <w:tcBorders>
              <w:top w:val="nil"/>
              <w:left w:val="nil"/>
              <w:bottom w:val="single" w:sz="4" w:space="0" w:color="auto"/>
              <w:right w:val="single" w:sz="4" w:space="0" w:color="auto"/>
            </w:tcBorders>
            <w:shd w:val="clear" w:color="auto" w:fill="C6EFCE"/>
            <w:noWrap/>
          </w:tcPr>
          <w:p w14:paraId="0A70824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1941F7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Cantine construite sau modernizate și date în folosință</w:t>
            </w:r>
          </w:p>
        </w:tc>
      </w:tr>
      <w:tr w:rsidR="000A27B3" w:rsidRPr="005209CD" w14:paraId="2DB8C4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1140C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39</w:t>
            </w:r>
          </w:p>
        </w:tc>
        <w:tc>
          <w:tcPr>
            <w:tcW w:w="3544" w:type="dxa"/>
            <w:tcBorders>
              <w:top w:val="nil"/>
              <w:left w:val="nil"/>
              <w:bottom w:val="single" w:sz="4" w:space="0" w:color="auto"/>
              <w:right w:val="single" w:sz="4" w:space="0" w:color="auto"/>
            </w:tcBorders>
            <w:shd w:val="clear" w:color="auto" w:fill="C6EFCE"/>
            <w:noWrap/>
          </w:tcPr>
          <w:p w14:paraId="71EDFB1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C2.I4.4 </w:t>
            </w:r>
          </w:p>
          <w:p w14:paraId="51C6661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Implementarea unui sistem de monitorizare a sturionilor sălbatici de-a lungul Dunării de Jos</w:t>
            </w:r>
          </w:p>
        </w:tc>
        <w:tc>
          <w:tcPr>
            <w:tcW w:w="1216" w:type="dxa"/>
            <w:tcBorders>
              <w:top w:val="nil"/>
              <w:left w:val="nil"/>
              <w:bottom w:val="single" w:sz="4" w:space="0" w:color="auto"/>
              <w:right w:val="single" w:sz="4" w:space="0" w:color="auto"/>
            </w:tcBorders>
            <w:shd w:val="clear" w:color="auto" w:fill="C6EFCE"/>
            <w:noWrap/>
          </w:tcPr>
          <w:p w14:paraId="4346636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61" w:type="dxa"/>
            <w:tcBorders>
              <w:top w:val="nil"/>
              <w:left w:val="nil"/>
              <w:bottom w:val="single" w:sz="4" w:space="0" w:color="auto"/>
              <w:right w:val="single" w:sz="4" w:space="0" w:color="auto"/>
            </w:tcBorders>
            <w:shd w:val="clear" w:color="auto" w:fill="C6EFCE"/>
            <w:noWrap/>
          </w:tcPr>
          <w:p w14:paraId="7E5F6BD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Rețea operaționalizată de monitorizare, comunicare și transmitere date a sturionilor sălbatici </w:t>
            </w:r>
          </w:p>
        </w:tc>
      </w:tr>
      <w:tr w:rsidR="000A27B3" w:rsidRPr="000A27B3" w14:paraId="287816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44F12B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101</w:t>
            </w:r>
          </w:p>
        </w:tc>
        <w:tc>
          <w:tcPr>
            <w:tcW w:w="3544" w:type="dxa"/>
            <w:tcBorders>
              <w:top w:val="nil"/>
              <w:left w:val="nil"/>
              <w:bottom w:val="single" w:sz="4" w:space="0" w:color="auto"/>
              <w:right w:val="single" w:sz="4" w:space="0" w:color="auto"/>
            </w:tcBorders>
            <w:shd w:val="clear" w:color="auto" w:fill="C6EFCE"/>
            <w:noWrap/>
          </w:tcPr>
          <w:p w14:paraId="088EBDE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6718B15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eficienței energetice a fondului construit existent</w:t>
            </w:r>
          </w:p>
        </w:tc>
        <w:tc>
          <w:tcPr>
            <w:tcW w:w="1216" w:type="dxa"/>
            <w:tcBorders>
              <w:top w:val="nil"/>
              <w:left w:val="nil"/>
              <w:bottom w:val="single" w:sz="4" w:space="0" w:color="auto"/>
              <w:right w:val="single" w:sz="4" w:space="0" w:color="auto"/>
            </w:tcBorders>
            <w:shd w:val="clear" w:color="auto" w:fill="C6EFCE"/>
            <w:noWrap/>
          </w:tcPr>
          <w:p w14:paraId="39594A8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318DD02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renovării energetice a clădirilor rezidențiale multifamiliale</w:t>
            </w:r>
          </w:p>
        </w:tc>
      </w:tr>
      <w:tr w:rsidR="000A27B3" w:rsidRPr="000A27B3" w14:paraId="5B431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20CC93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104</w:t>
            </w:r>
          </w:p>
        </w:tc>
        <w:tc>
          <w:tcPr>
            <w:tcW w:w="3544" w:type="dxa"/>
            <w:tcBorders>
              <w:top w:val="nil"/>
              <w:left w:val="nil"/>
              <w:bottom w:val="single" w:sz="4" w:space="0" w:color="auto"/>
              <w:right w:val="single" w:sz="4" w:space="0" w:color="auto"/>
            </w:tcBorders>
            <w:shd w:val="clear" w:color="auto" w:fill="C6EFCE"/>
            <w:noWrap/>
          </w:tcPr>
          <w:p w14:paraId="5F912A0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5F06854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eficienței energetice a fondului construit existent</w:t>
            </w:r>
          </w:p>
        </w:tc>
        <w:tc>
          <w:tcPr>
            <w:tcW w:w="1216" w:type="dxa"/>
            <w:tcBorders>
              <w:top w:val="nil"/>
              <w:left w:val="nil"/>
              <w:bottom w:val="single" w:sz="4" w:space="0" w:color="auto"/>
              <w:right w:val="single" w:sz="4" w:space="0" w:color="auto"/>
            </w:tcBorders>
            <w:shd w:val="clear" w:color="auto" w:fill="C6EFCE"/>
            <w:noWrap/>
          </w:tcPr>
          <w:p w14:paraId="183468E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2DA9843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Finalizarea renovării energetice a clădirilor publice </w:t>
            </w:r>
          </w:p>
        </w:tc>
      </w:tr>
      <w:tr w:rsidR="000A27B3" w:rsidRPr="000A27B3" w14:paraId="4476AA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EDE64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505</w:t>
            </w:r>
          </w:p>
        </w:tc>
        <w:tc>
          <w:tcPr>
            <w:tcW w:w="3544" w:type="dxa"/>
            <w:tcBorders>
              <w:top w:val="nil"/>
              <w:left w:val="nil"/>
              <w:bottom w:val="single" w:sz="4" w:space="0" w:color="auto"/>
              <w:right w:val="single" w:sz="4" w:space="0" w:color="auto"/>
            </w:tcBorders>
            <w:shd w:val="clear" w:color="auto" w:fill="C6EFCE"/>
            <w:noWrap/>
          </w:tcPr>
          <w:p w14:paraId="5FA763B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C15.I17</w:t>
            </w:r>
          </w:p>
          <w:p w14:paraId="33A959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infrastructurii universitare (cămine, cantine și spații de recreere)</w:t>
            </w:r>
          </w:p>
        </w:tc>
        <w:tc>
          <w:tcPr>
            <w:tcW w:w="1216" w:type="dxa"/>
            <w:tcBorders>
              <w:top w:val="nil"/>
              <w:left w:val="nil"/>
              <w:bottom w:val="single" w:sz="4" w:space="0" w:color="auto"/>
              <w:right w:val="single" w:sz="4" w:space="0" w:color="auto"/>
            </w:tcBorders>
            <w:shd w:val="clear" w:color="auto" w:fill="C6EFCE"/>
            <w:noWrap/>
          </w:tcPr>
          <w:p w14:paraId="02D5541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4D07EF5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Locuri de cazare nou-create sau modernizate</w:t>
            </w:r>
          </w:p>
        </w:tc>
      </w:tr>
      <w:tr w:rsidR="000A27B3" w:rsidRPr="000A27B3" w14:paraId="015383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76617A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527</w:t>
            </w:r>
          </w:p>
        </w:tc>
        <w:tc>
          <w:tcPr>
            <w:tcW w:w="3544" w:type="dxa"/>
            <w:tcBorders>
              <w:top w:val="nil"/>
              <w:left w:val="nil"/>
              <w:bottom w:val="single" w:sz="4" w:space="0" w:color="auto"/>
              <w:right w:val="single" w:sz="4" w:space="0" w:color="auto"/>
            </w:tcBorders>
            <w:shd w:val="clear" w:color="auto" w:fill="C6EFCE"/>
            <w:noWrap/>
          </w:tcPr>
          <w:p w14:paraId="42A6293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C16.I6. Proiect-pilot pentru instalarea a 20 MW de panouri solare plutitoare pe canalele de irigații</w:t>
            </w:r>
          </w:p>
        </w:tc>
        <w:tc>
          <w:tcPr>
            <w:tcW w:w="1216" w:type="dxa"/>
            <w:tcBorders>
              <w:top w:val="nil"/>
              <w:left w:val="nil"/>
              <w:bottom w:val="single" w:sz="4" w:space="0" w:color="auto"/>
              <w:right w:val="single" w:sz="4" w:space="0" w:color="auto"/>
            </w:tcBorders>
            <w:shd w:val="clear" w:color="auto" w:fill="C6EFCE"/>
            <w:noWrap/>
          </w:tcPr>
          <w:p w14:paraId="7B885B7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61" w:type="dxa"/>
            <w:tcBorders>
              <w:top w:val="nil"/>
              <w:left w:val="nil"/>
              <w:bottom w:val="single" w:sz="4" w:space="0" w:color="auto"/>
              <w:right w:val="single" w:sz="4" w:space="0" w:color="auto"/>
            </w:tcBorders>
            <w:shd w:val="clear" w:color="auto" w:fill="C6EFCE"/>
            <w:noWrap/>
          </w:tcPr>
          <w:p w14:paraId="392952A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20 MW de capacitate instalată de panouri solare plutitoare puse în funcțiune</w:t>
            </w:r>
          </w:p>
        </w:tc>
      </w:tr>
      <w:tr w:rsidR="00981F92" w:rsidRPr="000A27B3" w14:paraId="5D7B3A7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7BF1CBAA" w14:textId="77777777" w:rsidR="00981F92" w:rsidRPr="009F1DC7" w:rsidRDefault="00981F92">
            <w:pPr>
              <w:spacing w:after="0"/>
              <w:jc w:val="center"/>
              <w:rPr>
                <w:rFonts w:ascii="Times New Roman" w:eastAsia="Times New Roman" w:hAnsi="Times New Roman" w:cs="Times New Roman"/>
                <w:noProof/>
                <w:lang w:val="fr-FR"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061F2915" w14:textId="77777777" w:rsidR="00981F92" w:rsidRPr="009F1DC7" w:rsidRDefault="00981F92">
            <w:pPr>
              <w:spacing w:after="0"/>
              <w:rPr>
                <w:rFonts w:ascii="Times New Roman" w:eastAsia="Times New Roman" w:hAnsi="Times New Roman" w:cs="Times New Roman"/>
                <w:noProof/>
                <w:lang w:val="fr-FR" w:eastAsia="en-GB"/>
              </w:rPr>
            </w:pPr>
          </w:p>
        </w:tc>
        <w:tc>
          <w:tcPr>
            <w:tcW w:w="1216" w:type="dxa"/>
            <w:tcBorders>
              <w:top w:val="single" w:sz="4" w:space="0" w:color="auto"/>
              <w:left w:val="nil"/>
              <w:bottom w:val="single" w:sz="4" w:space="0" w:color="auto"/>
              <w:right w:val="single" w:sz="4" w:space="0" w:color="auto"/>
            </w:tcBorders>
            <w:shd w:val="clear" w:color="auto" w:fill="C6EFCE"/>
            <w:noWrap/>
          </w:tcPr>
          <w:p w14:paraId="7477AE11"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2E5DBF28" w14:textId="09EE4BF4"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 xml:space="preserve">1 610 155 862 EUR </w:t>
            </w:r>
          </w:p>
        </w:tc>
      </w:tr>
    </w:tbl>
    <w:p w14:paraId="5B7EFEBC" w14:textId="77777777" w:rsidR="00981F92" w:rsidRPr="000A27B3" w:rsidRDefault="00981F92">
      <w:pPr>
        <w:pStyle w:val="NumPar2"/>
        <w:tabs>
          <w:tab w:val="clear" w:pos="850"/>
        </w:tabs>
        <w:ind w:firstLine="0"/>
        <w:rPr>
          <w:noProof/>
          <w:szCs w:val="24"/>
        </w:rPr>
      </w:pPr>
    </w:p>
    <w:p w14:paraId="31FF56C7" w14:textId="15E47CAD" w:rsidR="00981F92" w:rsidRPr="000A27B3" w:rsidRDefault="00981F92">
      <w:pPr>
        <w:pStyle w:val="Heading3"/>
        <w:rPr>
          <w:noProof/>
          <w:szCs w:val="24"/>
        </w:rPr>
      </w:pPr>
      <w:r>
        <w:rPr>
          <w:noProof/>
        </w:rPr>
        <w:t xml:space="preserve">A opta tranșă (sprijin sub formă de împrumut): </w:t>
      </w:r>
    </w:p>
    <w:tbl>
      <w:tblPr>
        <w:tblW w:w="9634" w:type="dxa"/>
        <w:tblInd w:w="113" w:type="dxa"/>
        <w:tblLook w:val="04A0" w:firstRow="1" w:lastRow="0" w:firstColumn="1" w:lastColumn="0" w:noHBand="0" w:noVBand="1"/>
      </w:tblPr>
      <w:tblGrid>
        <w:gridCol w:w="1413"/>
        <w:gridCol w:w="3544"/>
        <w:gridCol w:w="1231"/>
        <w:gridCol w:w="3447"/>
      </w:tblGrid>
      <w:tr w:rsidR="00981F92" w:rsidRPr="000A27B3" w14:paraId="33525D78" w14:textId="77777777">
        <w:trPr>
          <w:trHeight w:val="906"/>
          <w:tblHeader/>
        </w:trPr>
        <w:tc>
          <w:tcPr>
            <w:tcW w:w="1413"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2BB0DA06"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Număr secvențial</w:t>
            </w:r>
          </w:p>
        </w:tc>
        <w:tc>
          <w:tcPr>
            <w:tcW w:w="3544"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AA8E7D4"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Măsură conexă</w:t>
            </w:r>
          </w:p>
          <w:p w14:paraId="7CD28D13"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(reformă sau investiție)</w:t>
            </w:r>
          </w:p>
        </w:tc>
        <w:tc>
          <w:tcPr>
            <w:tcW w:w="1230" w:type="dxa"/>
            <w:vMerge w:val="restart"/>
            <w:tcBorders>
              <w:top w:val="single" w:sz="4" w:space="0" w:color="auto"/>
              <w:left w:val="single" w:sz="4" w:space="0" w:color="auto"/>
              <w:bottom w:val="single" w:sz="4" w:space="0" w:color="000000" w:themeColor="text1"/>
              <w:right w:val="single" w:sz="4" w:space="0" w:color="auto"/>
            </w:tcBorders>
            <w:shd w:val="clear" w:color="auto" w:fill="BDD7EE"/>
            <w:vAlign w:val="center"/>
            <w:hideMark/>
          </w:tcPr>
          <w:p w14:paraId="347B02AC"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Jalon/țintă</w:t>
            </w:r>
          </w:p>
        </w:tc>
        <w:tc>
          <w:tcPr>
            <w:tcW w:w="3447" w:type="dxa"/>
            <w:vMerge w:val="restart"/>
            <w:tcBorders>
              <w:top w:val="single" w:sz="4" w:space="0" w:color="auto"/>
              <w:left w:val="nil"/>
              <w:bottom w:val="single" w:sz="4" w:space="0" w:color="000000" w:themeColor="text1"/>
              <w:right w:val="single" w:sz="4" w:space="0" w:color="auto"/>
            </w:tcBorders>
            <w:shd w:val="clear" w:color="auto" w:fill="BDD7EE"/>
            <w:vAlign w:val="center"/>
            <w:hideMark/>
          </w:tcPr>
          <w:p w14:paraId="6E224232" w14:textId="77777777" w:rsidR="00981F92" w:rsidRPr="000A27B3" w:rsidRDefault="00981F92">
            <w:pPr>
              <w:spacing w:after="0"/>
              <w:jc w:val="center"/>
              <w:rPr>
                <w:rFonts w:ascii="Times New Roman" w:eastAsia="Times New Roman" w:hAnsi="Times New Roman" w:cs="Times New Roman"/>
                <w:b/>
                <w:noProof/>
              </w:rPr>
            </w:pPr>
            <w:r>
              <w:rPr>
                <w:rFonts w:ascii="Times New Roman" w:hAnsi="Times New Roman"/>
                <w:b/>
                <w:noProof/>
              </w:rPr>
              <w:t>Denumire</w:t>
            </w:r>
          </w:p>
        </w:tc>
      </w:tr>
      <w:tr w:rsidR="00981F92" w:rsidRPr="000A27B3" w14:paraId="74236C65" w14:textId="77777777">
        <w:trPr>
          <w:trHeight w:val="509"/>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79D88E3F" w14:textId="77777777" w:rsidR="00981F92" w:rsidRPr="000A27B3" w:rsidRDefault="00981F92">
            <w:pPr>
              <w:spacing w:after="0"/>
              <w:rPr>
                <w:rFonts w:ascii="Times New Roman" w:eastAsia="Times New Roman" w:hAnsi="Times New Roman" w:cs="Times New Roman"/>
                <w:b/>
                <w:bCs/>
                <w:noProof/>
                <w:lang w:eastAsia="en-GB"/>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3D5F5EF" w14:textId="77777777" w:rsidR="00981F92" w:rsidRPr="000A27B3" w:rsidRDefault="00981F92">
            <w:pPr>
              <w:spacing w:after="0"/>
              <w:jc w:val="both"/>
              <w:rPr>
                <w:rFonts w:ascii="Times New Roman" w:eastAsia="Times New Roman" w:hAnsi="Times New Roman" w:cs="Times New Roman"/>
                <w:b/>
                <w:bCs/>
                <w:noProof/>
                <w:lang w:eastAsia="en-GB"/>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42488CCB" w14:textId="77777777" w:rsidR="00981F92" w:rsidRPr="000A27B3" w:rsidRDefault="00981F92">
            <w:pPr>
              <w:spacing w:after="0"/>
              <w:jc w:val="center"/>
              <w:rPr>
                <w:rFonts w:ascii="Times New Roman" w:eastAsia="Times New Roman" w:hAnsi="Times New Roman" w:cs="Times New Roman"/>
                <w:b/>
                <w:bCs/>
                <w:noProof/>
                <w:lang w:eastAsia="en-GB"/>
              </w:rPr>
            </w:pPr>
          </w:p>
        </w:tc>
        <w:tc>
          <w:tcPr>
            <w:tcW w:w="3447" w:type="dxa"/>
            <w:vMerge/>
            <w:tcBorders>
              <w:top w:val="single" w:sz="4" w:space="0" w:color="auto"/>
              <w:left w:val="nil"/>
              <w:bottom w:val="single" w:sz="4" w:space="0" w:color="000000"/>
              <w:right w:val="single" w:sz="4" w:space="0" w:color="auto"/>
            </w:tcBorders>
            <w:vAlign w:val="center"/>
            <w:hideMark/>
          </w:tcPr>
          <w:p w14:paraId="744E1FB6" w14:textId="77777777" w:rsidR="00981F92" w:rsidRPr="000A27B3" w:rsidRDefault="00981F92">
            <w:pPr>
              <w:spacing w:after="0"/>
              <w:jc w:val="both"/>
              <w:rPr>
                <w:rFonts w:ascii="Times New Roman" w:eastAsia="Times New Roman" w:hAnsi="Times New Roman" w:cs="Times New Roman"/>
                <w:b/>
                <w:bCs/>
                <w:noProof/>
                <w:lang w:eastAsia="en-GB"/>
              </w:rPr>
            </w:pPr>
          </w:p>
        </w:tc>
      </w:tr>
      <w:tr w:rsidR="00981F92" w:rsidRPr="000A27B3" w14:paraId="4C356F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0E02527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15</w:t>
            </w:r>
          </w:p>
        </w:tc>
        <w:tc>
          <w:tcPr>
            <w:tcW w:w="3544" w:type="dxa"/>
            <w:tcBorders>
              <w:top w:val="nil"/>
              <w:left w:val="nil"/>
              <w:bottom w:val="single" w:sz="4" w:space="0" w:color="auto"/>
              <w:right w:val="single" w:sz="4" w:space="0" w:color="auto"/>
            </w:tcBorders>
            <w:shd w:val="clear" w:color="auto" w:fill="C6EFCE"/>
            <w:noWrap/>
            <w:hideMark/>
          </w:tcPr>
          <w:p w14:paraId="0A221E6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C1.I4.1</w:t>
            </w:r>
          </w:p>
          <w:p w14:paraId="59F555B2"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Reabilitarea liniilor de apărare existente în conformitate cu Directiva privind inundațiile și cu Strategia Națională pentru Managementul Riscului la Inundații </w:t>
            </w:r>
          </w:p>
        </w:tc>
        <w:tc>
          <w:tcPr>
            <w:tcW w:w="1230" w:type="dxa"/>
            <w:tcBorders>
              <w:top w:val="nil"/>
              <w:left w:val="nil"/>
              <w:bottom w:val="single" w:sz="4" w:space="0" w:color="auto"/>
              <w:right w:val="single" w:sz="4" w:space="0" w:color="auto"/>
            </w:tcBorders>
            <w:shd w:val="clear" w:color="auto" w:fill="C6EFCE"/>
            <w:noWrap/>
            <w:hideMark/>
          </w:tcPr>
          <w:p w14:paraId="33E5664E"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hideMark/>
          </w:tcPr>
          <w:p w14:paraId="0292939C"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Reabilitarea liniilor de apărare împotriva inundațiilor în conformitate cu Directiva privind inundațiile și cu Strategia Națională pentru Managementul Riscului la Inundații </w:t>
            </w:r>
          </w:p>
        </w:tc>
      </w:tr>
      <w:tr w:rsidR="00981F92" w:rsidRPr="000A27B3" w14:paraId="28929E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91305E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17</w:t>
            </w:r>
          </w:p>
        </w:tc>
        <w:tc>
          <w:tcPr>
            <w:tcW w:w="3544" w:type="dxa"/>
            <w:tcBorders>
              <w:top w:val="nil"/>
              <w:left w:val="nil"/>
              <w:bottom w:val="single" w:sz="4" w:space="0" w:color="auto"/>
              <w:right w:val="single" w:sz="4" w:space="0" w:color="auto"/>
            </w:tcBorders>
            <w:shd w:val="clear" w:color="auto" w:fill="C6EFCE"/>
            <w:noWrap/>
          </w:tcPr>
          <w:p w14:paraId="29D5571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C1.I4.2 </w:t>
            </w:r>
          </w:p>
          <w:p w14:paraId="787BCD3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Reabilitarea acumulărilor existente care necesită intervenții de urgență pentru exploatarea în condiții de siguranță </w:t>
            </w:r>
          </w:p>
        </w:tc>
        <w:tc>
          <w:tcPr>
            <w:tcW w:w="1230" w:type="dxa"/>
            <w:tcBorders>
              <w:top w:val="nil"/>
              <w:left w:val="nil"/>
              <w:bottom w:val="single" w:sz="4" w:space="0" w:color="auto"/>
              <w:right w:val="single" w:sz="4" w:space="0" w:color="auto"/>
            </w:tcBorders>
            <w:shd w:val="clear" w:color="auto" w:fill="C6EFCE"/>
            <w:noWrap/>
          </w:tcPr>
          <w:p w14:paraId="407CEDC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13BBD97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Barajele existente reabilitate </w:t>
            </w:r>
          </w:p>
        </w:tc>
      </w:tr>
      <w:tr w:rsidR="00981F92" w:rsidRPr="000A27B3" w14:paraId="77EB03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BC6EB5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45</w:t>
            </w:r>
          </w:p>
        </w:tc>
        <w:tc>
          <w:tcPr>
            <w:tcW w:w="3544" w:type="dxa"/>
            <w:tcBorders>
              <w:top w:val="nil"/>
              <w:left w:val="nil"/>
              <w:bottom w:val="single" w:sz="4" w:space="0" w:color="auto"/>
              <w:right w:val="single" w:sz="4" w:space="0" w:color="auto"/>
            </w:tcBorders>
            <w:shd w:val="clear" w:color="auto" w:fill="C6EFCE"/>
            <w:noWrap/>
          </w:tcPr>
          <w:p w14:paraId="393F111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C3.R1 </w:t>
            </w:r>
          </w:p>
          <w:p w14:paraId="437E965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guvernanței în domeniul gestionării deșeurilor în vederea accelerării tranziției către economia circulară </w:t>
            </w:r>
          </w:p>
        </w:tc>
        <w:tc>
          <w:tcPr>
            <w:tcW w:w="1230" w:type="dxa"/>
            <w:tcBorders>
              <w:top w:val="nil"/>
              <w:left w:val="nil"/>
              <w:bottom w:val="single" w:sz="4" w:space="0" w:color="auto"/>
              <w:right w:val="single" w:sz="4" w:space="0" w:color="auto"/>
            </w:tcBorders>
            <w:shd w:val="clear" w:color="auto" w:fill="C6EFCE"/>
            <w:noWrap/>
          </w:tcPr>
          <w:p w14:paraId="6A594C6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7ED6223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Implementarea acțiunilor prevăzute în Strategia națională privind economia circulară și în planul de acțiune conex, atribuite autorităților publice</w:t>
            </w:r>
          </w:p>
        </w:tc>
      </w:tr>
      <w:tr w:rsidR="00981F92" w:rsidRPr="000A27B3" w14:paraId="72CA79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DF5F53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330</w:t>
            </w:r>
          </w:p>
        </w:tc>
        <w:tc>
          <w:tcPr>
            <w:tcW w:w="3544" w:type="dxa"/>
            <w:tcBorders>
              <w:top w:val="nil"/>
              <w:left w:val="nil"/>
              <w:bottom w:val="single" w:sz="4" w:space="0" w:color="auto"/>
              <w:right w:val="single" w:sz="4" w:space="0" w:color="auto"/>
            </w:tcBorders>
            <w:shd w:val="clear" w:color="auto" w:fill="C6EFCE"/>
            <w:noWrap/>
          </w:tcPr>
          <w:p w14:paraId="2FCC7FA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C11.R1 </w:t>
            </w:r>
          </w:p>
          <w:p w14:paraId="534A8A4D" w14:textId="1B21EB08" w:rsidR="00981F92" w:rsidRPr="000A27B3" w:rsidRDefault="00981F92">
            <w:pPr>
              <w:spacing w:after="0"/>
              <w:jc w:val="both"/>
              <w:rPr>
                <w:rFonts w:ascii="Times New Roman" w:hAnsi="Times New Roman" w:cs="Times New Roman"/>
                <w:noProof/>
              </w:rPr>
            </w:pPr>
            <w:r>
              <w:rPr>
                <w:rFonts w:ascii="Times New Roman" w:hAnsi="Times New Roman"/>
                <w:noProof/>
              </w:rPr>
              <w:t xml:space="preserve">Operaționalizarea organizațiilor de management al destinației (OMD-uri) </w:t>
            </w:r>
          </w:p>
        </w:tc>
        <w:tc>
          <w:tcPr>
            <w:tcW w:w="1230" w:type="dxa"/>
            <w:tcBorders>
              <w:top w:val="nil"/>
              <w:left w:val="nil"/>
              <w:bottom w:val="single" w:sz="4" w:space="0" w:color="auto"/>
              <w:right w:val="single" w:sz="4" w:space="0" w:color="auto"/>
            </w:tcBorders>
            <w:shd w:val="clear" w:color="auto" w:fill="C6EFCE"/>
            <w:noWrap/>
          </w:tcPr>
          <w:p w14:paraId="6DA89B3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858693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Creșterea ponderii turiștilor străini care vizează județele care fac parte din OMD-urile regionale </w:t>
            </w:r>
          </w:p>
        </w:tc>
      </w:tr>
      <w:tr w:rsidR="00981F92" w:rsidRPr="000A27B3" w14:paraId="2E9B14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CB3F2B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507</w:t>
            </w:r>
          </w:p>
        </w:tc>
        <w:tc>
          <w:tcPr>
            <w:tcW w:w="3544" w:type="dxa"/>
            <w:tcBorders>
              <w:top w:val="nil"/>
              <w:left w:val="nil"/>
              <w:bottom w:val="single" w:sz="4" w:space="0" w:color="auto"/>
              <w:right w:val="single" w:sz="4" w:space="0" w:color="auto"/>
            </w:tcBorders>
            <w:shd w:val="clear" w:color="auto" w:fill="C6EFCE"/>
            <w:noWrap/>
          </w:tcPr>
          <w:p w14:paraId="7E73B8F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C15.I18</w:t>
            </w:r>
          </w:p>
          <w:p w14:paraId="388C9F9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Programul de formare și îndrumare pentru managerii și inspectorii școlari </w:t>
            </w:r>
          </w:p>
        </w:tc>
        <w:tc>
          <w:tcPr>
            <w:tcW w:w="1230" w:type="dxa"/>
            <w:tcBorders>
              <w:top w:val="nil"/>
              <w:left w:val="nil"/>
              <w:bottom w:val="single" w:sz="4" w:space="0" w:color="auto"/>
              <w:right w:val="single" w:sz="4" w:space="0" w:color="auto"/>
            </w:tcBorders>
            <w:shd w:val="clear" w:color="auto" w:fill="C6EFCE"/>
            <w:noWrap/>
          </w:tcPr>
          <w:p w14:paraId="05D27FF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7846EC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Directori, directori adjuncți și inspectori care au urmat un program complet de formare și îndrumare</w:t>
            </w:r>
          </w:p>
        </w:tc>
      </w:tr>
      <w:tr w:rsidR="00981F92" w:rsidRPr="000A27B3" w14:paraId="523060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E6D3EC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6</w:t>
            </w:r>
          </w:p>
        </w:tc>
        <w:tc>
          <w:tcPr>
            <w:tcW w:w="3544" w:type="dxa"/>
            <w:tcBorders>
              <w:top w:val="nil"/>
              <w:left w:val="nil"/>
              <w:bottom w:val="single" w:sz="4" w:space="0" w:color="auto"/>
              <w:right w:val="single" w:sz="4" w:space="0" w:color="auto"/>
            </w:tcBorders>
            <w:shd w:val="clear" w:color="auto" w:fill="C6EFCE"/>
            <w:noWrap/>
          </w:tcPr>
          <w:p w14:paraId="100D089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C1.I1 </w:t>
            </w:r>
          </w:p>
          <w:p w14:paraId="5F0F759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Extinderea sistemelor de apă și canalizare în aglomerări mai mari de 2 000 de locuitori echivalenți, prioritizate prin Planul accelerat de conformare cu directivele europene </w:t>
            </w:r>
          </w:p>
          <w:p w14:paraId="6F1E77BE" w14:textId="77777777" w:rsidR="00981F92" w:rsidRPr="009F1DC7" w:rsidRDefault="00981F92">
            <w:pPr>
              <w:spacing w:after="0"/>
              <w:jc w:val="both"/>
              <w:rPr>
                <w:rFonts w:ascii="Times New Roman" w:hAnsi="Times New Roman" w:cs="Times New Roman"/>
                <w:noProof/>
                <w:lang w:val="fr-FR"/>
              </w:rPr>
            </w:pPr>
          </w:p>
        </w:tc>
        <w:tc>
          <w:tcPr>
            <w:tcW w:w="1230" w:type="dxa"/>
            <w:tcBorders>
              <w:top w:val="nil"/>
              <w:left w:val="nil"/>
              <w:bottom w:val="single" w:sz="4" w:space="0" w:color="auto"/>
              <w:right w:val="single" w:sz="4" w:space="0" w:color="auto"/>
            </w:tcBorders>
            <w:shd w:val="clear" w:color="auto" w:fill="C6EFCE"/>
            <w:noWrap/>
          </w:tcPr>
          <w:p w14:paraId="7EE4B11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266A2C4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Rețelele de distribuție a apei sunt construite și operaționale </w:t>
            </w:r>
          </w:p>
        </w:tc>
      </w:tr>
      <w:tr w:rsidR="00981F92" w:rsidRPr="000A27B3" w14:paraId="2901C6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hideMark/>
          </w:tcPr>
          <w:p w14:paraId="250431FB"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8</w:t>
            </w:r>
          </w:p>
        </w:tc>
        <w:tc>
          <w:tcPr>
            <w:tcW w:w="3544" w:type="dxa"/>
            <w:tcBorders>
              <w:top w:val="nil"/>
              <w:left w:val="nil"/>
              <w:bottom w:val="single" w:sz="4" w:space="0" w:color="auto"/>
              <w:right w:val="single" w:sz="4" w:space="0" w:color="auto"/>
            </w:tcBorders>
            <w:shd w:val="clear" w:color="auto" w:fill="C6EFCE"/>
            <w:noWrap/>
            <w:hideMark/>
          </w:tcPr>
          <w:p w14:paraId="2CFE2CA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C1.I1 </w:t>
            </w:r>
          </w:p>
          <w:p w14:paraId="2E039434"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 xml:space="preserve">Extinderea sistemelor de apă și canalizare în aglomerări mai mari de 2 000 de locuitori echivalenți, prioritizate prin Planul accelerat de conformare cu directivele europene </w:t>
            </w:r>
          </w:p>
        </w:tc>
        <w:tc>
          <w:tcPr>
            <w:tcW w:w="1230" w:type="dxa"/>
            <w:tcBorders>
              <w:top w:val="nil"/>
              <w:left w:val="nil"/>
              <w:bottom w:val="single" w:sz="4" w:space="0" w:color="auto"/>
              <w:right w:val="single" w:sz="4" w:space="0" w:color="auto"/>
            </w:tcBorders>
            <w:shd w:val="clear" w:color="auto" w:fill="C6EFCE"/>
            <w:noWrap/>
            <w:hideMark/>
          </w:tcPr>
          <w:p w14:paraId="5A5955B2"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hideMark/>
          </w:tcPr>
          <w:p w14:paraId="30398075" w14:textId="77777777" w:rsidR="00981F92" w:rsidRPr="000A27B3" w:rsidRDefault="00981F92">
            <w:pPr>
              <w:spacing w:after="0"/>
              <w:jc w:val="both"/>
              <w:rPr>
                <w:rFonts w:ascii="Times New Roman" w:eastAsia="Times New Roman" w:hAnsi="Times New Roman" w:cs="Times New Roman"/>
                <w:noProof/>
              </w:rPr>
            </w:pPr>
            <w:r>
              <w:rPr>
                <w:rFonts w:ascii="Times New Roman" w:hAnsi="Times New Roman"/>
                <w:noProof/>
              </w:rPr>
              <w:t>Rețelele de canalizare în aglomerări prioritizate prin Planul accelerat de conformare cu directivele europene sunt construite și operaționale</w:t>
            </w:r>
          </w:p>
        </w:tc>
      </w:tr>
      <w:tr w:rsidR="00981F92" w:rsidRPr="000A27B3" w14:paraId="127D49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427CBC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w:t>
            </w:r>
          </w:p>
        </w:tc>
        <w:tc>
          <w:tcPr>
            <w:tcW w:w="3544" w:type="dxa"/>
            <w:tcBorders>
              <w:top w:val="nil"/>
              <w:left w:val="nil"/>
              <w:bottom w:val="single" w:sz="4" w:space="0" w:color="auto"/>
              <w:right w:val="single" w:sz="4" w:space="0" w:color="auto"/>
            </w:tcBorders>
            <w:shd w:val="clear" w:color="auto" w:fill="C6EFCE"/>
            <w:noWrap/>
          </w:tcPr>
          <w:p w14:paraId="45C05CA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C1.I2 </w:t>
            </w:r>
          </w:p>
          <w:p w14:paraId="7FAEDBE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Colectarea apelor uzate în aglomerări mai mici de 2 000 de locuitori echivalenți, care împiedică atingerea unei stări bune a corpurilor de apă și / sau afectează arii naturale protejate</w:t>
            </w:r>
          </w:p>
        </w:tc>
        <w:tc>
          <w:tcPr>
            <w:tcW w:w="1230" w:type="dxa"/>
            <w:tcBorders>
              <w:top w:val="nil"/>
              <w:left w:val="nil"/>
              <w:bottom w:val="single" w:sz="4" w:space="0" w:color="auto"/>
              <w:right w:val="single" w:sz="4" w:space="0" w:color="auto"/>
            </w:tcBorders>
            <w:shd w:val="clear" w:color="auto" w:fill="C6EFCE"/>
            <w:noWrap/>
          </w:tcPr>
          <w:p w14:paraId="72368B4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189E75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Sunt construite și operaționale sisteme individuale sau alte sisteme corespunzătoare în aglomerări mai mici de 2 000 de locuitori echivalenți</w:t>
            </w:r>
          </w:p>
        </w:tc>
      </w:tr>
      <w:tr w:rsidR="00981F92" w:rsidRPr="005209CD" w14:paraId="7B351E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B72E8F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12</w:t>
            </w:r>
          </w:p>
        </w:tc>
        <w:tc>
          <w:tcPr>
            <w:tcW w:w="3544" w:type="dxa"/>
            <w:tcBorders>
              <w:top w:val="nil"/>
              <w:left w:val="nil"/>
              <w:bottom w:val="single" w:sz="4" w:space="0" w:color="auto"/>
              <w:right w:val="single" w:sz="4" w:space="0" w:color="auto"/>
            </w:tcBorders>
            <w:shd w:val="clear" w:color="auto" w:fill="C6EFCE"/>
            <w:noWrap/>
          </w:tcPr>
          <w:p w14:paraId="32612B1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C1.I2 </w:t>
            </w:r>
          </w:p>
          <w:p w14:paraId="54BE207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Colectarea apelor uzate în aglomerări mai mici de 2 000 de locuitori echivalenți, care împiedică atingerea unei stări bune a corpurilor de apă și / sau afectează arii naturale protejate</w:t>
            </w:r>
          </w:p>
        </w:tc>
        <w:tc>
          <w:tcPr>
            <w:tcW w:w="1230" w:type="dxa"/>
            <w:tcBorders>
              <w:top w:val="nil"/>
              <w:left w:val="nil"/>
              <w:bottom w:val="single" w:sz="4" w:space="0" w:color="auto"/>
              <w:right w:val="single" w:sz="4" w:space="0" w:color="auto"/>
            </w:tcBorders>
            <w:shd w:val="clear" w:color="auto" w:fill="C6EFCE"/>
            <w:noWrap/>
          </w:tcPr>
          <w:p w14:paraId="1CEF4CC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2361D50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Rețelele de canalizare în aglomerări mai mici de 2 000 de locuitori echivalenți sunt construite și operaționale</w:t>
            </w:r>
          </w:p>
        </w:tc>
      </w:tr>
      <w:tr w:rsidR="00981F92" w:rsidRPr="000A27B3" w14:paraId="0AEC55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FEEEC0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w:t>
            </w:r>
          </w:p>
        </w:tc>
        <w:tc>
          <w:tcPr>
            <w:tcW w:w="3544" w:type="dxa"/>
            <w:tcBorders>
              <w:top w:val="nil"/>
              <w:left w:val="nil"/>
              <w:bottom w:val="single" w:sz="4" w:space="0" w:color="auto"/>
              <w:right w:val="single" w:sz="4" w:space="0" w:color="auto"/>
            </w:tcBorders>
            <w:shd w:val="clear" w:color="auto" w:fill="C6EFCE"/>
            <w:noWrap/>
          </w:tcPr>
          <w:p w14:paraId="4BE1318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C1.I3 </w:t>
            </w:r>
          </w:p>
          <w:p w14:paraId="19365E0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Sprijinirea conectării populației cu venituri mici la rețelele de alimentare cu apă și canalizare existente</w:t>
            </w:r>
          </w:p>
        </w:tc>
        <w:tc>
          <w:tcPr>
            <w:tcW w:w="1230" w:type="dxa"/>
            <w:tcBorders>
              <w:top w:val="nil"/>
              <w:left w:val="nil"/>
              <w:bottom w:val="single" w:sz="4" w:space="0" w:color="auto"/>
              <w:right w:val="single" w:sz="4" w:space="0" w:color="auto"/>
            </w:tcBorders>
            <w:shd w:val="clear" w:color="auto" w:fill="C6EFCE"/>
            <w:noWrap/>
          </w:tcPr>
          <w:p w14:paraId="55C2767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2048262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Gospodării conectate la rețeaua de apă și canalizare prin intermediul programului național „Prima conectare la apă și canalizare”</w:t>
            </w:r>
          </w:p>
        </w:tc>
      </w:tr>
      <w:tr w:rsidR="00981F92" w:rsidRPr="000A27B3" w14:paraId="05704F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85A8A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21</w:t>
            </w:r>
          </w:p>
        </w:tc>
        <w:tc>
          <w:tcPr>
            <w:tcW w:w="3544" w:type="dxa"/>
            <w:tcBorders>
              <w:top w:val="nil"/>
              <w:left w:val="nil"/>
              <w:bottom w:val="single" w:sz="4" w:space="0" w:color="auto"/>
              <w:right w:val="single" w:sz="4" w:space="0" w:color="auto"/>
            </w:tcBorders>
            <w:shd w:val="clear" w:color="auto" w:fill="C6EFCE"/>
            <w:noWrap/>
          </w:tcPr>
          <w:p w14:paraId="4DA31B3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C1.I7 </w:t>
            </w:r>
          </w:p>
          <w:p w14:paraId="0557774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Extinderea rețelei naționale de observații din cadrul Sistemului Meteorologic Integrat Național (SIMIN) </w:t>
            </w:r>
          </w:p>
        </w:tc>
        <w:tc>
          <w:tcPr>
            <w:tcW w:w="1230" w:type="dxa"/>
            <w:tcBorders>
              <w:top w:val="nil"/>
              <w:left w:val="nil"/>
              <w:bottom w:val="single" w:sz="4" w:space="0" w:color="auto"/>
              <w:right w:val="single" w:sz="4" w:space="0" w:color="auto"/>
            </w:tcBorders>
            <w:shd w:val="clear" w:color="auto" w:fill="C6EFCE"/>
            <w:noWrap/>
          </w:tcPr>
          <w:p w14:paraId="0786B88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5661EA8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Este operațional sistemul de tehnologie a informației și comunicațiilor pentru integrarea stațiilor meteorologice și agrometeorologice suplimentare în cadrul Sistemul Meteorologic Integrat Național (SIMIN)</w:t>
            </w:r>
          </w:p>
        </w:tc>
      </w:tr>
      <w:tr w:rsidR="00981F92" w:rsidRPr="000A27B3" w14:paraId="342F49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B191B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w:t>
            </w:r>
          </w:p>
        </w:tc>
        <w:tc>
          <w:tcPr>
            <w:tcW w:w="3544" w:type="dxa"/>
            <w:tcBorders>
              <w:top w:val="nil"/>
              <w:left w:val="nil"/>
              <w:bottom w:val="single" w:sz="4" w:space="0" w:color="auto"/>
              <w:right w:val="single" w:sz="4" w:space="0" w:color="auto"/>
            </w:tcBorders>
            <w:shd w:val="clear" w:color="auto" w:fill="C6EFCE"/>
            <w:noWrap/>
          </w:tcPr>
          <w:p w14:paraId="772FB5BA" w14:textId="2CBA2EC8"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C2.I3.1 </w:t>
            </w:r>
          </w:p>
          <w:p w14:paraId="7C5B8CC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Actualizarea planurilor de management aprobate</w:t>
            </w:r>
          </w:p>
        </w:tc>
        <w:tc>
          <w:tcPr>
            <w:tcW w:w="1230" w:type="dxa"/>
            <w:tcBorders>
              <w:top w:val="nil"/>
              <w:left w:val="nil"/>
              <w:bottom w:val="single" w:sz="4" w:space="0" w:color="auto"/>
              <w:right w:val="single" w:sz="4" w:space="0" w:color="auto"/>
            </w:tcBorders>
            <w:shd w:val="clear" w:color="auto" w:fill="C6EFCE"/>
            <w:noWrap/>
          </w:tcPr>
          <w:p w14:paraId="5F34202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DC1859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Zone naturale protejate cu planuri de management actualizate intrate în vigoare </w:t>
            </w:r>
          </w:p>
        </w:tc>
      </w:tr>
      <w:tr w:rsidR="00981F92" w:rsidRPr="000A27B3" w14:paraId="56F155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51804D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36</w:t>
            </w:r>
          </w:p>
        </w:tc>
        <w:tc>
          <w:tcPr>
            <w:tcW w:w="3544" w:type="dxa"/>
            <w:tcBorders>
              <w:top w:val="nil"/>
              <w:left w:val="nil"/>
              <w:bottom w:val="single" w:sz="4" w:space="0" w:color="auto"/>
              <w:right w:val="single" w:sz="4" w:space="0" w:color="auto"/>
            </w:tcBorders>
            <w:shd w:val="clear" w:color="auto" w:fill="C6EFCE"/>
            <w:noWrap/>
          </w:tcPr>
          <w:p w14:paraId="557F7C3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C2.I4.1 </w:t>
            </w:r>
          </w:p>
          <w:p w14:paraId="16CDDD7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Eliminarea obstacolelor din cursurile de apă în scopul facilitării refacerii conectivității habitatelor și speciilor dependente</w:t>
            </w:r>
          </w:p>
        </w:tc>
        <w:tc>
          <w:tcPr>
            <w:tcW w:w="1230" w:type="dxa"/>
            <w:tcBorders>
              <w:top w:val="nil"/>
              <w:left w:val="nil"/>
              <w:bottom w:val="single" w:sz="4" w:space="0" w:color="auto"/>
              <w:right w:val="single" w:sz="4" w:space="0" w:color="auto"/>
            </w:tcBorders>
            <w:shd w:val="clear" w:color="auto" w:fill="C6EFCE"/>
            <w:noWrap/>
          </w:tcPr>
          <w:p w14:paraId="72B7007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19AB3D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Habitate ripariene cu o conectivitate refăcută</w:t>
            </w:r>
          </w:p>
        </w:tc>
      </w:tr>
      <w:tr w:rsidR="00981F92" w:rsidRPr="000A27B3" w14:paraId="2423C7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35F9F7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37</w:t>
            </w:r>
          </w:p>
        </w:tc>
        <w:tc>
          <w:tcPr>
            <w:tcW w:w="3544" w:type="dxa"/>
            <w:tcBorders>
              <w:top w:val="nil"/>
              <w:left w:val="nil"/>
              <w:bottom w:val="single" w:sz="4" w:space="0" w:color="auto"/>
              <w:right w:val="single" w:sz="4" w:space="0" w:color="auto"/>
            </w:tcBorders>
            <w:shd w:val="clear" w:color="auto" w:fill="C6EFCE"/>
            <w:noWrap/>
          </w:tcPr>
          <w:p w14:paraId="0675425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C2.I4.2 </w:t>
            </w:r>
          </w:p>
          <w:p w14:paraId="5B7EE09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Reconstrucția habitatelor de pajiști în zonele naturale protejate</w:t>
            </w:r>
          </w:p>
        </w:tc>
        <w:tc>
          <w:tcPr>
            <w:tcW w:w="1230" w:type="dxa"/>
            <w:tcBorders>
              <w:top w:val="nil"/>
              <w:left w:val="nil"/>
              <w:bottom w:val="single" w:sz="4" w:space="0" w:color="auto"/>
              <w:right w:val="single" w:sz="4" w:space="0" w:color="auto"/>
            </w:tcBorders>
            <w:shd w:val="clear" w:color="auto" w:fill="C6EFCE"/>
            <w:noWrap/>
          </w:tcPr>
          <w:p w14:paraId="2D7AEAA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F88F4C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Habitate de pajiști refăcute din punct de vedere ecologic</w:t>
            </w:r>
          </w:p>
        </w:tc>
      </w:tr>
      <w:tr w:rsidR="00981F92" w:rsidRPr="000A27B3" w14:paraId="4D8BEC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BA34C4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38</w:t>
            </w:r>
          </w:p>
        </w:tc>
        <w:tc>
          <w:tcPr>
            <w:tcW w:w="3544" w:type="dxa"/>
            <w:tcBorders>
              <w:top w:val="nil"/>
              <w:left w:val="nil"/>
              <w:bottom w:val="single" w:sz="4" w:space="0" w:color="auto"/>
              <w:right w:val="single" w:sz="4" w:space="0" w:color="auto"/>
            </w:tcBorders>
            <w:shd w:val="clear" w:color="auto" w:fill="C6EFCE"/>
            <w:noWrap/>
          </w:tcPr>
          <w:p w14:paraId="12B1A99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C2.I4.3 Decolmatarea lacurilor din Delta Dunării pentru reducerea eutrofizării și menținerea diversității biologice </w:t>
            </w:r>
          </w:p>
        </w:tc>
        <w:tc>
          <w:tcPr>
            <w:tcW w:w="1230" w:type="dxa"/>
            <w:tcBorders>
              <w:top w:val="nil"/>
              <w:left w:val="nil"/>
              <w:bottom w:val="single" w:sz="4" w:space="0" w:color="auto"/>
              <w:right w:val="single" w:sz="4" w:space="0" w:color="auto"/>
            </w:tcBorders>
            <w:shd w:val="clear" w:color="auto" w:fill="C6EFCE"/>
            <w:noWrap/>
          </w:tcPr>
          <w:p w14:paraId="44C4CED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D40E48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Suprafețe de lacuri care au beneficiat de lucrări de îndepărtare a plantelor acvatice </w:t>
            </w:r>
          </w:p>
        </w:tc>
      </w:tr>
      <w:tr w:rsidR="00981F92" w:rsidRPr="000A27B3" w14:paraId="0B2BE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C01B15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40</w:t>
            </w:r>
          </w:p>
        </w:tc>
        <w:tc>
          <w:tcPr>
            <w:tcW w:w="3544" w:type="dxa"/>
            <w:tcBorders>
              <w:top w:val="nil"/>
              <w:left w:val="nil"/>
              <w:bottom w:val="single" w:sz="4" w:space="0" w:color="auto"/>
              <w:right w:val="single" w:sz="4" w:space="0" w:color="auto"/>
            </w:tcBorders>
            <w:shd w:val="clear" w:color="auto" w:fill="C6EFCE"/>
            <w:noWrap/>
          </w:tcPr>
          <w:p w14:paraId="37FBEED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C2.I4.5 </w:t>
            </w:r>
          </w:p>
          <w:p w14:paraId="5707022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Reconfigurarea infrastructurii publice de acces și vizitare a Deltei Dunării pentru reducerea presiunii turismului asupra habitatelor și speciilor</w:t>
            </w:r>
          </w:p>
        </w:tc>
        <w:tc>
          <w:tcPr>
            <w:tcW w:w="1230" w:type="dxa"/>
            <w:tcBorders>
              <w:top w:val="nil"/>
              <w:left w:val="nil"/>
              <w:bottom w:val="single" w:sz="4" w:space="0" w:color="auto"/>
              <w:right w:val="single" w:sz="4" w:space="0" w:color="auto"/>
            </w:tcBorders>
            <w:shd w:val="clear" w:color="auto" w:fill="C6EFCE"/>
            <w:noWrap/>
          </w:tcPr>
          <w:p w14:paraId="42EA6DA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67D978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de centre de vizitare pentru a reduce presiunea turismului asupra habitatelor</w:t>
            </w:r>
          </w:p>
        </w:tc>
      </w:tr>
      <w:tr w:rsidR="00981F92" w:rsidRPr="000A27B3" w14:paraId="314821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57CC1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42</w:t>
            </w:r>
          </w:p>
        </w:tc>
        <w:tc>
          <w:tcPr>
            <w:tcW w:w="3544" w:type="dxa"/>
            <w:tcBorders>
              <w:top w:val="nil"/>
              <w:left w:val="nil"/>
              <w:bottom w:val="single" w:sz="4" w:space="0" w:color="auto"/>
              <w:right w:val="single" w:sz="4" w:space="0" w:color="auto"/>
            </w:tcBorders>
            <w:shd w:val="clear" w:color="auto" w:fill="C6EFCE"/>
            <w:noWrap/>
          </w:tcPr>
          <w:p w14:paraId="563DCC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C2.I5 </w:t>
            </w:r>
          </w:p>
          <w:p w14:paraId="1BD92AC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Sisteme integrate de reducere a riscurilor generate de viituri torențiale în bazinete forestiere expuse unor astfel de fenomene</w:t>
            </w:r>
          </w:p>
        </w:tc>
        <w:tc>
          <w:tcPr>
            <w:tcW w:w="1230" w:type="dxa"/>
            <w:tcBorders>
              <w:top w:val="nil"/>
              <w:left w:val="nil"/>
              <w:bottom w:val="single" w:sz="4" w:space="0" w:color="auto"/>
              <w:right w:val="single" w:sz="4" w:space="0" w:color="auto"/>
            </w:tcBorders>
            <w:shd w:val="clear" w:color="auto" w:fill="C6EFCE"/>
            <w:noWrap/>
          </w:tcPr>
          <w:p w14:paraId="754BB7D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74D883E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modernizării lucrărilor de protecție împotriva inundațiilor</w:t>
            </w:r>
          </w:p>
        </w:tc>
      </w:tr>
      <w:tr w:rsidR="00981F92" w:rsidRPr="000A27B3" w14:paraId="425972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73593E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47</w:t>
            </w:r>
          </w:p>
        </w:tc>
        <w:tc>
          <w:tcPr>
            <w:tcW w:w="3544" w:type="dxa"/>
            <w:tcBorders>
              <w:top w:val="nil"/>
              <w:left w:val="nil"/>
              <w:bottom w:val="single" w:sz="4" w:space="0" w:color="auto"/>
              <w:right w:val="single" w:sz="4" w:space="0" w:color="auto"/>
            </w:tcBorders>
            <w:shd w:val="clear" w:color="auto" w:fill="C6EFCE"/>
            <w:noWrap/>
          </w:tcPr>
          <w:p w14:paraId="1D78D77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C3.R1 </w:t>
            </w:r>
          </w:p>
          <w:p w14:paraId="3FEDFCE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guvernanței în domeniul gestionării deșeurilor în vederea accelerării tranziției către economia circulară </w:t>
            </w:r>
          </w:p>
        </w:tc>
        <w:tc>
          <w:tcPr>
            <w:tcW w:w="1230" w:type="dxa"/>
            <w:tcBorders>
              <w:top w:val="nil"/>
              <w:left w:val="nil"/>
              <w:bottom w:val="single" w:sz="4" w:space="0" w:color="auto"/>
              <w:right w:val="single" w:sz="4" w:space="0" w:color="auto"/>
            </w:tcBorders>
            <w:shd w:val="clear" w:color="auto" w:fill="C6EFCE"/>
            <w:noWrap/>
          </w:tcPr>
          <w:p w14:paraId="280C884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3D5F66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Contribuția cu 4,5 % la ținta națională de reciclare și pregătire pentru reutilizare de 50 % până în 2025</w:t>
            </w:r>
          </w:p>
        </w:tc>
      </w:tr>
      <w:tr w:rsidR="00981F92" w:rsidRPr="000A27B3" w14:paraId="556D2B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C95151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49</w:t>
            </w:r>
          </w:p>
        </w:tc>
        <w:tc>
          <w:tcPr>
            <w:tcW w:w="3544" w:type="dxa"/>
            <w:tcBorders>
              <w:top w:val="nil"/>
              <w:left w:val="nil"/>
              <w:bottom w:val="single" w:sz="4" w:space="0" w:color="auto"/>
              <w:right w:val="single" w:sz="4" w:space="0" w:color="auto"/>
            </w:tcBorders>
            <w:shd w:val="clear" w:color="auto" w:fill="C6EFCE"/>
            <w:noWrap/>
          </w:tcPr>
          <w:p w14:paraId="7E56A9D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C3.I1a</w:t>
            </w:r>
          </w:p>
          <w:p w14:paraId="5DBE3D1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Înființarea de centre de colectare cu aport voluntar</w:t>
            </w:r>
          </w:p>
        </w:tc>
        <w:tc>
          <w:tcPr>
            <w:tcW w:w="1230" w:type="dxa"/>
            <w:tcBorders>
              <w:top w:val="nil"/>
              <w:left w:val="nil"/>
              <w:bottom w:val="single" w:sz="4" w:space="0" w:color="auto"/>
              <w:right w:val="single" w:sz="4" w:space="0" w:color="auto"/>
            </w:tcBorders>
            <w:shd w:val="clear" w:color="auto" w:fill="C6EFCE"/>
            <w:noWrap/>
          </w:tcPr>
          <w:p w14:paraId="663AD78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A6A272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Centrele de colectare cu aport voluntar sunt înființate și operaționale</w:t>
            </w:r>
          </w:p>
        </w:tc>
      </w:tr>
      <w:tr w:rsidR="00981F92" w:rsidRPr="000A27B3" w14:paraId="00051A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8319FA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51</w:t>
            </w:r>
          </w:p>
        </w:tc>
        <w:tc>
          <w:tcPr>
            <w:tcW w:w="3544" w:type="dxa"/>
            <w:tcBorders>
              <w:top w:val="nil"/>
              <w:left w:val="nil"/>
              <w:bottom w:val="single" w:sz="4" w:space="0" w:color="auto"/>
              <w:right w:val="single" w:sz="4" w:space="0" w:color="auto"/>
            </w:tcBorders>
            <w:shd w:val="clear" w:color="auto" w:fill="C6EFCE"/>
            <w:noWrap/>
          </w:tcPr>
          <w:p w14:paraId="02C7BE8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C3.I1.b</w:t>
            </w:r>
          </w:p>
          <w:p w14:paraId="43E47B6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Construirea de insule ecologice digitalizate pentru colectarea separată a deșeurilor la nivel local </w:t>
            </w:r>
          </w:p>
        </w:tc>
        <w:tc>
          <w:tcPr>
            <w:tcW w:w="1230" w:type="dxa"/>
            <w:tcBorders>
              <w:top w:val="nil"/>
              <w:left w:val="nil"/>
              <w:bottom w:val="single" w:sz="4" w:space="0" w:color="auto"/>
              <w:right w:val="single" w:sz="4" w:space="0" w:color="auto"/>
            </w:tcBorders>
            <w:shd w:val="clear" w:color="auto" w:fill="C6EFCE"/>
            <w:noWrap/>
          </w:tcPr>
          <w:p w14:paraId="2F6034F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18DD61F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Insulele ecologice digitalizate pentru colectarea separată a deșeurilor sunt înființate și operaționale</w:t>
            </w:r>
          </w:p>
        </w:tc>
      </w:tr>
      <w:tr w:rsidR="00981F92" w:rsidRPr="000A27B3" w14:paraId="530746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EE2EA6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53</w:t>
            </w:r>
          </w:p>
        </w:tc>
        <w:tc>
          <w:tcPr>
            <w:tcW w:w="3544" w:type="dxa"/>
            <w:tcBorders>
              <w:top w:val="nil"/>
              <w:left w:val="nil"/>
              <w:bottom w:val="single" w:sz="4" w:space="0" w:color="auto"/>
              <w:right w:val="single" w:sz="4" w:space="0" w:color="auto"/>
            </w:tcBorders>
            <w:shd w:val="clear" w:color="auto" w:fill="C6EFCE"/>
            <w:noWrap/>
          </w:tcPr>
          <w:p w14:paraId="4247D59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C3.I1c</w:t>
            </w:r>
          </w:p>
          <w:p w14:paraId="58D953C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Centre integrate de colectare separată pentru aglomerări urbane</w:t>
            </w:r>
          </w:p>
        </w:tc>
        <w:tc>
          <w:tcPr>
            <w:tcW w:w="1230" w:type="dxa"/>
            <w:tcBorders>
              <w:top w:val="nil"/>
              <w:left w:val="nil"/>
              <w:bottom w:val="single" w:sz="4" w:space="0" w:color="auto"/>
              <w:right w:val="single" w:sz="4" w:space="0" w:color="auto"/>
            </w:tcBorders>
            <w:shd w:val="clear" w:color="auto" w:fill="C6EFCE"/>
            <w:noWrap/>
          </w:tcPr>
          <w:p w14:paraId="246FB7E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CF01FF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Centrele integrate de colectare a deșeurilor în aglomerări urbane sunt înființate și operaționale </w:t>
            </w:r>
          </w:p>
        </w:tc>
      </w:tr>
      <w:tr w:rsidR="00981F92" w:rsidRPr="000A27B3" w14:paraId="3C67EA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91F31C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54</w:t>
            </w:r>
          </w:p>
        </w:tc>
        <w:tc>
          <w:tcPr>
            <w:tcW w:w="3544" w:type="dxa"/>
            <w:tcBorders>
              <w:top w:val="nil"/>
              <w:left w:val="nil"/>
              <w:bottom w:val="single" w:sz="4" w:space="0" w:color="auto"/>
              <w:right w:val="single" w:sz="4" w:space="0" w:color="auto"/>
            </w:tcBorders>
            <w:shd w:val="clear" w:color="auto" w:fill="C6EFCE"/>
            <w:noWrap/>
          </w:tcPr>
          <w:p w14:paraId="1CC6B84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C3.I1d</w:t>
            </w:r>
          </w:p>
          <w:p w14:paraId="0E97583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Construirea de instalații de reciclare a deșeurilor în vederea atingerii țintelor de reciclare din pachetul economiei circulare</w:t>
            </w:r>
          </w:p>
        </w:tc>
        <w:tc>
          <w:tcPr>
            <w:tcW w:w="1230" w:type="dxa"/>
            <w:tcBorders>
              <w:top w:val="nil"/>
              <w:left w:val="nil"/>
              <w:bottom w:val="single" w:sz="4" w:space="0" w:color="auto"/>
              <w:right w:val="single" w:sz="4" w:space="0" w:color="auto"/>
            </w:tcBorders>
            <w:shd w:val="clear" w:color="auto" w:fill="C6EFCE"/>
            <w:noWrap/>
          </w:tcPr>
          <w:p w14:paraId="5F206EE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A4B78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Instalațiile de reciclare a deșeurilor sunt construite și operaționale</w:t>
            </w:r>
          </w:p>
        </w:tc>
      </w:tr>
      <w:tr w:rsidR="00981F92" w:rsidRPr="000A27B3" w14:paraId="18742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892C2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55</w:t>
            </w:r>
          </w:p>
        </w:tc>
        <w:tc>
          <w:tcPr>
            <w:tcW w:w="3544" w:type="dxa"/>
            <w:tcBorders>
              <w:top w:val="nil"/>
              <w:left w:val="nil"/>
              <w:bottom w:val="single" w:sz="4" w:space="0" w:color="auto"/>
              <w:right w:val="single" w:sz="4" w:space="0" w:color="auto"/>
            </w:tcBorders>
            <w:shd w:val="clear" w:color="auto" w:fill="C6EFCE"/>
            <w:noWrap/>
          </w:tcPr>
          <w:p w14:paraId="1E700E2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C3.I2</w:t>
            </w:r>
          </w:p>
          <w:p w14:paraId="4BDB4E9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Dezvoltarea infrastructurii pentru managementul gunoiului de grajd și al altor deșeuri agricole compostabile</w:t>
            </w:r>
          </w:p>
        </w:tc>
        <w:tc>
          <w:tcPr>
            <w:tcW w:w="1230" w:type="dxa"/>
            <w:tcBorders>
              <w:top w:val="nil"/>
              <w:left w:val="nil"/>
              <w:bottom w:val="single" w:sz="4" w:space="0" w:color="auto"/>
              <w:right w:val="single" w:sz="4" w:space="0" w:color="auto"/>
            </w:tcBorders>
            <w:shd w:val="clear" w:color="auto" w:fill="C6EFCE"/>
            <w:noWrap/>
          </w:tcPr>
          <w:p w14:paraId="376417E8"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15F5F99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Sistemele integrate de colectare a deșeurilor agricole compostabile sunt înființate și operaționale</w:t>
            </w:r>
          </w:p>
        </w:tc>
      </w:tr>
      <w:tr w:rsidR="00981F92" w:rsidRPr="000A27B3" w14:paraId="36E2FB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BA8848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84</w:t>
            </w:r>
          </w:p>
        </w:tc>
        <w:tc>
          <w:tcPr>
            <w:tcW w:w="3544" w:type="dxa"/>
            <w:tcBorders>
              <w:top w:val="nil"/>
              <w:left w:val="nil"/>
              <w:bottom w:val="single" w:sz="4" w:space="0" w:color="auto"/>
              <w:right w:val="single" w:sz="4" w:space="0" w:color="auto"/>
            </w:tcBorders>
            <w:shd w:val="clear" w:color="auto" w:fill="C6EFCE"/>
            <w:noWrap/>
          </w:tcPr>
          <w:p w14:paraId="4AF2326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C4.I3. </w:t>
            </w:r>
          </w:p>
          <w:p w14:paraId="4885363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infrastructurii rutiere durabile aferente rețelei TEN-T, taxarea drumurilor, managementul traficului și siguranța rutieră </w:t>
            </w:r>
          </w:p>
          <w:p w14:paraId="397DEC25" w14:textId="77777777" w:rsidR="00981F92" w:rsidRPr="009F1DC7" w:rsidRDefault="00981F92">
            <w:pPr>
              <w:spacing w:after="0"/>
              <w:jc w:val="both"/>
              <w:rPr>
                <w:rFonts w:ascii="Times New Roman" w:hAnsi="Times New Roman" w:cs="Times New Roman"/>
                <w:noProof/>
              </w:rPr>
            </w:pPr>
          </w:p>
        </w:tc>
        <w:tc>
          <w:tcPr>
            <w:tcW w:w="1230" w:type="dxa"/>
            <w:tcBorders>
              <w:top w:val="nil"/>
              <w:left w:val="nil"/>
              <w:bottom w:val="single" w:sz="4" w:space="0" w:color="auto"/>
              <w:right w:val="single" w:sz="4" w:space="0" w:color="auto"/>
            </w:tcBorders>
            <w:shd w:val="clear" w:color="auto" w:fill="C6EFCE"/>
            <w:noWrap/>
          </w:tcPr>
          <w:p w14:paraId="2ED90D3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7DC3B7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Construcția de drumuri noi este finalizată (fiind îndeplinite standardele TEN-T) </w:t>
            </w:r>
          </w:p>
        </w:tc>
      </w:tr>
      <w:tr w:rsidR="00981F92" w:rsidRPr="000A27B3" w14:paraId="6174E0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CDF2BA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85</w:t>
            </w:r>
          </w:p>
        </w:tc>
        <w:tc>
          <w:tcPr>
            <w:tcW w:w="3544" w:type="dxa"/>
            <w:tcBorders>
              <w:top w:val="nil"/>
              <w:left w:val="nil"/>
              <w:bottom w:val="single" w:sz="4" w:space="0" w:color="auto"/>
              <w:right w:val="single" w:sz="4" w:space="0" w:color="auto"/>
            </w:tcBorders>
            <w:shd w:val="clear" w:color="auto" w:fill="C6EFCE"/>
            <w:noWrap/>
          </w:tcPr>
          <w:p w14:paraId="589AFB9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C4.I3 </w:t>
            </w:r>
          </w:p>
          <w:p w14:paraId="4CB299B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infrastructurii rutiere durabile aferente rețelei TEN-T, taxarea drumurilor, managementul traficului și siguranța rutieră </w:t>
            </w:r>
          </w:p>
        </w:tc>
        <w:tc>
          <w:tcPr>
            <w:tcW w:w="1230" w:type="dxa"/>
            <w:tcBorders>
              <w:top w:val="nil"/>
              <w:left w:val="nil"/>
              <w:bottom w:val="single" w:sz="4" w:space="0" w:color="auto"/>
              <w:right w:val="single" w:sz="4" w:space="0" w:color="auto"/>
            </w:tcBorders>
            <w:shd w:val="clear" w:color="auto" w:fill="C6EFCE"/>
            <w:noWrap/>
          </w:tcPr>
          <w:p w14:paraId="7AC09EE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A9C18EC" w14:textId="39827BDC" w:rsidR="00981F92" w:rsidRPr="000A27B3" w:rsidRDefault="00981F92">
            <w:pPr>
              <w:spacing w:after="0"/>
              <w:jc w:val="both"/>
              <w:rPr>
                <w:rFonts w:ascii="Times New Roman" w:hAnsi="Times New Roman" w:cs="Times New Roman"/>
                <w:noProof/>
              </w:rPr>
            </w:pPr>
            <w:r>
              <w:rPr>
                <w:rFonts w:ascii="Times New Roman" w:hAnsi="Times New Roman"/>
                <w:noProof/>
              </w:rPr>
              <w:t xml:space="preserve">Eliminarea punctelor negre/hotspoturilor în materie de siguranță rutieră </w:t>
            </w:r>
          </w:p>
        </w:tc>
      </w:tr>
      <w:tr w:rsidR="00981F92" w:rsidRPr="000A27B3" w14:paraId="12649F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BE4456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89</w:t>
            </w:r>
          </w:p>
        </w:tc>
        <w:tc>
          <w:tcPr>
            <w:tcW w:w="3544" w:type="dxa"/>
            <w:tcBorders>
              <w:top w:val="nil"/>
              <w:left w:val="nil"/>
              <w:bottom w:val="single" w:sz="4" w:space="0" w:color="auto"/>
              <w:right w:val="single" w:sz="4" w:space="0" w:color="auto"/>
            </w:tcBorders>
            <w:shd w:val="clear" w:color="auto" w:fill="C6EFCE"/>
            <w:noWrap/>
          </w:tcPr>
          <w:p w14:paraId="5F481BB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C4.I4</w:t>
            </w:r>
          </w:p>
          <w:p w14:paraId="6C5C59B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rețelei de transport cu metroul în municipiile București și Cluj-Napoca </w:t>
            </w:r>
          </w:p>
        </w:tc>
        <w:tc>
          <w:tcPr>
            <w:tcW w:w="1230" w:type="dxa"/>
            <w:tcBorders>
              <w:top w:val="nil"/>
              <w:left w:val="nil"/>
              <w:bottom w:val="single" w:sz="4" w:space="0" w:color="auto"/>
              <w:right w:val="single" w:sz="4" w:space="0" w:color="auto"/>
            </w:tcBorders>
            <w:shd w:val="clear" w:color="auto" w:fill="C6EFCE"/>
            <w:noWrap/>
          </w:tcPr>
          <w:p w14:paraId="2DEB266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12C7A8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Kilometri de noi linii de metrou din București și Cluj-Napoca finalizate</w:t>
            </w:r>
          </w:p>
        </w:tc>
      </w:tr>
      <w:tr w:rsidR="00981F92" w:rsidRPr="000A27B3" w14:paraId="1BBD18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93C366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103</w:t>
            </w:r>
          </w:p>
        </w:tc>
        <w:tc>
          <w:tcPr>
            <w:tcW w:w="3544" w:type="dxa"/>
            <w:tcBorders>
              <w:top w:val="nil"/>
              <w:left w:val="nil"/>
              <w:bottom w:val="single" w:sz="4" w:space="0" w:color="auto"/>
              <w:right w:val="single" w:sz="4" w:space="0" w:color="auto"/>
            </w:tcBorders>
            <w:shd w:val="clear" w:color="auto" w:fill="C6EFCE"/>
            <w:noWrap/>
          </w:tcPr>
          <w:p w14:paraId="5600D7B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795FE1A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eficienței energetice a fondului construit existent</w:t>
            </w:r>
          </w:p>
        </w:tc>
        <w:tc>
          <w:tcPr>
            <w:tcW w:w="1230" w:type="dxa"/>
            <w:tcBorders>
              <w:top w:val="nil"/>
              <w:left w:val="nil"/>
              <w:bottom w:val="single" w:sz="4" w:space="0" w:color="auto"/>
              <w:right w:val="single" w:sz="4" w:space="0" w:color="auto"/>
            </w:tcBorders>
            <w:shd w:val="clear" w:color="auto" w:fill="C6EFCE"/>
            <w:noWrap/>
          </w:tcPr>
          <w:p w14:paraId="6E6034D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BD7AAB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Finalizarea renovării energetice a clădirilor rezidențiale multifamiliale </w:t>
            </w:r>
          </w:p>
        </w:tc>
      </w:tr>
      <w:tr w:rsidR="000A27B3" w:rsidRPr="000A27B3" w14:paraId="448DDC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061E79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106</w:t>
            </w:r>
          </w:p>
        </w:tc>
        <w:tc>
          <w:tcPr>
            <w:tcW w:w="3544" w:type="dxa"/>
            <w:tcBorders>
              <w:top w:val="nil"/>
              <w:left w:val="nil"/>
              <w:bottom w:val="single" w:sz="4" w:space="0" w:color="auto"/>
              <w:right w:val="single" w:sz="4" w:space="0" w:color="auto"/>
            </w:tcBorders>
            <w:shd w:val="clear" w:color="auto" w:fill="C6EFCE"/>
            <w:noWrap/>
          </w:tcPr>
          <w:p w14:paraId="06FED78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C5.I1</w:t>
            </w:r>
          </w:p>
          <w:p w14:paraId="799E8AE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Instituirea unui fond pentru Valul renovării care să finanțeze lucrări de îmbunătățire a eficienței energetice a fondului construit existent</w:t>
            </w:r>
          </w:p>
        </w:tc>
        <w:tc>
          <w:tcPr>
            <w:tcW w:w="1230" w:type="dxa"/>
            <w:tcBorders>
              <w:top w:val="nil"/>
              <w:left w:val="nil"/>
              <w:bottom w:val="single" w:sz="4" w:space="0" w:color="auto"/>
              <w:right w:val="single" w:sz="4" w:space="0" w:color="auto"/>
            </w:tcBorders>
            <w:shd w:val="clear" w:color="auto" w:fill="C6EFCE"/>
            <w:noWrap/>
          </w:tcPr>
          <w:p w14:paraId="52431F8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41E2C1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Finalizarea renovării energetice a clădirilor publice </w:t>
            </w:r>
          </w:p>
        </w:tc>
      </w:tr>
      <w:tr w:rsidR="00981F92" w:rsidRPr="000A27B3" w14:paraId="5BBC05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C123D3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134</w:t>
            </w:r>
          </w:p>
        </w:tc>
        <w:tc>
          <w:tcPr>
            <w:tcW w:w="3544" w:type="dxa"/>
            <w:tcBorders>
              <w:top w:val="nil"/>
              <w:left w:val="nil"/>
              <w:bottom w:val="single" w:sz="4" w:space="0" w:color="auto"/>
              <w:right w:val="single" w:sz="4" w:space="0" w:color="auto"/>
            </w:tcBorders>
            <w:shd w:val="clear" w:color="auto" w:fill="C6EFCE"/>
            <w:noWrap/>
          </w:tcPr>
          <w:p w14:paraId="02C2344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C6.I3</w:t>
            </w:r>
          </w:p>
          <w:p w14:paraId="6F5C597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Dezvoltarea unei producții combinate de energie termică și energie electrică (CHP) pe gaz flexibile și de înaltă eficiență în sectorul încălzirii centralizate, în vederea atingerii unei decarbonizări adânci </w:t>
            </w:r>
          </w:p>
        </w:tc>
        <w:tc>
          <w:tcPr>
            <w:tcW w:w="1230" w:type="dxa"/>
            <w:tcBorders>
              <w:top w:val="nil"/>
              <w:left w:val="nil"/>
              <w:bottom w:val="single" w:sz="4" w:space="0" w:color="auto"/>
              <w:right w:val="single" w:sz="4" w:space="0" w:color="auto"/>
            </w:tcBorders>
            <w:shd w:val="clear" w:color="auto" w:fill="C6EFCE"/>
            <w:noWrap/>
          </w:tcPr>
          <w:p w14:paraId="44E1039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754CFF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Centrale de cogenerare de înaltă eficiență și încălzire centralizată</w:t>
            </w:r>
          </w:p>
        </w:tc>
      </w:tr>
      <w:tr w:rsidR="00981F92" w:rsidRPr="000A27B3" w14:paraId="1327CA1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73D7B2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255</w:t>
            </w:r>
          </w:p>
        </w:tc>
        <w:tc>
          <w:tcPr>
            <w:tcW w:w="3544" w:type="dxa"/>
            <w:tcBorders>
              <w:top w:val="nil"/>
              <w:left w:val="nil"/>
              <w:bottom w:val="single" w:sz="4" w:space="0" w:color="auto"/>
              <w:right w:val="single" w:sz="4" w:space="0" w:color="auto"/>
            </w:tcBorders>
            <w:shd w:val="clear" w:color="auto" w:fill="C6EFCE"/>
            <w:noWrap/>
          </w:tcPr>
          <w:p w14:paraId="6CAB016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C9.I2.3 </w:t>
            </w:r>
          </w:p>
          <w:p w14:paraId="7762A682" w14:textId="46F3655B" w:rsidR="00981F92" w:rsidRPr="000A27B3" w:rsidRDefault="00981F92">
            <w:pPr>
              <w:spacing w:after="0"/>
              <w:jc w:val="both"/>
              <w:rPr>
                <w:rFonts w:ascii="Times New Roman" w:hAnsi="Times New Roman" w:cs="Times New Roman"/>
                <w:noProof/>
              </w:rPr>
            </w:pPr>
            <w:r>
              <w:rPr>
                <w:rFonts w:ascii="Times New Roman" w:hAnsi="Times New Roman"/>
                <w:noProof/>
              </w:rPr>
              <w:t>Instrumente financiare pentru sectorul privat – Fondul de fonduri de capital de risc pentru redresare</w:t>
            </w:r>
            <w:r w:rsidR="004C4C72">
              <w:rPr>
                <w:rFonts w:ascii="Times New Roman" w:hAnsi="Times New Roman"/>
                <w:noProof/>
              </w:rPr>
              <w:t xml:space="preserve"> </w:t>
            </w:r>
          </w:p>
        </w:tc>
        <w:tc>
          <w:tcPr>
            <w:tcW w:w="1230" w:type="dxa"/>
            <w:tcBorders>
              <w:top w:val="nil"/>
              <w:left w:val="nil"/>
              <w:bottom w:val="single" w:sz="4" w:space="0" w:color="auto"/>
              <w:right w:val="single" w:sz="4" w:space="0" w:color="auto"/>
            </w:tcBorders>
            <w:shd w:val="clear" w:color="auto" w:fill="C6EFCE"/>
            <w:noWrap/>
          </w:tcPr>
          <w:p w14:paraId="1E9AC96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32E52B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Operațiuni de finanțare sau de investiții în valoare de cel puțin 100 % din cuantumul total al fondurilor sau al investițiilor vizate, aprobate de Comitetul pentru investiții al InvestEU.</w:t>
            </w:r>
          </w:p>
        </w:tc>
      </w:tr>
      <w:tr w:rsidR="00981F92" w:rsidRPr="000A27B3" w14:paraId="57E2FC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88184A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258</w:t>
            </w:r>
          </w:p>
        </w:tc>
        <w:tc>
          <w:tcPr>
            <w:tcW w:w="3544" w:type="dxa"/>
            <w:tcBorders>
              <w:top w:val="nil"/>
              <w:left w:val="nil"/>
              <w:bottom w:val="single" w:sz="4" w:space="0" w:color="auto"/>
              <w:right w:val="single" w:sz="4" w:space="0" w:color="auto"/>
            </w:tcBorders>
            <w:shd w:val="clear" w:color="auto" w:fill="C6EFCE"/>
            <w:noWrap/>
          </w:tcPr>
          <w:p w14:paraId="1BCA53B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C9.I2.4 </w:t>
            </w:r>
          </w:p>
          <w:p w14:paraId="3BFA0F3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Instrumente financiare pentru sectorul privat – Fondul pentru digitalizare, acțiune climatică și alte domenii de interes </w:t>
            </w:r>
          </w:p>
          <w:p w14:paraId="032656E6" w14:textId="77777777" w:rsidR="00981F92" w:rsidRPr="009F1DC7" w:rsidRDefault="00981F92">
            <w:pPr>
              <w:spacing w:after="0"/>
              <w:jc w:val="both"/>
              <w:rPr>
                <w:rFonts w:ascii="Times New Roman" w:hAnsi="Times New Roman" w:cs="Times New Roman"/>
                <w:noProof/>
                <w:lang w:val="fr-FR"/>
              </w:rPr>
            </w:pPr>
          </w:p>
        </w:tc>
        <w:tc>
          <w:tcPr>
            <w:tcW w:w="1230" w:type="dxa"/>
            <w:tcBorders>
              <w:top w:val="nil"/>
              <w:left w:val="nil"/>
              <w:bottom w:val="single" w:sz="4" w:space="0" w:color="auto"/>
              <w:right w:val="single" w:sz="4" w:space="0" w:color="auto"/>
            </w:tcBorders>
            <w:shd w:val="clear" w:color="auto" w:fill="C6EFCE"/>
            <w:noWrap/>
          </w:tcPr>
          <w:p w14:paraId="70E0659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BA5EF8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100 % din beneficiarii vizați au beneficiat de sprijin</w:t>
            </w:r>
          </w:p>
        </w:tc>
      </w:tr>
      <w:tr w:rsidR="00981F92" w:rsidRPr="000A27B3" w14:paraId="2A8903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9F477A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271</w:t>
            </w:r>
          </w:p>
        </w:tc>
        <w:tc>
          <w:tcPr>
            <w:tcW w:w="3544" w:type="dxa"/>
            <w:tcBorders>
              <w:top w:val="nil"/>
              <w:left w:val="nil"/>
              <w:bottom w:val="single" w:sz="4" w:space="0" w:color="auto"/>
              <w:right w:val="single" w:sz="4" w:space="0" w:color="auto"/>
            </w:tcBorders>
            <w:shd w:val="clear" w:color="auto" w:fill="C6EFCE"/>
            <w:noWrap/>
          </w:tcPr>
          <w:p w14:paraId="729FD9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C9.R2</w:t>
            </w:r>
          </w:p>
          <w:p w14:paraId="7965F40E"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Raționalizarea guvernanței în domeniul cercetării, dezvoltării și inovării </w:t>
            </w:r>
          </w:p>
        </w:tc>
        <w:tc>
          <w:tcPr>
            <w:tcW w:w="1230" w:type="dxa"/>
            <w:tcBorders>
              <w:top w:val="nil"/>
              <w:left w:val="nil"/>
              <w:bottom w:val="single" w:sz="4" w:space="0" w:color="auto"/>
              <w:right w:val="single" w:sz="4" w:space="0" w:color="auto"/>
            </w:tcBorders>
            <w:shd w:val="clear" w:color="auto" w:fill="C6EFCE"/>
            <w:noWrap/>
          </w:tcPr>
          <w:p w14:paraId="5750B0D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D9D6719"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Ponderea recomandărilor din cadrul mecanismului de sprijin al politicilor puse în aplicare până la sfârșitul anului 2026</w:t>
            </w:r>
          </w:p>
        </w:tc>
      </w:tr>
      <w:tr w:rsidR="00981F92" w:rsidRPr="005209CD" w14:paraId="3B14EA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56B264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272</w:t>
            </w:r>
          </w:p>
        </w:tc>
        <w:tc>
          <w:tcPr>
            <w:tcW w:w="3544" w:type="dxa"/>
            <w:tcBorders>
              <w:top w:val="nil"/>
              <w:left w:val="nil"/>
              <w:bottom w:val="single" w:sz="4" w:space="0" w:color="auto"/>
              <w:right w:val="single" w:sz="4" w:space="0" w:color="auto"/>
            </w:tcBorders>
            <w:shd w:val="clear" w:color="auto" w:fill="C6EFCE"/>
            <w:noWrap/>
          </w:tcPr>
          <w:p w14:paraId="5AA8470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C9.R2 </w:t>
            </w:r>
          </w:p>
          <w:p w14:paraId="04BAFF6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Raționalizarea guvernanței în domeniul cercetării, dezvoltării și inovării </w:t>
            </w:r>
          </w:p>
        </w:tc>
        <w:tc>
          <w:tcPr>
            <w:tcW w:w="1230" w:type="dxa"/>
            <w:tcBorders>
              <w:top w:val="nil"/>
              <w:left w:val="nil"/>
              <w:bottom w:val="single" w:sz="4" w:space="0" w:color="auto"/>
              <w:right w:val="single" w:sz="4" w:space="0" w:color="auto"/>
            </w:tcBorders>
            <w:shd w:val="clear" w:color="auto" w:fill="C6EFCE"/>
            <w:noWrap/>
          </w:tcPr>
          <w:p w14:paraId="14E54DBE"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3BE4296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Intrarea în vigoare a unui sistem permanent care să elaboreze, pună în aplicare, monitorizeze și evalueze politica în domeniul cercetării, dezvoltării și inovării</w:t>
            </w:r>
          </w:p>
        </w:tc>
      </w:tr>
      <w:tr w:rsidR="00981F92" w:rsidRPr="000A27B3" w14:paraId="2A68E0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C7300B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277</w:t>
            </w:r>
          </w:p>
        </w:tc>
        <w:tc>
          <w:tcPr>
            <w:tcW w:w="3544" w:type="dxa"/>
            <w:tcBorders>
              <w:top w:val="nil"/>
              <w:left w:val="nil"/>
              <w:bottom w:val="single" w:sz="4" w:space="0" w:color="auto"/>
              <w:right w:val="single" w:sz="4" w:space="0" w:color="auto"/>
            </w:tcBorders>
            <w:shd w:val="clear" w:color="auto" w:fill="C6EFCE"/>
            <w:noWrap/>
          </w:tcPr>
          <w:p w14:paraId="52EE41A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C9.R4</w:t>
            </w:r>
          </w:p>
          <w:p w14:paraId="19592B6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Consolidarea cooperării dintre mediul de afaceri și cel de cercetare </w:t>
            </w:r>
          </w:p>
        </w:tc>
        <w:tc>
          <w:tcPr>
            <w:tcW w:w="1230" w:type="dxa"/>
            <w:tcBorders>
              <w:top w:val="nil"/>
              <w:left w:val="nil"/>
              <w:bottom w:val="single" w:sz="4" w:space="0" w:color="auto"/>
              <w:right w:val="single" w:sz="4" w:space="0" w:color="auto"/>
            </w:tcBorders>
            <w:shd w:val="clear" w:color="auto" w:fill="C6EFCE"/>
            <w:noWrap/>
          </w:tcPr>
          <w:p w14:paraId="0CE243A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J</w:t>
            </w:r>
          </w:p>
        </w:tc>
        <w:tc>
          <w:tcPr>
            <w:tcW w:w="3447" w:type="dxa"/>
            <w:tcBorders>
              <w:top w:val="nil"/>
              <w:left w:val="nil"/>
              <w:bottom w:val="single" w:sz="4" w:space="0" w:color="auto"/>
              <w:right w:val="single" w:sz="4" w:space="0" w:color="auto"/>
            </w:tcBorders>
            <w:shd w:val="clear" w:color="auto" w:fill="C6EFCE"/>
            <w:noWrap/>
          </w:tcPr>
          <w:p w14:paraId="5F49B9C7" w14:textId="53D69C46" w:rsidR="00981F92" w:rsidRPr="000A27B3" w:rsidRDefault="00981F92">
            <w:pPr>
              <w:spacing w:after="0"/>
              <w:jc w:val="both"/>
              <w:rPr>
                <w:rFonts w:ascii="Times New Roman" w:hAnsi="Times New Roman" w:cs="Times New Roman"/>
                <w:noProof/>
              </w:rPr>
            </w:pPr>
            <w:r>
              <w:rPr>
                <w:rFonts w:ascii="Times New Roman" w:hAnsi="Times New Roman"/>
                <w:noProof/>
              </w:rPr>
              <w:t xml:space="preserve">40 % din proiectele de cercetare, dezvoltare și inovare finanțate din fonduri publice au ca partener cel puțin o entitate comercială </w:t>
            </w:r>
          </w:p>
        </w:tc>
      </w:tr>
      <w:tr w:rsidR="00981F92" w:rsidRPr="000A27B3" w14:paraId="246864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489076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279</w:t>
            </w:r>
          </w:p>
        </w:tc>
        <w:tc>
          <w:tcPr>
            <w:tcW w:w="3544" w:type="dxa"/>
            <w:tcBorders>
              <w:top w:val="nil"/>
              <w:left w:val="nil"/>
              <w:bottom w:val="single" w:sz="4" w:space="0" w:color="auto"/>
              <w:right w:val="single" w:sz="4" w:space="0" w:color="auto"/>
            </w:tcBorders>
            <w:shd w:val="clear" w:color="auto" w:fill="C6EFCE"/>
            <w:noWrap/>
          </w:tcPr>
          <w:p w14:paraId="67EE2CE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C9.R5</w:t>
            </w:r>
          </w:p>
          <w:p w14:paraId="373D40A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Sprijin pentru integrarea organizațiilor de cercetare, dezvoltare și inovare din România în </w:t>
            </w:r>
            <w:bookmarkStart w:id="21" w:name="_Hlk81822557"/>
            <w:r>
              <w:rPr>
                <w:rFonts w:ascii="Times New Roman" w:hAnsi="Times New Roman"/>
                <w:noProof/>
              </w:rPr>
              <w:t>Spațiul european de cercetare</w:t>
            </w:r>
            <w:bookmarkEnd w:id="21"/>
          </w:p>
        </w:tc>
        <w:tc>
          <w:tcPr>
            <w:tcW w:w="1230" w:type="dxa"/>
            <w:tcBorders>
              <w:top w:val="nil"/>
              <w:left w:val="nil"/>
              <w:bottom w:val="single" w:sz="4" w:space="0" w:color="auto"/>
              <w:right w:val="single" w:sz="4" w:space="0" w:color="auto"/>
            </w:tcBorders>
            <w:shd w:val="clear" w:color="auto" w:fill="C6EFCE"/>
            <w:noWrap/>
          </w:tcPr>
          <w:p w14:paraId="43E6435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3B290C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Procentul organizațiilor de cercetare care exploatează în comun infrastructuri și structuri de cercetare</w:t>
            </w:r>
          </w:p>
        </w:tc>
      </w:tr>
      <w:tr w:rsidR="00981F92" w:rsidRPr="000A27B3" w14:paraId="29EED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3D51C9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282</w:t>
            </w:r>
          </w:p>
        </w:tc>
        <w:tc>
          <w:tcPr>
            <w:tcW w:w="3544" w:type="dxa"/>
            <w:tcBorders>
              <w:top w:val="nil"/>
              <w:left w:val="nil"/>
              <w:bottom w:val="single" w:sz="4" w:space="0" w:color="auto"/>
              <w:right w:val="single" w:sz="4" w:space="0" w:color="auto"/>
            </w:tcBorders>
            <w:shd w:val="clear" w:color="auto" w:fill="C6EFCE"/>
            <w:noWrap/>
          </w:tcPr>
          <w:p w14:paraId="31B6192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C9.I6</w:t>
            </w:r>
          </w:p>
          <w:p w14:paraId="31EFE0A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Programele de mentorat Orizont Europa </w:t>
            </w:r>
          </w:p>
        </w:tc>
        <w:tc>
          <w:tcPr>
            <w:tcW w:w="1230" w:type="dxa"/>
            <w:tcBorders>
              <w:top w:val="nil"/>
              <w:left w:val="nil"/>
              <w:bottom w:val="single" w:sz="4" w:space="0" w:color="auto"/>
              <w:right w:val="single" w:sz="4" w:space="0" w:color="auto"/>
            </w:tcBorders>
            <w:shd w:val="clear" w:color="auto" w:fill="C6EFCE"/>
            <w:noWrap/>
          </w:tcPr>
          <w:p w14:paraId="5A897D2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793BE0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Vouchere acordate în cadrul programului de mentorat Orizont Europa </w:t>
            </w:r>
          </w:p>
        </w:tc>
      </w:tr>
      <w:tr w:rsidR="00981F92" w:rsidRPr="000A27B3" w14:paraId="1694DB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A474D8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287</w:t>
            </w:r>
          </w:p>
        </w:tc>
        <w:tc>
          <w:tcPr>
            <w:tcW w:w="3544" w:type="dxa"/>
            <w:tcBorders>
              <w:top w:val="nil"/>
              <w:left w:val="nil"/>
              <w:bottom w:val="single" w:sz="4" w:space="0" w:color="auto"/>
              <w:right w:val="single" w:sz="4" w:space="0" w:color="auto"/>
            </w:tcBorders>
            <w:shd w:val="clear" w:color="auto" w:fill="C6EFCE"/>
            <w:noWrap/>
          </w:tcPr>
          <w:p w14:paraId="2C760BD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C9.I10</w:t>
            </w:r>
          </w:p>
          <w:p w14:paraId="47B1CC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Înființarea și susținerea financiară a unei rețele naționale de opt centre regionale de orientare în carieră ca parte a Platformei pentru talente din cadrul Spațiului european de cercetare</w:t>
            </w:r>
          </w:p>
        </w:tc>
        <w:tc>
          <w:tcPr>
            <w:tcW w:w="1230" w:type="dxa"/>
            <w:tcBorders>
              <w:top w:val="nil"/>
              <w:left w:val="nil"/>
              <w:bottom w:val="single" w:sz="4" w:space="0" w:color="auto"/>
              <w:right w:val="single" w:sz="4" w:space="0" w:color="auto"/>
            </w:tcBorders>
            <w:shd w:val="clear" w:color="auto" w:fill="C6EFCE"/>
            <w:noWrap/>
          </w:tcPr>
          <w:p w14:paraId="0AF6224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1F8D9B8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Cercetătorii care au beneficiat de serviciile centrelor de orientare în carieră</w:t>
            </w:r>
          </w:p>
        </w:tc>
      </w:tr>
      <w:tr w:rsidR="00981F92" w:rsidRPr="000A27B3" w14:paraId="52021F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67ABB8C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309</w:t>
            </w:r>
          </w:p>
        </w:tc>
        <w:tc>
          <w:tcPr>
            <w:tcW w:w="3544" w:type="dxa"/>
            <w:tcBorders>
              <w:top w:val="nil"/>
              <w:left w:val="nil"/>
              <w:bottom w:val="single" w:sz="4" w:space="0" w:color="auto"/>
              <w:right w:val="single" w:sz="4" w:space="0" w:color="auto"/>
            </w:tcBorders>
            <w:shd w:val="clear" w:color="auto" w:fill="C6EFCE"/>
            <w:noWrap/>
          </w:tcPr>
          <w:p w14:paraId="41DBBF2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C10.R2</w:t>
            </w:r>
          </w:p>
          <w:p w14:paraId="2640D206" w14:textId="14A0A34A"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cadrului de politică pentru o transformare urbană durabilă </w:t>
            </w:r>
          </w:p>
        </w:tc>
        <w:tc>
          <w:tcPr>
            <w:tcW w:w="1230" w:type="dxa"/>
            <w:tcBorders>
              <w:top w:val="nil"/>
              <w:left w:val="nil"/>
              <w:bottom w:val="single" w:sz="4" w:space="0" w:color="auto"/>
              <w:right w:val="single" w:sz="4" w:space="0" w:color="auto"/>
            </w:tcBorders>
            <w:shd w:val="clear" w:color="auto" w:fill="C6EFCE"/>
            <w:noWrap/>
          </w:tcPr>
          <w:p w14:paraId="1FC5F30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808BB3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Sporirea calității vieții în zonele urbane</w:t>
            </w:r>
          </w:p>
        </w:tc>
      </w:tr>
      <w:tr w:rsidR="00981F92" w:rsidRPr="000A27B3" w14:paraId="616675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67A277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311</w:t>
            </w:r>
          </w:p>
        </w:tc>
        <w:tc>
          <w:tcPr>
            <w:tcW w:w="3544" w:type="dxa"/>
            <w:tcBorders>
              <w:top w:val="nil"/>
              <w:left w:val="nil"/>
              <w:bottom w:val="single" w:sz="4" w:space="0" w:color="auto"/>
              <w:right w:val="single" w:sz="4" w:space="0" w:color="auto"/>
            </w:tcBorders>
            <w:shd w:val="clear" w:color="auto" w:fill="C6EFCE"/>
            <w:noWrap/>
          </w:tcPr>
          <w:p w14:paraId="0748398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C10.R2</w:t>
            </w:r>
          </w:p>
          <w:p w14:paraId="78D2AB5A" w14:textId="6442E04C"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unui cadru de politică pentru o transformare rurală durabilă: instituirea de consorții administrative în zonele rurale funcționale </w:t>
            </w:r>
          </w:p>
        </w:tc>
        <w:tc>
          <w:tcPr>
            <w:tcW w:w="1230" w:type="dxa"/>
            <w:tcBorders>
              <w:top w:val="nil"/>
              <w:left w:val="nil"/>
              <w:bottom w:val="single" w:sz="4" w:space="0" w:color="auto"/>
              <w:right w:val="single" w:sz="4" w:space="0" w:color="auto"/>
            </w:tcBorders>
            <w:shd w:val="clear" w:color="auto" w:fill="C6EFCE"/>
            <w:noWrap/>
          </w:tcPr>
          <w:p w14:paraId="4504A35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DFA2B9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Reducerea sărăciei și a excluziunii sociale în zonele rurale</w:t>
            </w:r>
          </w:p>
        </w:tc>
      </w:tr>
      <w:tr w:rsidR="00981F92" w:rsidRPr="000A27B3" w14:paraId="487D17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2B1CEF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313</w:t>
            </w:r>
          </w:p>
        </w:tc>
        <w:tc>
          <w:tcPr>
            <w:tcW w:w="3544" w:type="dxa"/>
            <w:tcBorders>
              <w:top w:val="nil"/>
              <w:left w:val="nil"/>
              <w:bottom w:val="single" w:sz="4" w:space="0" w:color="auto"/>
              <w:right w:val="single" w:sz="4" w:space="0" w:color="auto"/>
            </w:tcBorders>
            <w:shd w:val="clear" w:color="auto" w:fill="C6EFCE"/>
            <w:noWrap/>
          </w:tcPr>
          <w:p w14:paraId="6A5D096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C10.R3</w:t>
            </w:r>
          </w:p>
          <w:p w14:paraId="0E3EBF6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calității locuințelor pentru o bunăstare sporită </w:t>
            </w:r>
          </w:p>
        </w:tc>
        <w:tc>
          <w:tcPr>
            <w:tcW w:w="1230" w:type="dxa"/>
            <w:tcBorders>
              <w:top w:val="nil"/>
              <w:left w:val="nil"/>
              <w:bottom w:val="single" w:sz="4" w:space="0" w:color="auto"/>
              <w:right w:val="single" w:sz="4" w:space="0" w:color="auto"/>
            </w:tcBorders>
            <w:shd w:val="clear" w:color="auto" w:fill="C6EFCE"/>
            <w:noWrap/>
          </w:tcPr>
          <w:p w14:paraId="1841F6D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5A650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procentului de supraaglomerare a locuințelor </w:t>
            </w:r>
          </w:p>
        </w:tc>
      </w:tr>
      <w:tr w:rsidR="00981F92" w:rsidRPr="000A27B3" w14:paraId="6923EF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20AE2A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314</w:t>
            </w:r>
          </w:p>
        </w:tc>
        <w:tc>
          <w:tcPr>
            <w:tcW w:w="3544" w:type="dxa"/>
            <w:tcBorders>
              <w:top w:val="nil"/>
              <w:left w:val="nil"/>
              <w:bottom w:val="single" w:sz="4" w:space="0" w:color="auto"/>
              <w:right w:val="single" w:sz="4" w:space="0" w:color="auto"/>
            </w:tcBorders>
            <w:shd w:val="clear" w:color="auto" w:fill="C6EFCE"/>
            <w:noWrap/>
          </w:tcPr>
          <w:p w14:paraId="76A592B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C10.R3</w:t>
            </w:r>
          </w:p>
          <w:p w14:paraId="48FAF20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Îmbunătățirea calității locuințelor pentru o bunăstare sporită </w:t>
            </w:r>
          </w:p>
        </w:tc>
        <w:tc>
          <w:tcPr>
            <w:tcW w:w="1230" w:type="dxa"/>
            <w:tcBorders>
              <w:top w:val="nil"/>
              <w:left w:val="nil"/>
              <w:bottom w:val="single" w:sz="4" w:space="0" w:color="auto"/>
              <w:right w:val="single" w:sz="4" w:space="0" w:color="auto"/>
            </w:tcBorders>
            <w:shd w:val="clear" w:color="auto" w:fill="C6EFCE"/>
            <w:noWrap/>
          </w:tcPr>
          <w:p w14:paraId="5E236B6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FDB3F9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Reducerea procentului de populație care locuiește în așezări informale </w:t>
            </w:r>
          </w:p>
        </w:tc>
      </w:tr>
      <w:tr w:rsidR="00981F92" w:rsidRPr="000A27B3" w14:paraId="614B7A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29C8C3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318</w:t>
            </w:r>
          </w:p>
        </w:tc>
        <w:tc>
          <w:tcPr>
            <w:tcW w:w="3544" w:type="dxa"/>
            <w:tcBorders>
              <w:top w:val="nil"/>
              <w:left w:val="nil"/>
              <w:bottom w:val="single" w:sz="4" w:space="0" w:color="auto"/>
              <w:right w:val="single" w:sz="4" w:space="0" w:color="auto"/>
            </w:tcBorders>
            <w:shd w:val="clear" w:color="auto" w:fill="C6EFCE"/>
            <w:noWrap/>
          </w:tcPr>
          <w:p w14:paraId="6ABACF4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1BAF89D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Construirea de locuințe pentru tineri / unități locative pentru specialiștii din sănătate și învățământ </w:t>
            </w:r>
          </w:p>
        </w:tc>
        <w:tc>
          <w:tcPr>
            <w:tcW w:w="1230" w:type="dxa"/>
            <w:tcBorders>
              <w:top w:val="nil"/>
              <w:left w:val="nil"/>
              <w:bottom w:val="single" w:sz="4" w:space="0" w:color="auto"/>
              <w:right w:val="single" w:sz="4" w:space="0" w:color="auto"/>
            </w:tcBorders>
            <w:shd w:val="clear" w:color="auto" w:fill="C6EFCE"/>
            <w:noWrap/>
          </w:tcPr>
          <w:p w14:paraId="3848319C"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4A3F71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Unități locative construite pentru tinerii care provin din comunități/grupuri vulnerabile </w:t>
            </w:r>
          </w:p>
        </w:tc>
      </w:tr>
      <w:tr w:rsidR="00981F92" w:rsidRPr="000A27B3" w14:paraId="1FD029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7AA93AD"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319</w:t>
            </w:r>
          </w:p>
        </w:tc>
        <w:tc>
          <w:tcPr>
            <w:tcW w:w="3544" w:type="dxa"/>
            <w:tcBorders>
              <w:top w:val="nil"/>
              <w:left w:val="nil"/>
              <w:bottom w:val="single" w:sz="4" w:space="0" w:color="auto"/>
              <w:right w:val="single" w:sz="4" w:space="0" w:color="auto"/>
            </w:tcBorders>
            <w:shd w:val="clear" w:color="auto" w:fill="C6EFCE"/>
            <w:noWrap/>
          </w:tcPr>
          <w:p w14:paraId="55F01CC0"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C10.I1</w:t>
            </w:r>
          </w:p>
          <w:p w14:paraId="778BE7D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Construirea de locuințe pentru tineri / unități locative pentru specialiștii din sănătate și învățământ </w:t>
            </w:r>
          </w:p>
        </w:tc>
        <w:tc>
          <w:tcPr>
            <w:tcW w:w="1230" w:type="dxa"/>
            <w:tcBorders>
              <w:top w:val="nil"/>
              <w:left w:val="nil"/>
              <w:bottom w:val="single" w:sz="4" w:space="0" w:color="auto"/>
              <w:right w:val="single" w:sz="4" w:space="0" w:color="auto"/>
            </w:tcBorders>
            <w:shd w:val="clear" w:color="auto" w:fill="C6EFCE"/>
            <w:noWrap/>
          </w:tcPr>
          <w:p w14:paraId="4D49E0C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2640D24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Unități locative construite pentru specialiști din sănătate și învățământ </w:t>
            </w:r>
          </w:p>
        </w:tc>
      </w:tr>
      <w:tr w:rsidR="00981F92" w:rsidRPr="000A27B3" w14:paraId="37BF31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FE2D9F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322</w:t>
            </w:r>
          </w:p>
        </w:tc>
        <w:tc>
          <w:tcPr>
            <w:tcW w:w="3544" w:type="dxa"/>
            <w:tcBorders>
              <w:top w:val="nil"/>
              <w:left w:val="nil"/>
              <w:bottom w:val="single" w:sz="4" w:space="0" w:color="auto"/>
              <w:right w:val="single" w:sz="4" w:space="0" w:color="auto"/>
            </w:tcBorders>
            <w:shd w:val="clear" w:color="auto" w:fill="C6EFCE"/>
            <w:noWrap/>
          </w:tcPr>
          <w:p w14:paraId="0CD12BB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C10.I3</w:t>
            </w:r>
          </w:p>
          <w:p w14:paraId="4F876B9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Reabilitarea moderată a clădirilor publice pentru a îmbunătăți furnizarea de servicii publice de către unitățile administrativ-teritoriale </w:t>
            </w:r>
          </w:p>
        </w:tc>
        <w:tc>
          <w:tcPr>
            <w:tcW w:w="1230" w:type="dxa"/>
            <w:tcBorders>
              <w:top w:val="nil"/>
              <w:left w:val="nil"/>
              <w:bottom w:val="single" w:sz="4" w:space="0" w:color="auto"/>
              <w:right w:val="single" w:sz="4" w:space="0" w:color="auto"/>
            </w:tcBorders>
            <w:shd w:val="clear" w:color="auto" w:fill="C6EFCE"/>
            <w:noWrap/>
          </w:tcPr>
          <w:p w14:paraId="193764B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D1F605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Suprafața în metri pătrați a clădirilor publice renovate </w:t>
            </w:r>
          </w:p>
        </w:tc>
      </w:tr>
      <w:tr w:rsidR="00981F92" w:rsidRPr="000A27B3" w14:paraId="37C25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CDD19E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325</w:t>
            </w:r>
          </w:p>
        </w:tc>
        <w:tc>
          <w:tcPr>
            <w:tcW w:w="3544" w:type="dxa"/>
            <w:tcBorders>
              <w:top w:val="nil"/>
              <w:left w:val="nil"/>
              <w:bottom w:val="single" w:sz="4" w:space="0" w:color="auto"/>
              <w:right w:val="single" w:sz="4" w:space="0" w:color="auto"/>
            </w:tcBorders>
            <w:shd w:val="clear" w:color="auto" w:fill="C6EFCE"/>
            <w:noWrap/>
          </w:tcPr>
          <w:p w14:paraId="0936D244"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C10.I4</w:t>
            </w:r>
          </w:p>
          <w:p w14:paraId="172D220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Elaborarea/actualizarea în format GIS a documentelor de amenajare a teritoriului și de urbanism </w:t>
            </w:r>
          </w:p>
        </w:tc>
        <w:tc>
          <w:tcPr>
            <w:tcW w:w="1230" w:type="dxa"/>
            <w:tcBorders>
              <w:top w:val="nil"/>
              <w:left w:val="nil"/>
              <w:bottom w:val="single" w:sz="4" w:space="0" w:color="auto"/>
              <w:right w:val="single" w:sz="4" w:space="0" w:color="auto"/>
            </w:tcBorders>
            <w:shd w:val="clear" w:color="auto" w:fill="C6EFCE"/>
            <w:noWrap/>
          </w:tcPr>
          <w:p w14:paraId="397FC156"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7528C2B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Finalizarea planurilor de amenajare a teritoriului, de urbanism și de mobilitate urbană durabilă și preluarea acestora în cadrul platformei Observatorului teritorial</w:t>
            </w:r>
          </w:p>
        </w:tc>
      </w:tr>
      <w:tr w:rsidR="00981F92" w:rsidRPr="000A27B3" w14:paraId="0EC851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4C33AA0"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335</w:t>
            </w:r>
          </w:p>
        </w:tc>
        <w:tc>
          <w:tcPr>
            <w:tcW w:w="3544" w:type="dxa"/>
            <w:tcBorders>
              <w:top w:val="nil"/>
              <w:left w:val="nil"/>
              <w:bottom w:val="single" w:sz="4" w:space="0" w:color="auto"/>
              <w:right w:val="single" w:sz="4" w:space="0" w:color="auto"/>
            </w:tcBorders>
            <w:shd w:val="clear" w:color="auto" w:fill="C6EFCE"/>
            <w:noWrap/>
          </w:tcPr>
          <w:p w14:paraId="40ACE67D"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C11.I1</w:t>
            </w:r>
          </w:p>
          <w:p w14:paraId="4413257F" w14:textId="45298773" w:rsidR="00981F92" w:rsidRPr="000A27B3" w:rsidRDefault="00981F92">
            <w:pPr>
              <w:spacing w:after="0"/>
              <w:jc w:val="both"/>
              <w:rPr>
                <w:rFonts w:ascii="Times New Roman" w:hAnsi="Times New Roman" w:cs="Times New Roman"/>
                <w:noProof/>
              </w:rPr>
            </w:pPr>
            <w:r>
              <w:rPr>
                <w:rFonts w:ascii="Times New Roman" w:hAnsi="Times New Roman"/>
                <w:noProof/>
              </w:rPr>
              <w:t xml:space="preserve">Promovarea celor 12 rute turistice/culturale </w:t>
            </w:r>
          </w:p>
        </w:tc>
        <w:tc>
          <w:tcPr>
            <w:tcW w:w="1230" w:type="dxa"/>
            <w:tcBorders>
              <w:top w:val="nil"/>
              <w:left w:val="nil"/>
              <w:bottom w:val="single" w:sz="4" w:space="0" w:color="auto"/>
              <w:right w:val="single" w:sz="4" w:space="0" w:color="auto"/>
            </w:tcBorders>
            <w:shd w:val="clear" w:color="auto" w:fill="C6EFCE"/>
            <w:noWrap/>
          </w:tcPr>
          <w:p w14:paraId="2D925C0B"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62E1E2D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Deschiderea siturilor nou-restaurate</w:t>
            </w:r>
          </w:p>
        </w:tc>
      </w:tr>
      <w:tr w:rsidR="00981F92" w:rsidRPr="000A27B3" w14:paraId="3FF4DD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35FC1305"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337</w:t>
            </w:r>
          </w:p>
        </w:tc>
        <w:tc>
          <w:tcPr>
            <w:tcW w:w="3544" w:type="dxa"/>
            <w:tcBorders>
              <w:top w:val="nil"/>
              <w:left w:val="nil"/>
              <w:bottom w:val="single" w:sz="4" w:space="0" w:color="auto"/>
              <w:right w:val="single" w:sz="4" w:space="0" w:color="auto"/>
            </w:tcBorders>
            <w:shd w:val="clear" w:color="auto" w:fill="C6EFCE"/>
            <w:noWrap/>
          </w:tcPr>
          <w:p w14:paraId="22726E7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C11.I2. Modernizarea/crearea de muzee și memoriale </w:t>
            </w:r>
          </w:p>
        </w:tc>
        <w:tc>
          <w:tcPr>
            <w:tcW w:w="1230" w:type="dxa"/>
            <w:tcBorders>
              <w:top w:val="nil"/>
              <w:left w:val="nil"/>
              <w:bottom w:val="single" w:sz="4" w:space="0" w:color="auto"/>
              <w:right w:val="single" w:sz="4" w:space="0" w:color="auto"/>
            </w:tcBorders>
            <w:shd w:val="clear" w:color="auto" w:fill="C6EFCE"/>
            <w:noWrap/>
          </w:tcPr>
          <w:p w14:paraId="1B03FE2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339155A" w14:textId="77777777" w:rsidR="00981F92" w:rsidRPr="000A27B3" w:rsidRDefault="00981F92">
            <w:pPr>
              <w:spacing w:after="0"/>
              <w:jc w:val="both"/>
              <w:rPr>
                <w:rFonts w:ascii="Times New Roman" w:hAnsi="Times New Roman" w:cs="Times New Roman"/>
                <w:noProof/>
              </w:rPr>
            </w:pPr>
            <w:r>
              <w:rPr>
                <w:rFonts w:ascii="Times New Roman" w:hAnsi="Times New Roman"/>
                <w:noProof/>
              </w:rPr>
              <w:t>Deschiderea muzeelor nou-construite și renovate</w:t>
            </w:r>
          </w:p>
        </w:tc>
      </w:tr>
      <w:tr w:rsidR="00981F92" w:rsidRPr="000A27B3" w14:paraId="1B597B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E68131"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343</w:t>
            </w:r>
          </w:p>
        </w:tc>
        <w:tc>
          <w:tcPr>
            <w:tcW w:w="3544" w:type="dxa"/>
            <w:tcBorders>
              <w:top w:val="nil"/>
              <w:left w:val="nil"/>
              <w:bottom w:val="single" w:sz="4" w:space="0" w:color="auto"/>
              <w:right w:val="single" w:sz="4" w:space="0" w:color="auto"/>
            </w:tcBorders>
            <w:shd w:val="clear" w:color="auto" w:fill="C6EFCE"/>
            <w:noWrap/>
          </w:tcPr>
          <w:p w14:paraId="38F7054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C11.I4</w:t>
            </w:r>
            <w:r>
              <w:rPr>
                <w:rFonts w:ascii="Times New Roman" w:hAnsi="Times New Roman"/>
                <w:noProof/>
              </w:rPr>
              <w:br/>
              <w:t>Implementarea a 3 000 km de piste pentru biciclete</w:t>
            </w:r>
          </w:p>
        </w:tc>
        <w:tc>
          <w:tcPr>
            <w:tcW w:w="1230" w:type="dxa"/>
            <w:tcBorders>
              <w:top w:val="nil"/>
              <w:left w:val="nil"/>
              <w:bottom w:val="single" w:sz="4" w:space="0" w:color="auto"/>
              <w:right w:val="single" w:sz="4" w:space="0" w:color="auto"/>
            </w:tcBorders>
            <w:shd w:val="clear" w:color="auto" w:fill="C6EFCE"/>
            <w:noWrap/>
          </w:tcPr>
          <w:p w14:paraId="77922B6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D986B4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Kilometri de piste pentru biciclete construite și accesibile pentru ciclism</w:t>
            </w:r>
          </w:p>
        </w:tc>
      </w:tr>
      <w:tr w:rsidR="000A27B3" w:rsidRPr="000A27B3" w14:paraId="4D2B03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52E2157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400</w:t>
            </w:r>
          </w:p>
        </w:tc>
        <w:tc>
          <w:tcPr>
            <w:tcW w:w="3544" w:type="dxa"/>
            <w:tcBorders>
              <w:top w:val="nil"/>
              <w:left w:val="nil"/>
              <w:bottom w:val="single" w:sz="4" w:space="0" w:color="auto"/>
              <w:right w:val="single" w:sz="4" w:space="0" w:color="auto"/>
            </w:tcBorders>
            <w:shd w:val="clear" w:color="auto" w:fill="C6EFCE"/>
            <w:noWrap/>
          </w:tcPr>
          <w:p w14:paraId="465E4787"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C13.I4 </w:t>
            </w:r>
          </w:p>
          <w:p w14:paraId="29EAE2F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Crearea unei rețele de centre de îngrijire de zi și de reabilitare (care să nu aibă o componentă rezidențială) pentru persoanele în vârstă </w:t>
            </w:r>
          </w:p>
        </w:tc>
        <w:tc>
          <w:tcPr>
            <w:tcW w:w="1230" w:type="dxa"/>
            <w:tcBorders>
              <w:top w:val="nil"/>
              <w:left w:val="nil"/>
              <w:bottom w:val="single" w:sz="4" w:space="0" w:color="auto"/>
              <w:right w:val="single" w:sz="4" w:space="0" w:color="auto"/>
            </w:tcBorders>
            <w:shd w:val="clear" w:color="auto" w:fill="C6EFCE"/>
            <w:noWrap/>
          </w:tcPr>
          <w:p w14:paraId="33118D7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36D24D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Operaționalizarea centrelor de îngrijire de zi și de reabilitare pentru persoanele în vârstă</w:t>
            </w:r>
          </w:p>
        </w:tc>
      </w:tr>
      <w:tr w:rsidR="000A27B3" w:rsidRPr="000A27B3" w14:paraId="33259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062B825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137</w:t>
            </w:r>
          </w:p>
        </w:tc>
        <w:tc>
          <w:tcPr>
            <w:tcW w:w="3544" w:type="dxa"/>
            <w:tcBorders>
              <w:top w:val="nil"/>
              <w:left w:val="nil"/>
              <w:bottom w:val="single" w:sz="4" w:space="0" w:color="auto"/>
              <w:right w:val="single" w:sz="4" w:space="0" w:color="auto"/>
            </w:tcBorders>
            <w:shd w:val="clear" w:color="auto" w:fill="C6EFCE"/>
            <w:noWrap/>
          </w:tcPr>
          <w:p w14:paraId="4E33E86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C6.I4</w:t>
            </w:r>
          </w:p>
          <w:p w14:paraId="38674BA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Lanț industrial de producție și/sau asamblare și/sau reciclare a bateriilor, a celulelor și panourilor fotovoltaice (inclusiv echipamente auxiliare), producție de materii prime utilizate în sectorul industrial aferent și noi capacități de stocare a energiei electrice </w:t>
            </w:r>
          </w:p>
        </w:tc>
        <w:tc>
          <w:tcPr>
            <w:tcW w:w="1230" w:type="dxa"/>
            <w:tcBorders>
              <w:top w:val="nil"/>
              <w:left w:val="nil"/>
              <w:bottom w:val="single" w:sz="4" w:space="0" w:color="auto"/>
              <w:right w:val="single" w:sz="4" w:space="0" w:color="auto"/>
            </w:tcBorders>
            <w:shd w:val="clear" w:color="auto" w:fill="C6EFCE"/>
            <w:noWrap/>
          </w:tcPr>
          <w:p w14:paraId="6DCDFACA"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121B0F4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S-au dat în folosință instalații de producție și/sau de asamblare și/sau de reciclare a bateriilor</w:t>
            </w:r>
          </w:p>
        </w:tc>
      </w:tr>
      <w:tr w:rsidR="000A27B3" w:rsidRPr="000A27B3" w14:paraId="77A46C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43E5E5C9"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138</w:t>
            </w:r>
          </w:p>
        </w:tc>
        <w:tc>
          <w:tcPr>
            <w:tcW w:w="3544" w:type="dxa"/>
            <w:tcBorders>
              <w:top w:val="nil"/>
              <w:left w:val="nil"/>
              <w:bottom w:val="single" w:sz="4" w:space="0" w:color="auto"/>
              <w:right w:val="single" w:sz="4" w:space="0" w:color="auto"/>
            </w:tcBorders>
            <w:shd w:val="clear" w:color="auto" w:fill="C6EFCE"/>
            <w:noWrap/>
          </w:tcPr>
          <w:p w14:paraId="65AD1B0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C6.I4</w:t>
            </w:r>
          </w:p>
          <w:p w14:paraId="3CF28833"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Lanț industrial de producție și/sau asamblare și/sau reciclare a bateriilor, a celulelor și panourilor fotovoltaice (inclusiv echipamente auxiliare), producție de materii prime utilizate în sectorul industrial aferent și noi capacități de stocare a energiei electrice </w:t>
            </w:r>
          </w:p>
        </w:tc>
        <w:tc>
          <w:tcPr>
            <w:tcW w:w="1230" w:type="dxa"/>
            <w:tcBorders>
              <w:top w:val="nil"/>
              <w:left w:val="nil"/>
              <w:bottom w:val="single" w:sz="4" w:space="0" w:color="auto"/>
              <w:right w:val="single" w:sz="4" w:space="0" w:color="auto"/>
            </w:tcBorders>
            <w:shd w:val="clear" w:color="auto" w:fill="C6EFCE"/>
            <w:noWrap/>
          </w:tcPr>
          <w:p w14:paraId="3F5FF042"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5E90E4BF"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S-a dat în folosință capacitatea de producție a celulelor și panourilor fotovoltaice </w:t>
            </w:r>
          </w:p>
        </w:tc>
      </w:tr>
      <w:tr w:rsidR="000A27B3" w:rsidRPr="000A27B3" w14:paraId="3F9AC3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79D9863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139</w:t>
            </w:r>
          </w:p>
        </w:tc>
        <w:tc>
          <w:tcPr>
            <w:tcW w:w="3544" w:type="dxa"/>
            <w:tcBorders>
              <w:top w:val="nil"/>
              <w:left w:val="nil"/>
              <w:bottom w:val="single" w:sz="4" w:space="0" w:color="auto"/>
              <w:right w:val="single" w:sz="4" w:space="0" w:color="auto"/>
            </w:tcBorders>
            <w:shd w:val="clear" w:color="auto" w:fill="C6EFCE"/>
            <w:noWrap/>
          </w:tcPr>
          <w:p w14:paraId="28FE4026"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C6.I4</w:t>
            </w:r>
          </w:p>
          <w:p w14:paraId="3CEFC1C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 xml:space="preserve">Lanț industrial de producție și/sau asamblare și/sau reciclare a bateriilor, a celulelor și panourilor fotovoltaice (inclusiv echipamente auxiliare), producție de materii prime utilizate în sectorul industrial aferent și noi capacități de stocare a energiei electrice </w:t>
            </w:r>
          </w:p>
        </w:tc>
        <w:tc>
          <w:tcPr>
            <w:tcW w:w="1230" w:type="dxa"/>
            <w:tcBorders>
              <w:top w:val="nil"/>
              <w:left w:val="nil"/>
              <w:bottom w:val="single" w:sz="4" w:space="0" w:color="auto"/>
              <w:right w:val="single" w:sz="4" w:space="0" w:color="auto"/>
            </w:tcBorders>
            <w:shd w:val="clear" w:color="auto" w:fill="C6EFCE"/>
            <w:noWrap/>
          </w:tcPr>
          <w:p w14:paraId="54E8DBAF"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0440A8DC"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Capacitatea de stocare a energiei electrice este instalată</w:t>
            </w:r>
          </w:p>
        </w:tc>
      </w:tr>
      <w:tr w:rsidR="000A27B3" w:rsidRPr="000A27B3" w14:paraId="0BA0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2F39E6B3"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506</w:t>
            </w:r>
          </w:p>
        </w:tc>
        <w:tc>
          <w:tcPr>
            <w:tcW w:w="3544" w:type="dxa"/>
            <w:tcBorders>
              <w:top w:val="nil"/>
              <w:left w:val="nil"/>
              <w:bottom w:val="single" w:sz="4" w:space="0" w:color="auto"/>
              <w:right w:val="single" w:sz="4" w:space="0" w:color="auto"/>
            </w:tcBorders>
            <w:shd w:val="clear" w:color="auto" w:fill="C6EFCE"/>
            <w:noWrap/>
          </w:tcPr>
          <w:p w14:paraId="5B54291B"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C15.I17</w:t>
            </w:r>
          </w:p>
          <w:p w14:paraId="46B9E6F8" w14:textId="77777777" w:rsidR="00981F92" w:rsidRPr="000A27B3" w:rsidRDefault="00981F92">
            <w:pPr>
              <w:spacing w:after="0"/>
              <w:jc w:val="both"/>
              <w:rPr>
                <w:rFonts w:ascii="Times New Roman" w:hAnsi="Times New Roman" w:cs="Times New Roman"/>
                <w:noProof/>
              </w:rPr>
            </w:pPr>
            <w:r>
              <w:rPr>
                <w:rFonts w:ascii="Times New Roman" w:hAnsi="Times New Roman"/>
                <w:noProof/>
              </w:rPr>
              <w:t>Asigurarea infrastructurii universitare (cămine, cantine și spații de recreere)</w:t>
            </w:r>
          </w:p>
        </w:tc>
        <w:tc>
          <w:tcPr>
            <w:tcW w:w="1230" w:type="dxa"/>
            <w:tcBorders>
              <w:top w:val="nil"/>
              <w:left w:val="nil"/>
              <w:bottom w:val="single" w:sz="4" w:space="0" w:color="auto"/>
              <w:right w:val="single" w:sz="4" w:space="0" w:color="auto"/>
            </w:tcBorders>
            <w:shd w:val="clear" w:color="auto" w:fill="C6EFCE"/>
            <w:noWrap/>
          </w:tcPr>
          <w:p w14:paraId="64DEA31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4C2391E1"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Cel puțin 40 % din infrastructurile noi și modernizate sunt destinate studenților proveniți din medii defavorizate</w:t>
            </w:r>
          </w:p>
        </w:tc>
      </w:tr>
      <w:tr w:rsidR="000A27B3" w:rsidRPr="000A27B3" w14:paraId="32C09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tcPr>
          <w:p w14:paraId="1FC98BB4"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529</w:t>
            </w:r>
          </w:p>
        </w:tc>
        <w:tc>
          <w:tcPr>
            <w:tcW w:w="3544" w:type="dxa"/>
            <w:tcBorders>
              <w:top w:val="nil"/>
              <w:left w:val="nil"/>
              <w:bottom w:val="single" w:sz="4" w:space="0" w:color="auto"/>
              <w:right w:val="single" w:sz="4" w:space="0" w:color="auto"/>
            </w:tcBorders>
            <w:shd w:val="clear" w:color="auto" w:fill="C6EFCE"/>
            <w:noWrap/>
          </w:tcPr>
          <w:p w14:paraId="12014352" w14:textId="77777777" w:rsidR="00981F92" w:rsidRPr="000A27B3" w:rsidRDefault="00981F92">
            <w:pPr>
              <w:spacing w:after="0"/>
              <w:jc w:val="both"/>
              <w:rPr>
                <w:rFonts w:ascii="Times New Roman" w:hAnsi="Times New Roman" w:cs="Times New Roman"/>
                <w:noProof/>
              </w:rPr>
            </w:pPr>
            <w:r>
              <w:rPr>
                <w:rFonts w:ascii="Times New Roman" w:hAnsi="Times New Roman"/>
                <w:noProof/>
              </w:rPr>
              <w:t>C16. I7 Investiția 7. Schemă de granturi sub formă de bonuri valorice pentru îmbunătățirea eficienței energetice a gospodăriilor</w:t>
            </w:r>
          </w:p>
        </w:tc>
        <w:tc>
          <w:tcPr>
            <w:tcW w:w="1230" w:type="dxa"/>
            <w:tcBorders>
              <w:top w:val="nil"/>
              <w:left w:val="nil"/>
              <w:bottom w:val="single" w:sz="4" w:space="0" w:color="auto"/>
              <w:right w:val="single" w:sz="4" w:space="0" w:color="auto"/>
            </w:tcBorders>
            <w:shd w:val="clear" w:color="auto" w:fill="C6EFCE"/>
            <w:noWrap/>
          </w:tcPr>
          <w:p w14:paraId="55806CD7" w14:textId="77777777" w:rsidR="00981F92" w:rsidRPr="000A27B3" w:rsidRDefault="00981F92">
            <w:pPr>
              <w:spacing w:after="0"/>
              <w:jc w:val="center"/>
              <w:rPr>
                <w:rFonts w:ascii="Times New Roman" w:hAnsi="Times New Roman" w:cs="Times New Roman"/>
                <w:noProof/>
              </w:rPr>
            </w:pPr>
            <w:r>
              <w:rPr>
                <w:rFonts w:ascii="Times New Roman" w:hAnsi="Times New Roman"/>
                <w:noProof/>
              </w:rPr>
              <w:t>T</w:t>
            </w:r>
          </w:p>
        </w:tc>
        <w:tc>
          <w:tcPr>
            <w:tcW w:w="3447" w:type="dxa"/>
            <w:tcBorders>
              <w:top w:val="nil"/>
              <w:left w:val="nil"/>
              <w:bottom w:val="single" w:sz="4" w:space="0" w:color="auto"/>
              <w:right w:val="single" w:sz="4" w:space="0" w:color="auto"/>
            </w:tcBorders>
            <w:shd w:val="clear" w:color="auto" w:fill="C6EFCE"/>
            <w:noWrap/>
          </w:tcPr>
          <w:p w14:paraId="3ADC5BF5" w14:textId="77777777" w:rsidR="00981F92" w:rsidRPr="000A27B3" w:rsidRDefault="00981F92">
            <w:pPr>
              <w:spacing w:after="0"/>
              <w:jc w:val="both"/>
              <w:rPr>
                <w:rFonts w:ascii="Times New Roman" w:hAnsi="Times New Roman" w:cs="Times New Roman"/>
                <w:noProof/>
              </w:rPr>
            </w:pPr>
            <w:r>
              <w:rPr>
                <w:rFonts w:ascii="Times New Roman" w:hAnsi="Times New Roman"/>
                <w:noProof/>
              </w:rPr>
              <w:t>Renovarea energetică a clădirilor rezidențiale unifamiliale este finalizată</w:t>
            </w:r>
          </w:p>
        </w:tc>
      </w:tr>
      <w:tr w:rsidR="00981F92" w:rsidRPr="000A27B3" w14:paraId="298DA1C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tcPr>
          <w:p w14:paraId="2156C370" w14:textId="77777777" w:rsidR="00981F92" w:rsidRPr="000A27B3" w:rsidRDefault="00981F92">
            <w:pPr>
              <w:spacing w:after="0"/>
              <w:rPr>
                <w:rFonts w:ascii="Times New Roman" w:eastAsia="Times New Roman" w:hAnsi="Times New Roman" w:cs="Times New Roman"/>
                <w:noProof/>
                <w:lang w:val="en-IE" w:eastAsia="en-GB"/>
              </w:rPr>
            </w:pPr>
          </w:p>
        </w:tc>
        <w:tc>
          <w:tcPr>
            <w:tcW w:w="3544" w:type="dxa"/>
            <w:tcBorders>
              <w:top w:val="single" w:sz="4" w:space="0" w:color="auto"/>
              <w:left w:val="nil"/>
              <w:bottom w:val="single" w:sz="4" w:space="0" w:color="auto"/>
              <w:right w:val="single" w:sz="4" w:space="0" w:color="auto"/>
            </w:tcBorders>
            <w:shd w:val="clear" w:color="auto" w:fill="C6EFCE"/>
            <w:noWrap/>
          </w:tcPr>
          <w:p w14:paraId="1894673F" w14:textId="77777777" w:rsidR="00981F92" w:rsidRPr="000A27B3" w:rsidRDefault="00981F92">
            <w:pPr>
              <w:spacing w:after="0"/>
              <w:jc w:val="both"/>
              <w:rPr>
                <w:rFonts w:ascii="Times New Roman" w:eastAsia="Times New Roman" w:hAnsi="Times New Roman" w:cs="Times New Roman"/>
                <w:noProof/>
                <w:lang w:val="en-IE" w:eastAsia="en-GB"/>
              </w:rPr>
            </w:pPr>
          </w:p>
        </w:tc>
        <w:tc>
          <w:tcPr>
            <w:tcW w:w="1230" w:type="dxa"/>
            <w:tcBorders>
              <w:top w:val="single" w:sz="4" w:space="0" w:color="auto"/>
              <w:left w:val="nil"/>
              <w:bottom w:val="single" w:sz="4" w:space="0" w:color="auto"/>
              <w:right w:val="single" w:sz="4" w:space="0" w:color="auto"/>
            </w:tcBorders>
            <w:shd w:val="clear" w:color="auto" w:fill="C6EFCE"/>
            <w:noWrap/>
          </w:tcPr>
          <w:p w14:paraId="1049A146" w14:textId="77777777" w:rsidR="00981F92" w:rsidRPr="000A27B3" w:rsidRDefault="00981F92">
            <w:pPr>
              <w:spacing w:after="0"/>
              <w:jc w:val="center"/>
              <w:rPr>
                <w:rFonts w:ascii="Times New Roman" w:eastAsia="Times New Roman" w:hAnsi="Times New Roman" w:cs="Times New Roman"/>
                <w:noProof/>
              </w:rPr>
            </w:pPr>
            <w:r>
              <w:rPr>
                <w:rFonts w:ascii="Times New Roman" w:hAnsi="Times New Roman"/>
                <w:noProof/>
              </w:rPr>
              <w:t>Valoarea tranșei</w:t>
            </w:r>
          </w:p>
        </w:tc>
        <w:tc>
          <w:tcPr>
            <w:tcW w:w="3447" w:type="dxa"/>
            <w:tcBorders>
              <w:top w:val="single" w:sz="4" w:space="0" w:color="auto"/>
              <w:left w:val="nil"/>
              <w:bottom w:val="single" w:sz="4" w:space="0" w:color="auto"/>
              <w:right w:val="single" w:sz="4" w:space="0" w:color="auto"/>
            </w:tcBorders>
            <w:shd w:val="clear" w:color="auto" w:fill="C6EFCE"/>
            <w:noWrap/>
            <w:vAlign w:val="center"/>
          </w:tcPr>
          <w:p w14:paraId="73BCB58C" w14:textId="5D1C26C1" w:rsidR="00981F92" w:rsidRPr="000A27B3" w:rsidRDefault="00981F92">
            <w:pPr>
              <w:spacing w:after="0"/>
              <w:jc w:val="right"/>
              <w:rPr>
                <w:rFonts w:ascii="Times New Roman" w:eastAsia="Times New Roman" w:hAnsi="Times New Roman" w:cs="Times New Roman"/>
                <w:noProof/>
              </w:rPr>
            </w:pPr>
            <w:r>
              <w:rPr>
                <w:rFonts w:ascii="Times New Roman" w:hAnsi="Times New Roman"/>
                <w:noProof/>
              </w:rPr>
              <w:t>3 824 120 173 EUR </w:t>
            </w:r>
          </w:p>
        </w:tc>
      </w:tr>
    </w:tbl>
    <w:p w14:paraId="398390E1" w14:textId="77777777" w:rsidR="00981F92" w:rsidRPr="000A27B3" w:rsidRDefault="00981F92">
      <w:pPr>
        <w:pStyle w:val="Heading1"/>
        <w:rPr>
          <w:noProof/>
        </w:rPr>
        <w:sectPr w:rsidR="00981F92" w:rsidRPr="000A27B3">
          <w:headerReference w:type="even" r:id="rId373"/>
          <w:headerReference w:type="default" r:id="rId374"/>
          <w:footerReference w:type="even" r:id="rId375"/>
          <w:footerReference w:type="default" r:id="rId376"/>
          <w:headerReference w:type="first" r:id="rId377"/>
          <w:footerReference w:type="first" r:id="rId378"/>
          <w:pgSz w:w="11907" w:h="16839"/>
          <w:pgMar w:top="1134" w:right="1134" w:bottom="1134" w:left="1134" w:header="567" w:footer="567" w:gutter="0"/>
          <w:cols w:space="720"/>
          <w:docGrid w:linePitch="360"/>
        </w:sectPr>
      </w:pPr>
    </w:p>
    <w:p w14:paraId="0759D5D1" w14:textId="77777777" w:rsidR="00981F92" w:rsidRPr="000A27B3" w:rsidRDefault="00981F92">
      <w:pPr>
        <w:pStyle w:val="Heading1"/>
        <w:rPr>
          <w:noProof/>
        </w:rPr>
      </w:pPr>
      <w:r>
        <w:rPr>
          <w:noProof/>
        </w:rPr>
        <w:t xml:space="preserve">SECȚIUNEA 3: MĂSURI SUPLIMENTARE </w:t>
      </w:r>
    </w:p>
    <w:p w14:paraId="1C6C70BE" w14:textId="77777777" w:rsidR="00981F92" w:rsidRPr="000A27B3" w:rsidRDefault="00981F92">
      <w:pPr>
        <w:pStyle w:val="Heading2"/>
        <w:rPr>
          <w:b w:val="0"/>
          <w:noProof/>
        </w:rPr>
      </w:pPr>
      <w:r>
        <w:rPr>
          <w:noProof/>
        </w:rPr>
        <w:t>Măsuri pentru monitorizarea și punerea în aplicare a planului de redresare și reziliență</w:t>
      </w:r>
    </w:p>
    <w:p w14:paraId="072DFD3F" w14:textId="77777777" w:rsidR="00981F92" w:rsidRPr="000A27B3" w:rsidRDefault="00981F92">
      <w:pPr>
        <w:spacing w:before="120" w:after="120" w:line="240" w:lineRule="auto"/>
        <w:ind w:left="970"/>
        <w:jc w:val="both"/>
        <w:rPr>
          <w:rFonts w:ascii="Times New Roman" w:hAnsi="Times New Roman" w:cs="Times New Roman"/>
          <w:noProof/>
          <w:sz w:val="24"/>
          <w:szCs w:val="24"/>
        </w:rPr>
      </w:pPr>
      <w:r>
        <w:rPr>
          <w:rFonts w:ascii="Times New Roman" w:hAnsi="Times New Roman"/>
          <w:noProof/>
          <w:sz w:val="24"/>
        </w:rPr>
        <w:t xml:space="preserve">Monitorizarea și punerea în aplicare a Planului de redresare și reziliență al României se desfășoară astfel: </w:t>
      </w:r>
    </w:p>
    <w:p w14:paraId="0A5913A9" w14:textId="77777777" w:rsidR="00981F92" w:rsidRPr="000A27B3" w:rsidRDefault="00981F92" w:rsidP="00981F92">
      <w:pPr>
        <w:numPr>
          <w:ilvl w:val="0"/>
          <w:numId w:val="183"/>
        </w:numPr>
        <w:spacing w:before="120" w:after="120" w:line="240" w:lineRule="auto"/>
        <w:jc w:val="both"/>
        <w:rPr>
          <w:rFonts w:ascii="Times New Roman" w:hAnsi="Times New Roman" w:cs="Times New Roman"/>
          <w:noProof/>
          <w:sz w:val="24"/>
        </w:rPr>
      </w:pPr>
      <w:r>
        <w:rPr>
          <w:rFonts w:ascii="Times New Roman" w:hAnsi="Times New Roman"/>
          <w:noProof/>
          <w:sz w:val="24"/>
        </w:rPr>
        <w:t xml:space="preserve">La nivel central, coordonarea este asigurată de Comitetul interministerial de coordonare a planului, responsabil cu examinarea progreselor înregistrate în implementarea planului, în strânsă cooperare cu Ministerul Investițiilor și Proiectelor Europene (MIPE). MIPE a fost numit coordonator național pentru pregătirea, negocierea și aprobarea planului, fiind asistat de Ministerul Finanțelor (pentru sarcinile legate de semnarea acordului de împrumut și a acordului de finanțare), fiind instituită o structură specializată în acest sens. </w:t>
      </w:r>
    </w:p>
    <w:p w14:paraId="1653EF99" w14:textId="77777777" w:rsidR="00981F92" w:rsidRPr="000A27B3" w:rsidRDefault="00981F92" w:rsidP="00981F92">
      <w:pPr>
        <w:numPr>
          <w:ilvl w:val="0"/>
          <w:numId w:val="183"/>
        </w:numPr>
        <w:spacing w:before="120" w:after="120" w:line="240" w:lineRule="auto"/>
        <w:jc w:val="both"/>
        <w:rPr>
          <w:rFonts w:ascii="Times New Roman" w:hAnsi="Times New Roman" w:cs="Times New Roman"/>
          <w:noProof/>
          <w:sz w:val="24"/>
        </w:rPr>
      </w:pPr>
      <w:r>
        <w:rPr>
          <w:rFonts w:ascii="Times New Roman" w:hAnsi="Times New Roman"/>
          <w:noProof/>
          <w:sz w:val="24"/>
        </w:rPr>
        <w:t xml:space="preserve">MIPE este responsabil, de asemenea, de controlul și monitorizarea planului, inclusiv de monitorizarea îndeplinirii jaloanelor și a țintelor, precum și de asigurarea prevenirii, detectării și corectării neregulilor grave. În fine, același minister este responsabil, de asemenea, de întocmirea și semnarea cererilor de plată și a declarațiilor de gestiune. </w:t>
      </w:r>
    </w:p>
    <w:p w14:paraId="2D1B72B6" w14:textId="77777777" w:rsidR="00981F92" w:rsidRPr="000A27B3" w:rsidRDefault="00981F92" w:rsidP="00981F92">
      <w:pPr>
        <w:numPr>
          <w:ilvl w:val="0"/>
          <w:numId w:val="183"/>
        </w:numPr>
        <w:spacing w:before="120" w:after="120" w:line="240" w:lineRule="auto"/>
        <w:jc w:val="both"/>
        <w:rPr>
          <w:rFonts w:ascii="Times New Roman" w:hAnsi="Times New Roman" w:cs="Times New Roman"/>
          <w:noProof/>
          <w:sz w:val="24"/>
        </w:rPr>
      </w:pPr>
      <w:r>
        <w:rPr>
          <w:rFonts w:ascii="Times New Roman" w:hAnsi="Times New Roman"/>
          <w:noProof/>
          <w:sz w:val="24"/>
        </w:rPr>
        <w:t xml:space="preserve">Implementarea planului va fi asigurată de ministerele de resort și de structurile subordonate ale acestora, prin încheierea de acorduri de finanțare cu MIPE. </w:t>
      </w:r>
    </w:p>
    <w:p w14:paraId="110C7774" w14:textId="77777777" w:rsidR="00981F92" w:rsidRPr="000A27B3" w:rsidRDefault="00981F92">
      <w:pPr>
        <w:pStyle w:val="Heading2"/>
        <w:rPr>
          <w:b w:val="0"/>
          <w:noProof/>
        </w:rPr>
      </w:pPr>
      <w:r>
        <w:rPr>
          <w:noProof/>
        </w:rPr>
        <w:t>Măsuri pentru asigurarea accesului deplin al Comisiei la datele subiacente</w:t>
      </w:r>
    </w:p>
    <w:p w14:paraId="264F4D9F" w14:textId="77777777" w:rsidR="00981F92" w:rsidRPr="000A27B3" w:rsidRDefault="00981F92">
      <w:pPr>
        <w:spacing w:before="120" w:after="120" w:line="240" w:lineRule="auto"/>
        <w:ind w:left="970"/>
        <w:jc w:val="both"/>
        <w:rPr>
          <w:rFonts w:ascii="Times New Roman" w:hAnsi="Times New Roman" w:cs="Times New Roman"/>
          <w:noProof/>
          <w:sz w:val="24"/>
          <w:szCs w:val="24"/>
        </w:rPr>
      </w:pPr>
      <w:r>
        <w:rPr>
          <w:rFonts w:ascii="Times New Roman" w:hAnsi="Times New Roman"/>
          <w:noProof/>
          <w:sz w:val="24"/>
        </w:rPr>
        <w:t xml:space="preserve">Pentru a asigura accesul deplin al Comisiei la datele subiacente relevante, România instituie următoarele măsuri: </w:t>
      </w:r>
    </w:p>
    <w:p w14:paraId="4B61943E" w14:textId="77777777" w:rsidR="00981F92" w:rsidRPr="000A27B3" w:rsidRDefault="00981F92">
      <w:pPr>
        <w:spacing w:before="120" w:after="120" w:line="240" w:lineRule="auto"/>
        <w:ind w:left="970"/>
        <w:jc w:val="both"/>
        <w:rPr>
          <w:rFonts w:ascii="Times New Roman" w:hAnsi="Times New Roman" w:cs="Times New Roman"/>
          <w:noProof/>
          <w:sz w:val="24"/>
          <w:szCs w:val="24"/>
        </w:rPr>
      </w:pPr>
      <w:r>
        <w:rPr>
          <w:rFonts w:ascii="Times New Roman" w:hAnsi="Times New Roman"/>
          <w:noProof/>
          <w:sz w:val="24"/>
        </w:rPr>
        <w:t>MIPE, în calitate de coordonator național al planului, este responsabil de coordonarea, controlul și monitorizarea generală a planului. În special, acesta acționează ca organism de coordonare pentru monitorizarea progreselor înregistrate în ceea ce privește jaloanele și țintele, în timp ce auditurile sunt responsabilitatea autorității de audit. MIPE coordonează raportarea în ceea ce privește jaloanele și țintele, toți indicatorii relevanți, dar și informațiile financiare calitative și alte date, cum ar fi cele privind destinatarii finali. Înregistrarea datelor se efectuează în sistemul informatic al MIPE.</w:t>
      </w:r>
    </w:p>
    <w:p w14:paraId="7980F34C" w14:textId="77777777" w:rsidR="00981F92" w:rsidRPr="000A27B3" w:rsidRDefault="00981F92">
      <w:pPr>
        <w:spacing w:before="120" w:after="120" w:line="240" w:lineRule="auto"/>
        <w:ind w:left="970"/>
        <w:jc w:val="both"/>
        <w:rPr>
          <w:rFonts w:ascii="Times New Roman" w:hAnsi="Times New Roman" w:cs="Times New Roman"/>
          <w:i/>
          <w:noProof/>
          <w:sz w:val="24"/>
        </w:rPr>
      </w:pPr>
      <w:r>
        <w:rPr>
          <w:rFonts w:ascii="Times New Roman" w:hAnsi="Times New Roman"/>
          <w:noProof/>
          <w:sz w:val="24"/>
        </w:rPr>
        <w:t>În conformitate cu articolul 24 alineatul (2) din Regulamentul (UE) 2021/241, după atingerea jaloanelor și a țintelor relevante convenite în secțiunea 2.1 din prezenta anexă, România trebuie să prezinte Comisiei o cerere justificată în mod corespunzător de plată a contribuției financiare și, după caz, a împrumutului. România se asigură că, la cerere, Comisia are acces deplin la datele subiacente relevante care justifică în mod corespunzător cererea de plată, atât pentru evaluarea cererii de plată în conformitate cu articolul 24 alineatul (3) din Regulamentul (UE) 2021/241, cât și în scopuri de audit și control.</w:t>
      </w:r>
    </w:p>
    <w:p w14:paraId="3FE9F23F" w14:textId="77777777" w:rsidR="005F6DA2" w:rsidRPr="009F1DC7" w:rsidRDefault="005F6DA2">
      <w:pPr>
        <w:rPr>
          <w:noProof/>
        </w:rPr>
      </w:pPr>
    </w:p>
    <w:sectPr w:rsidR="005F6DA2" w:rsidRPr="009F1DC7">
      <w:headerReference w:type="even" r:id="rId379"/>
      <w:headerReference w:type="default" r:id="rId380"/>
      <w:footerReference w:type="even" r:id="rId381"/>
      <w:footerReference w:type="default" r:id="rId382"/>
      <w:headerReference w:type="first" r:id="rId383"/>
      <w:footerReference w:type="first" r:id="rId384"/>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66EF1" w14:textId="77777777" w:rsidR="00621923" w:rsidRDefault="00621923">
      <w:pPr>
        <w:spacing w:after="0" w:line="240" w:lineRule="auto"/>
      </w:pPr>
      <w:r>
        <w:separator/>
      </w:r>
    </w:p>
  </w:endnote>
  <w:endnote w:type="continuationSeparator" w:id="0">
    <w:p w14:paraId="4BF9BB90" w14:textId="77777777" w:rsidR="00621923" w:rsidRDefault="00621923">
      <w:pPr>
        <w:spacing w:after="0" w:line="240" w:lineRule="auto"/>
      </w:pPr>
      <w:r>
        <w:continuationSeparator/>
      </w:r>
    </w:p>
  </w:endnote>
  <w:endnote w:type="continuationNotice" w:id="1">
    <w:p w14:paraId="1D61DA79" w14:textId="77777777" w:rsidR="00621923" w:rsidRDefault="006219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quot;Calibri&quot;,sans-serif">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0A8E7" w14:textId="6AE37DAF" w:rsidR="009F1DC7" w:rsidRPr="005D01AD" w:rsidRDefault="009F1DC7" w:rsidP="005D01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F646" w14:textId="77777777" w:rsidR="007C595E" w:rsidRDefault="007C595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173" w14:textId="77777777" w:rsidR="00CC77A7" w:rsidRDefault="00CC77A7">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06218"/>
      <w:docPartObj>
        <w:docPartGallery w:val="Page Numbers (Bottom of Page)"/>
        <w:docPartUnique/>
      </w:docPartObj>
    </w:sdtPr>
    <w:sdtEndPr>
      <w:rPr>
        <w:noProof/>
      </w:rPr>
    </w:sdtEndPr>
    <w:sdtContent>
      <w:p w14:paraId="2A414739" w14:textId="4EC19538" w:rsidR="00566C39" w:rsidRDefault="00566C39">
        <w:pPr>
          <w:pStyle w:val="Footer"/>
          <w:jc w:val="center"/>
        </w:pPr>
        <w:r>
          <w:fldChar w:fldCharType="begin"/>
        </w:r>
        <w:r>
          <w:instrText xml:space="preserve"> PAGE   \* MERGEFORMAT </w:instrText>
        </w:r>
        <w:r>
          <w:fldChar w:fldCharType="separate"/>
        </w:r>
        <w:r>
          <w:t>2</w:t>
        </w:r>
        <w: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8CEC9" w14:textId="77777777" w:rsidR="00CC77A7" w:rsidRDefault="00CC77A7">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C691" w14:textId="77777777" w:rsidR="007873BE" w:rsidRDefault="007873B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780333"/>
      <w:docPartObj>
        <w:docPartGallery w:val="Page Numbers (Bottom of Page)"/>
        <w:docPartUnique/>
      </w:docPartObj>
    </w:sdtPr>
    <w:sdtEndPr>
      <w:rPr>
        <w:noProof/>
      </w:rPr>
    </w:sdtEndPr>
    <w:sdtContent>
      <w:p w14:paraId="5A7EDD10" w14:textId="6D954941" w:rsidR="00566C39" w:rsidRDefault="00566C39">
        <w:pPr>
          <w:pStyle w:val="Footer"/>
          <w:jc w:val="center"/>
        </w:pPr>
        <w:r>
          <w:fldChar w:fldCharType="begin"/>
        </w:r>
        <w:r>
          <w:instrText xml:space="preserve"> PAGE   \* MERGEFORMAT </w:instrText>
        </w:r>
        <w:r>
          <w:fldChar w:fldCharType="separate"/>
        </w:r>
        <w:r>
          <w:t>2</w:t>
        </w:r>
        <w:r>
          <w:fldChar w:fldCharType="end"/>
        </w:r>
      </w:p>
    </w:sdtContent>
  </w:sdt>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AF18" w14:textId="77777777" w:rsidR="007873BE" w:rsidRDefault="007873B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2CA2B" w14:textId="77777777" w:rsidR="007873BE" w:rsidRDefault="007873B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136983"/>
      <w:docPartObj>
        <w:docPartGallery w:val="Page Numbers (Bottom of Page)"/>
        <w:docPartUnique/>
      </w:docPartObj>
    </w:sdtPr>
    <w:sdtEndPr>
      <w:rPr>
        <w:noProof/>
      </w:rPr>
    </w:sdtEndPr>
    <w:sdtContent>
      <w:p w14:paraId="6D9449F3" w14:textId="46DE5C07" w:rsidR="00566C39" w:rsidRDefault="00566C39">
        <w:pPr>
          <w:pStyle w:val="Footer"/>
          <w:jc w:val="center"/>
        </w:pPr>
        <w:r>
          <w:fldChar w:fldCharType="begin"/>
        </w:r>
        <w:r>
          <w:instrText xml:space="preserve"> PAGE   \* MERGEFORMAT </w:instrText>
        </w:r>
        <w:r>
          <w:fldChar w:fldCharType="separate"/>
        </w:r>
        <w:r>
          <w:t>2</w:t>
        </w:r>
        <w:r>
          <w:fldChar w:fldCharType="end"/>
        </w:r>
      </w:p>
    </w:sdtContent>
  </w:sdt>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5AD8" w14:textId="77777777" w:rsidR="007873BE" w:rsidRDefault="007873B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3C90F" w14:textId="77777777" w:rsidR="007873BE" w:rsidRDefault="007873B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310977"/>
      <w:docPartObj>
        <w:docPartGallery w:val="Page Numbers (Bottom of Page)"/>
        <w:docPartUnique/>
      </w:docPartObj>
    </w:sdtPr>
    <w:sdtEndPr>
      <w:rPr>
        <w:noProof/>
      </w:rPr>
    </w:sdtEndPr>
    <w:sdtContent>
      <w:p w14:paraId="4E842DF5" w14:textId="6C7A9711" w:rsidR="007027BF" w:rsidRDefault="007027BF">
        <w:pPr>
          <w:pStyle w:val="Footer"/>
          <w:jc w:val="center"/>
        </w:pPr>
        <w:r>
          <w:fldChar w:fldCharType="begin"/>
        </w:r>
        <w:r>
          <w:instrText xml:space="preserve"> PAGE   \* MERGEFORMAT </w:instrText>
        </w:r>
        <w:r>
          <w:fldChar w:fldCharType="separate"/>
        </w:r>
        <w:r w:rsidR="005D01AD">
          <w:rPr>
            <w:noProof/>
          </w:rPr>
          <w:t>17</w:t>
        </w:r>
        <w: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71469"/>
      <w:docPartObj>
        <w:docPartGallery w:val="Page Numbers (Bottom of Page)"/>
        <w:docPartUnique/>
      </w:docPartObj>
    </w:sdtPr>
    <w:sdtEndPr>
      <w:rPr>
        <w:noProof/>
      </w:rPr>
    </w:sdtEndPr>
    <w:sdtContent>
      <w:p w14:paraId="547267D0" w14:textId="4A9141D9" w:rsidR="00566C39" w:rsidRDefault="00566C39">
        <w:pPr>
          <w:pStyle w:val="Footer"/>
          <w:jc w:val="center"/>
        </w:pPr>
        <w:r>
          <w:fldChar w:fldCharType="begin"/>
        </w:r>
        <w:r>
          <w:instrText xml:space="preserve"> PAGE   \* MERGEFORMAT </w:instrText>
        </w:r>
        <w:r>
          <w:fldChar w:fldCharType="separate"/>
        </w:r>
        <w:r>
          <w:t>2</w:t>
        </w:r>
        <w:r>
          <w:fldChar w:fldCharType="end"/>
        </w:r>
      </w:p>
    </w:sdtContent>
  </w:sdt>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6193" w14:textId="77777777" w:rsidR="007873BE" w:rsidRDefault="007873B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3A33D" w14:textId="77777777" w:rsidR="00CC77A7" w:rsidRDefault="00CC77A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268731"/>
      <w:docPartObj>
        <w:docPartGallery w:val="Page Numbers (Bottom of Page)"/>
        <w:docPartUnique/>
      </w:docPartObj>
    </w:sdtPr>
    <w:sdtEndPr>
      <w:rPr>
        <w:noProof/>
      </w:rPr>
    </w:sdtEndPr>
    <w:sdtContent>
      <w:p w14:paraId="12CF66FD" w14:textId="39C38672" w:rsidR="005B1269" w:rsidRDefault="005B1269">
        <w:pPr>
          <w:pStyle w:val="Footer"/>
          <w:jc w:val="center"/>
        </w:pPr>
        <w:r>
          <w:fldChar w:fldCharType="begin"/>
        </w:r>
        <w:r>
          <w:instrText xml:space="preserve"> PAGE   \* MERGEFORMAT </w:instrText>
        </w:r>
        <w:r>
          <w:fldChar w:fldCharType="separate"/>
        </w:r>
        <w:r>
          <w:t>2</w:t>
        </w:r>
        <w:r>
          <w:fldChar w:fldCharType="end"/>
        </w:r>
      </w:p>
    </w:sdtContent>
  </w:sdt>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4025" w14:textId="77777777" w:rsidR="00CC77A7" w:rsidRDefault="00CC77A7">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35FB6" w14:textId="77777777" w:rsidR="007873BE" w:rsidRDefault="007873B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E5C8E" w14:textId="77777777" w:rsidR="007873BE" w:rsidRDefault="007873BE">
    <w:pPr>
      <w:pStyle w:val="Footer"/>
      <w:jc w:val="center"/>
      <w:rPr>
        <w:rFonts w:ascii="Arial" w:hAnsi="Arial" w:cs="Arial"/>
        <w:b/>
        <w:szCs w:val="24"/>
      </w:rPr>
    </w:pPr>
    <w:r>
      <w:fldChar w:fldCharType="begin"/>
    </w:r>
    <w:r>
      <w:instrText xml:space="preserve"> PAGE  \* MERGEFORMAT </w:instrText>
    </w:r>
    <w:r>
      <w:fldChar w:fldCharType="separate"/>
    </w:r>
    <w:r>
      <w:t>393</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8008E" w14:textId="77777777" w:rsidR="007873BE" w:rsidRDefault="007873B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A4D9" w14:textId="77777777" w:rsidR="007873BE" w:rsidRDefault="007873B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4B45" w14:textId="77777777" w:rsidR="007873BE" w:rsidRDefault="007873BE">
    <w:pPr>
      <w:pStyle w:val="FooterLandscape"/>
      <w:jc w:val="center"/>
      <w:rPr>
        <w:rFonts w:ascii="Arial" w:hAnsi="Arial" w:cs="Arial"/>
        <w:b/>
        <w:szCs w:val="24"/>
      </w:rPr>
    </w:pPr>
    <w:r>
      <w:fldChar w:fldCharType="begin"/>
    </w:r>
    <w:r>
      <w:instrText xml:space="preserve"> PAGE  \* MERGEFORMAT </w:instrText>
    </w:r>
    <w:r>
      <w:fldChar w:fldCharType="separate"/>
    </w:r>
    <w:r>
      <w:t>414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9E253" w14:textId="77777777" w:rsidR="007C595E" w:rsidRDefault="007C595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830AD" w14:textId="77777777" w:rsidR="007873BE" w:rsidRDefault="007873BE">
    <w:pPr>
      <w:pStyle w:val="FooterLandscape"/>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32311" w14:textId="77777777" w:rsidR="00981B4A" w:rsidRDefault="00981B4A">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002387"/>
      <w:docPartObj>
        <w:docPartGallery w:val="Page Numbers (Bottom of Page)"/>
        <w:docPartUnique/>
      </w:docPartObj>
    </w:sdtPr>
    <w:sdtEndPr>
      <w:rPr>
        <w:noProof/>
      </w:rPr>
    </w:sdtEndPr>
    <w:sdtContent>
      <w:p w14:paraId="24480359" w14:textId="3D0FE834" w:rsidR="005B1269" w:rsidRDefault="005B1269">
        <w:pPr>
          <w:pStyle w:val="Footer"/>
          <w:jc w:val="center"/>
        </w:pPr>
        <w:r>
          <w:fldChar w:fldCharType="begin"/>
        </w:r>
        <w:r>
          <w:instrText xml:space="preserve"> PAGE   \* MERGEFORMAT </w:instrText>
        </w:r>
        <w:r>
          <w:fldChar w:fldCharType="separate"/>
        </w:r>
        <w:r>
          <w:t>2</w:t>
        </w:r>
        <w:r>
          <w:fldChar w:fldCharType="end"/>
        </w:r>
      </w:p>
    </w:sdtContent>
  </w:sdt>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37A7" w14:textId="77777777" w:rsidR="00981B4A" w:rsidRDefault="00981B4A">
    <w:pPr>
      <w:pBdr>
        <w:top w:val="nil"/>
        <w:left w:val="nil"/>
        <w:bottom w:val="nil"/>
        <w:right w:val="nil"/>
        <w:between w:val="nil"/>
      </w:pBdr>
      <w:tabs>
        <w:tab w:val="center" w:pos="7285"/>
        <w:tab w:val="center" w:pos="10913"/>
        <w:tab w:val="right" w:pos="15137"/>
      </w:tabs>
      <w:spacing w:before="360" w:after="0"/>
      <w:ind w:left="-567" w:right="-567"/>
      <w:rPr>
        <w:color w:val="000000"/>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6B4C" w14:textId="77777777" w:rsidR="00981B4A" w:rsidRDefault="00981B4A">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730490"/>
      <w:docPartObj>
        <w:docPartGallery w:val="Page Numbers (Bottom of Page)"/>
        <w:docPartUnique/>
      </w:docPartObj>
    </w:sdtPr>
    <w:sdtEndPr>
      <w:rPr>
        <w:noProof/>
      </w:rPr>
    </w:sdtEndPr>
    <w:sdtContent>
      <w:p w14:paraId="57A3FA13" w14:textId="519A00DE" w:rsidR="005B1269" w:rsidRDefault="005B1269">
        <w:pPr>
          <w:pStyle w:val="Footer"/>
          <w:jc w:val="center"/>
        </w:pPr>
        <w:r>
          <w:fldChar w:fldCharType="begin"/>
        </w:r>
        <w:r>
          <w:instrText xml:space="preserve"> PAGE   \* MERGEFORMAT </w:instrText>
        </w:r>
        <w:r>
          <w:fldChar w:fldCharType="separate"/>
        </w:r>
        <w:r>
          <w:t>2</w:t>
        </w:r>
        <w:r>
          <w:fldChar w:fldCharType="end"/>
        </w:r>
      </w:p>
    </w:sdtContent>
  </w:sdt>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DFBD" w14:textId="77777777" w:rsidR="00981B4A" w:rsidRDefault="00981B4A">
    <w:pPr>
      <w:pBdr>
        <w:top w:val="nil"/>
        <w:left w:val="nil"/>
        <w:bottom w:val="nil"/>
        <w:right w:val="nil"/>
        <w:between w:val="nil"/>
      </w:pBdr>
      <w:tabs>
        <w:tab w:val="center" w:pos="7285"/>
        <w:tab w:val="center" w:pos="10913"/>
        <w:tab w:val="right" w:pos="15137"/>
      </w:tabs>
      <w:spacing w:before="360" w:after="0"/>
      <w:ind w:left="-567" w:right="-567"/>
      <w:rPr>
        <w:color w:val="000000"/>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B483" w14:textId="77777777" w:rsidR="00151654" w:rsidRDefault="0015165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337363"/>
      <w:docPartObj>
        <w:docPartGallery w:val="Page Numbers (Bottom of Page)"/>
        <w:docPartUnique/>
      </w:docPartObj>
    </w:sdtPr>
    <w:sdtEndPr>
      <w:rPr>
        <w:noProof/>
      </w:rPr>
    </w:sdtEndPr>
    <w:sdtContent>
      <w:p w14:paraId="41740C36" w14:textId="6B452BB8" w:rsidR="00984CFB" w:rsidRDefault="00984CFB">
        <w:pPr>
          <w:pStyle w:val="Footer"/>
          <w:jc w:val="center"/>
        </w:pPr>
        <w:r>
          <w:fldChar w:fldCharType="begin"/>
        </w:r>
        <w:r>
          <w:instrText xml:space="preserve"> PAGE   \* MERGEFORMAT </w:instrText>
        </w:r>
        <w:r>
          <w:fldChar w:fldCharType="separate"/>
        </w:r>
        <w:r>
          <w:t>2</w:t>
        </w:r>
        <w:r>
          <w:fldChar w:fldCharType="end"/>
        </w:r>
      </w:p>
    </w:sdtContent>
  </w:sdt>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6A5B3" w14:textId="77777777" w:rsidR="00151654" w:rsidRDefault="0015165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F03B" w14:textId="77777777" w:rsidR="00647F09" w:rsidRDefault="00647F09">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1774B" w14:textId="77777777" w:rsidR="00151654" w:rsidRDefault="00151654">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954368"/>
      <w:docPartObj>
        <w:docPartGallery w:val="Page Numbers (Bottom of Page)"/>
        <w:docPartUnique/>
      </w:docPartObj>
    </w:sdtPr>
    <w:sdtEndPr>
      <w:rPr>
        <w:noProof/>
      </w:rPr>
    </w:sdtEndPr>
    <w:sdtContent>
      <w:p w14:paraId="055BBCB8" w14:textId="717E407F" w:rsidR="00984CFB" w:rsidRDefault="00984CFB">
        <w:pPr>
          <w:pStyle w:val="Footer"/>
          <w:jc w:val="center"/>
        </w:pPr>
        <w:r>
          <w:fldChar w:fldCharType="begin"/>
        </w:r>
        <w:r>
          <w:instrText xml:space="preserve"> PAGE   \* MERGEFORMAT </w:instrText>
        </w:r>
        <w:r>
          <w:fldChar w:fldCharType="separate"/>
        </w:r>
        <w:r>
          <w:t>2</w:t>
        </w:r>
        <w:r>
          <w:fldChar w:fldCharType="end"/>
        </w:r>
      </w:p>
    </w:sdtContent>
  </w:sdt>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ED3D" w14:textId="77777777" w:rsidR="00151654" w:rsidRDefault="00151654">
    <w:pPr>
      <w:pStyle w:val="FooterLandscape"/>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B2310" w14:textId="77777777" w:rsidR="00151654" w:rsidRDefault="00151654">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409733"/>
      <w:docPartObj>
        <w:docPartGallery w:val="Page Numbers (Bottom of Page)"/>
        <w:docPartUnique/>
      </w:docPartObj>
    </w:sdtPr>
    <w:sdtEndPr>
      <w:rPr>
        <w:noProof/>
      </w:rPr>
    </w:sdtEndPr>
    <w:sdtContent>
      <w:p w14:paraId="4EA8E547" w14:textId="5CEAA120" w:rsidR="00984CFB" w:rsidRDefault="00984CFB">
        <w:pPr>
          <w:pStyle w:val="Footer"/>
          <w:jc w:val="center"/>
        </w:pPr>
        <w:r>
          <w:fldChar w:fldCharType="begin"/>
        </w:r>
        <w:r>
          <w:instrText xml:space="preserve"> PAGE   \* MERGEFORMAT </w:instrText>
        </w:r>
        <w:r>
          <w:fldChar w:fldCharType="separate"/>
        </w:r>
        <w:r>
          <w:t>2</w:t>
        </w:r>
        <w:r>
          <w:fldChar w:fldCharType="end"/>
        </w:r>
      </w:p>
    </w:sdtContent>
  </w:sdt>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EFDAB" w14:textId="77777777" w:rsidR="00151654" w:rsidRDefault="0015165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1CDF" w14:textId="77777777" w:rsidR="00151654" w:rsidRDefault="00151654">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938693"/>
      <w:docPartObj>
        <w:docPartGallery w:val="Page Numbers (Bottom of Page)"/>
        <w:docPartUnique/>
      </w:docPartObj>
    </w:sdtPr>
    <w:sdtEndPr>
      <w:rPr>
        <w:noProof/>
      </w:rPr>
    </w:sdtEndPr>
    <w:sdtContent>
      <w:p w14:paraId="370DC44E" w14:textId="5B4B35E6" w:rsidR="00984CFB" w:rsidRDefault="00984CFB">
        <w:pPr>
          <w:pStyle w:val="Footer"/>
          <w:jc w:val="center"/>
        </w:pPr>
        <w:r>
          <w:fldChar w:fldCharType="begin"/>
        </w:r>
        <w:r>
          <w:instrText xml:space="preserve"> PAGE   \* MERGEFORMAT </w:instrText>
        </w:r>
        <w:r>
          <w:fldChar w:fldCharType="separate"/>
        </w:r>
        <w:r>
          <w:t>2</w:t>
        </w:r>
        <w:r>
          <w:fldChar w:fldCharType="end"/>
        </w:r>
      </w:p>
    </w:sdtContent>
  </w:sdt>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72B74" w14:textId="77777777" w:rsidR="00151654" w:rsidRDefault="00151654">
    <w:pPr>
      <w:pStyle w:val="FooterLandscape"/>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6040"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578309"/>
      <w:docPartObj>
        <w:docPartGallery w:val="Page Numbers (Bottom of Page)"/>
        <w:docPartUnique/>
      </w:docPartObj>
    </w:sdtPr>
    <w:sdtEndPr>
      <w:rPr>
        <w:noProof/>
      </w:rPr>
    </w:sdtEndPr>
    <w:sdtContent>
      <w:p w14:paraId="25DF3319" w14:textId="79F8A724" w:rsidR="007027BF" w:rsidRDefault="007027BF">
        <w:pPr>
          <w:pStyle w:val="Footer"/>
          <w:jc w:val="center"/>
        </w:pPr>
        <w:r>
          <w:fldChar w:fldCharType="begin"/>
        </w:r>
        <w:r>
          <w:instrText xml:space="preserve"> PAGE   \* MERGEFORMAT </w:instrText>
        </w:r>
        <w:r>
          <w:fldChar w:fldCharType="separate"/>
        </w:r>
        <w:r>
          <w:t>2</w:t>
        </w:r>
        <w: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13378"/>
      <w:docPartObj>
        <w:docPartGallery w:val="Page Numbers (Bottom of Page)"/>
        <w:docPartUnique/>
      </w:docPartObj>
    </w:sdtPr>
    <w:sdtEndPr>
      <w:rPr>
        <w:noProof/>
      </w:rPr>
    </w:sdtEndPr>
    <w:sdtContent>
      <w:p w14:paraId="55E247E8" w14:textId="7A9D434D" w:rsidR="00984CFB" w:rsidRDefault="00984CFB">
        <w:pPr>
          <w:pStyle w:val="Footer"/>
          <w:jc w:val="center"/>
        </w:pPr>
        <w:r>
          <w:fldChar w:fldCharType="begin"/>
        </w:r>
        <w:r>
          <w:instrText xml:space="preserve"> PAGE   \* MERGEFORMAT </w:instrText>
        </w:r>
        <w:r>
          <w:fldChar w:fldCharType="separate"/>
        </w:r>
        <w:r>
          <w:t>2</w:t>
        </w:r>
        <w:r>
          <w:fldChar w:fldCharType="end"/>
        </w:r>
      </w:p>
    </w:sdtContent>
  </w:sdt>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ED34D" w14:textId="77777777" w:rsidR="00CC77A7" w:rsidRDefault="00CC77A7">
    <w:pPr>
      <w:pStyle w:val="FooterLandscape"/>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F28E" w14:textId="77777777" w:rsidR="001C33F0" w:rsidRDefault="001C33F0">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098179"/>
      <w:docPartObj>
        <w:docPartGallery w:val="Page Numbers (Bottom of Page)"/>
        <w:docPartUnique/>
      </w:docPartObj>
    </w:sdtPr>
    <w:sdtEndPr>
      <w:rPr>
        <w:noProof/>
      </w:rPr>
    </w:sdtEndPr>
    <w:sdtContent>
      <w:p w14:paraId="58174F61" w14:textId="1950309C" w:rsidR="00984CFB" w:rsidRDefault="00984CFB">
        <w:pPr>
          <w:pStyle w:val="Footer"/>
          <w:jc w:val="center"/>
        </w:pPr>
        <w:r>
          <w:fldChar w:fldCharType="begin"/>
        </w:r>
        <w:r>
          <w:instrText xml:space="preserve"> PAGE   \* MERGEFORMAT </w:instrText>
        </w:r>
        <w:r>
          <w:fldChar w:fldCharType="separate"/>
        </w:r>
        <w:r>
          <w:t>2</w:t>
        </w:r>
        <w:r>
          <w:fldChar w:fldCharType="end"/>
        </w:r>
      </w:p>
    </w:sdtContent>
  </w:sdt>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88888" w14:textId="77777777" w:rsidR="001C33F0" w:rsidRDefault="001C33F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E074"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867993"/>
      <w:docPartObj>
        <w:docPartGallery w:val="Page Numbers (Bottom of Page)"/>
        <w:docPartUnique/>
      </w:docPartObj>
    </w:sdtPr>
    <w:sdtEndPr>
      <w:rPr>
        <w:noProof/>
      </w:rPr>
    </w:sdtEndPr>
    <w:sdtContent>
      <w:p w14:paraId="097BBE27" w14:textId="62654E8F" w:rsidR="00496438" w:rsidRDefault="00496438">
        <w:pPr>
          <w:pStyle w:val="Footer"/>
          <w:jc w:val="center"/>
        </w:pPr>
        <w:r>
          <w:fldChar w:fldCharType="begin"/>
        </w:r>
        <w:r>
          <w:instrText xml:space="preserve"> PAGE   \* MERGEFORMAT </w:instrText>
        </w:r>
        <w:r>
          <w:fldChar w:fldCharType="separate"/>
        </w:r>
        <w:r>
          <w:t>2</w:t>
        </w:r>
        <w:r>
          <w:fldChar w:fldCharType="end"/>
        </w:r>
      </w:p>
    </w:sdtContent>
  </w:sdt>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C6DE" w14:textId="77777777" w:rsidR="00CC77A7" w:rsidRDefault="00CC77A7">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BD2D" w14:textId="77777777" w:rsidR="002B1133" w:rsidRDefault="002B1133">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868994"/>
      <w:docPartObj>
        <w:docPartGallery w:val="Page Numbers (Bottom of Page)"/>
        <w:docPartUnique/>
      </w:docPartObj>
    </w:sdtPr>
    <w:sdtEndPr>
      <w:rPr>
        <w:noProof/>
      </w:rPr>
    </w:sdtEndPr>
    <w:sdtContent>
      <w:p w14:paraId="1218A1C9" w14:textId="13116A1A" w:rsidR="00496438" w:rsidRDefault="00496438">
        <w:pPr>
          <w:pStyle w:val="Footer"/>
          <w:jc w:val="center"/>
        </w:pPr>
        <w:r>
          <w:fldChar w:fldCharType="begin"/>
        </w:r>
        <w:r>
          <w:instrText xml:space="preserve"> PAGE   \* MERGEFORMAT </w:instrText>
        </w:r>
        <w:r>
          <w:fldChar w:fldCharType="separate"/>
        </w:r>
        <w:r>
          <w:t>2</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ACC2D" w14:textId="77777777" w:rsidR="00647F09" w:rsidRDefault="00647F09">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1504D" w14:textId="77777777" w:rsidR="002B1133" w:rsidRDefault="002B1133">
    <w:pPr>
      <w:pStyle w:val="FooterLandscape"/>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62A3E" w14:textId="77777777" w:rsidR="002B1133" w:rsidRDefault="002B1133">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083653"/>
      <w:docPartObj>
        <w:docPartGallery w:val="Page Numbers (Bottom of Page)"/>
        <w:docPartUnique/>
      </w:docPartObj>
    </w:sdtPr>
    <w:sdtEndPr>
      <w:rPr>
        <w:noProof/>
      </w:rPr>
    </w:sdtEndPr>
    <w:sdtContent>
      <w:p w14:paraId="43786E4D" w14:textId="748D90E2" w:rsidR="007541DA" w:rsidRDefault="007541DA">
        <w:pPr>
          <w:pStyle w:val="Footer"/>
          <w:jc w:val="center"/>
        </w:pPr>
        <w:r>
          <w:fldChar w:fldCharType="begin"/>
        </w:r>
        <w:r>
          <w:instrText xml:space="preserve"> PAGE   \* MERGEFORMAT </w:instrText>
        </w:r>
        <w:r>
          <w:fldChar w:fldCharType="separate"/>
        </w:r>
        <w:r>
          <w:t>2</w:t>
        </w:r>
        <w:r>
          <w:fldChar w:fldCharType="end"/>
        </w:r>
      </w:p>
    </w:sdtContent>
  </w:sdt>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A8D4B" w14:textId="77777777" w:rsidR="002B1133" w:rsidRDefault="002B1133">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6CD81" w14:textId="77777777" w:rsidR="002B1133" w:rsidRDefault="002B1133">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664046"/>
      <w:docPartObj>
        <w:docPartGallery w:val="Page Numbers (Bottom of Page)"/>
        <w:docPartUnique/>
      </w:docPartObj>
    </w:sdtPr>
    <w:sdtEndPr>
      <w:rPr>
        <w:noProof/>
      </w:rPr>
    </w:sdtEndPr>
    <w:sdtContent>
      <w:p w14:paraId="5358684F" w14:textId="532BDFD7" w:rsidR="007541DA" w:rsidRDefault="007541DA">
        <w:pPr>
          <w:pStyle w:val="Footer"/>
          <w:jc w:val="center"/>
        </w:pPr>
        <w:r>
          <w:fldChar w:fldCharType="begin"/>
        </w:r>
        <w:r>
          <w:instrText xml:space="preserve"> PAGE   \* MERGEFORMAT </w:instrText>
        </w:r>
        <w:r>
          <w:fldChar w:fldCharType="separate"/>
        </w:r>
        <w:r>
          <w:t>2</w:t>
        </w:r>
        <w:r>
          <w:fldChar w:fldCharType="end"/>
        </w:r>
      </w:p>
    </w:sdtContent>
  </w:sdt>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13824" w14:textId="77777777" w:rsidR="002B1133" w:rsidRDefault="002B1133">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BE465"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857762"/>
      <w:docPartObj>
        <w:docPartGallery w:val="Page Numbers (Bottom of Page)"/>
        <w:docPartUnique/>
      </w:docPartObj>
    </w:sdtPr>
    <w:sdtEndPr>
      <w:rPr>
        <w:noProof/>
      </w:rPr>
    </w:sdtEndPr>
    <w:sdtContent>
      <w:p w14:paraId="64E51881" w14:textId="78829BCC" w:rsidR="007541DA" w:rsidRDefault="007541DA">
        <w:pPr>
          <w:pStyle w:val="Footer"/>
          <w:jc w:val="center"/>
        </w:pPr>
        <w:r>
          <w:fldChar w:fldCharType="begin"/>
        </w:r>
        <w:r>
          <w:instrText xml:space="preserve"> PAGE   \* MERGEFORMAT </w:instrText>
        </w:r>
        <w:r>
          <w:fldChar w:fldCharType="separate"/>
        </w:r>
        <w:r>
          <w:t>2</w:t>
        </w:r>
        <w:r>
          <w:fldChar w:fldCharType="end"/>
        </w:r>
      </w:p>
    </w:sdtContent>
  </w:sdt>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46483" w14:textId="77777777" w:rsidR="00CC77A7" w:rsidRDefault="00CC77A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6F50" w14:textId="77777777" w:rsidR="00647F09" w:rsidRDefault="00647F09">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83E6"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413114"/>
      <w:docPartObj>
        <w:docPartGallery w:val="Page Numbers (Bottom of Page)"/>
        <w:docPartUnique/>
      </w:docPartObj>
    </w:sdtPr>
    <w:sdtEndPr>
      <w:rPr>
        <w:noProof/>
      </w:rPr>
    </w:sdtEndPr>
    <w:sdtContent>
      <w:p w14:paraId="0ED98E2E" w14:textId="72177B40" w:rsidR="007541DA" w:rsidRDefault="007541DA">
        <w:pPr>
          <w:pStyle w:val="Footer"/>
          <w:jc w:val="center"/>
        </w:pPr>
        <w:r>
          <w:fldChar w:fldCharType="begin"/>
        </w:r>
        <w:r>
          <w:instrText xml:space="preserve"> PAGE   \* MERGEFORMAT </w:instrText>
        </w:r>
        <w:r>
          <w:fldChar w:fldCharType="separate"/>
        </w:r>
        <w:r>
          <w:t>2</w:t>
        </w:r>
        <w:r>
          <w:fldChar w:fldCharType="end"/>
        </w:r>
      </w:p>
    </w:sdtContent>
  </w:sdt>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1E40" w14:textId="77777777" w:rsidR="00CC77A7" w:rsidRDefault="00CC77A7">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F98B6"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309171"/>
      <w:docPartObj>
        <w:docPartGallery w:val="Page Numbers (Bottom of Page)"/>
        <w:docPartUnique/>
      </w:docPartObj>
    </w:sdtPr>
    <w:sdtEndPr>
      <w:rPr>
        <w:noProof/>
      </w:rPr>
    </w:sdtEndPr>
    <w:sdtContent>
      <w:p w14:paraId="3E81570C" w14:textId="30F3F7B0" w:rsidR="008229AE" w:rsidRDefault="008229AE">
        <w:pPr>
          <w:pStyle w:val="Footer"/>
          <w:jc w:val="center"/>
        </w:pPr>
        <w:r>
          <w:fldChar w:fldCharType="begin"/>
        </w:r>
        <w:r>
          <w:instrText xml:space="preserve"> PAGE   \* MERGEFORMAT </w:instrText>
        </w:r>
        <w:r>
          <w:fldChar w:fldCharType="separate"/>
        </w:r>
        <w:r>
          <w:t>2</w:t>
        </w:r>
        <w:r>
          <w:fldChar w:fldCharType="end"/>
        </w:r>
      </w:p>
    </w:sdtContent>
  </w:sdt>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FDAE" w14:textId="77777777" w:rsidR="00CC77A7" w:rsidRDefault="00CC77A7">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964F"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452548"/>
      <w:docPartObj>
        <w:docPartGallery w:val="Page Numbers (Bottom of Page)"/>
        <w:docPartUnique/>
      </w:docPartObj>
    </w:sdtPr>
    <w:sdtEndPr>
      <w:rPr>
        <w:noProof/>
      </w:rPr>
    </w:sdtEndPr>
    <w:sdtContent>
      <w:p w14:paraId="3F54A358" w14:textId="038D57C2" w:rsidR="008229AE" w:rsidRDefault="008229AE">
        <w:pPr>
          <w:pStyle w:val="Footer"/>
          <w:jc w:val="center"/>
        </w:pPr>
        <w:r>
          <w:fldChar w:fldCharType="begin"/>
        </w:r>
        <w:r>
          <w:instrText xml:space="preserve"> PAGE   \* MERGEFORMAT </w:instrText>
        </w:r>
        <w:r>
          <w:fldChar w:fldCharType="separate"/>
        </w:r>
        <w:r>
          <w:t>2</w:t>
        </w:r>
        <w:r>
          <w:fldChar w:fldCharType="end"/>
        </w:r>
      </w:p>
    </w:sdtContent>
  </w:sdt>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D7AB" w14:textId="77777777" w:rsidR="00CC77A7" w:rsidRDefault="00CC77A7">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472F" w14:textId="77777777" w:rsidR="00981F92" w:rsidRPr="00623DB4" w:rsidRDefault="00981F9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382872"/>
      <w:docPartObj>
        <w:docPartGallery w:val="Page Numbers (Bottom of Page)"/>
        <w:docPartUnique/>
      </w:docPartObj>
    </w:sdtPr>
    <w:sdtEndPr>
      <w:rPr>
        <w:noProof/>
      </w:rPr>
    </w:sdtEndPr>
    <w:sdtContent>
      <w:p w14:paraId="64424C38" w14:textId="75458DEC" w:rsidR="00B1799B" w:rsidRDefault="00B1799B">
        <w:pPr>
          <w:pStyle w:val="Footer"/>
          <w:jc w:val="center"/>
        </w:pPr>
        <w:r>
          <w:fldChar w:fldCharType="begin"/>
        </w:r>
        <w:r>
          <w:instrText xml:space="preserve"> PAGE   \* MERGEFORMAT </w:instrText>
        </w:r>
        <w:r>
          <w:fldChar w:fldCharType="separate"/>
        </w:r>
        <w:r>
          <w:t>2</w:t>
        </w:r>
        <w: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981F92" w:rsidRPr="00D94637" w14:paraId="19BD1C23" w14:textId="77777777">
      <w:trPr>
        <w:jc w:val="center"/>
      </w:trPr>
      <w:tc>
        <w:tcPr>
          <w:tcW w:w="5000" w:type="pct"/>
          <w:gridSpan w:val="7"/>
          <w:shd w:val="clear" w:color="auto" w:fill="auto"/>
          <w:tcMar>
            <w:top w:w="57" w:type="dxa"/>
          </w:tcMar>
        </w:tcPr>
        <w:p w14:paraId="02412F38" w14:textId="77777777" w:rsidR="00981F92" w:rsidRPr="00D94637" w:rsidRDefault="00981F92">
          <w:pPr>
            <w:pStyle w:val="FooterText"/>
            <w:pBdr>
              <w:top w:val="single" w:sz="4" w:space="1" w:color="auto"/>
            </w:pBdr>
            <w:spacing w:before="200"/>
            <w:rPr>
              <w:sz w:val="2"/>
              <w:szCs w:val="2"/>
            </w:rPr>
          </w:pPr>
        </w:p>
      </w:tc>
    </w:tr>
    <w:tr w:rsidR="00981F92" w:rsidRPr="00B310DC" w14:paraId="0FE3C602" w14:textId="77777777">
      <w:trPr>
        <w:jc w:val="center"/>
      </w:trPr>
      <w:tc>
        <w:tcPr>
          <w:tcW w:w="2500" w:type="pct"/>
          <w:gridSpan w:val="2"/>
          <w:shd w:val="clear" w:color="auto" w:fill="auto"/>
          <w:tcMar>
            <w:top w:w="0" w:type="dxa"/>
          </w:tcMar>
        </w:tcPr>
        <w:p w14:paraId="06ED2551" w14:textId="77777777" w:rsidR="00981F92" w:rsidRPr="00AD7BF2" w:rsidRDefault="00981F92">
          <w:pPr>
            <w:pStyle w:val="FooterText"/>
          </w:pPr>
          <w:r>
            <w:t>12319/21 ADD 1</w:t>
          </w:r>
        </w:p>
      </w:tc>
      <w:tc>
        <w:tcPr>
          <w:tcW w:w="625" w:type="pct"/>
          <w:shd w:val="clear" w:color="auto" w:fill="auto"/>
          <w:tcMar>
            <w:top w:w="0" w:type="dxa"/>
          </w:tcMar>
        </w:tcPr>
        <w:p w14:paraId="52BD3A30" w14:textId="77777777" w:rsidR="00981F92" w:rsidRPr="00AD7BF2" w:rsidRDefault="00981F92">
          <w:pPr>
            <w:pStyle w:val="FooterText"/>
            <w:jc w:val="center"/>
          </w:pPr>
        </w:p>
      </w:tc>
      <w:tc>
        <w:tcPr>
          <w:tcW w:w="1286" w:type="pct"/>
          <w:gridSpan w:val="3"/>
          <w:shd w:val="clear" w:color="auto" w:fill="auto"/>
          <w:tcMar>
            <w:top w:w="0" w:type="dxa"/>
          </w:tcMar>
        </w:tcPr>
        <w:p w14:paraId="406E3242" w14:textId="77777777" w:rsidR="00981F92" w:rsidRPr="002511D8" w:rsidRDefault="00981F92">
          <w:pPr>
            <w:pStyle w:val="FooterText"/>
            <w:jc w:val="center"/>
          </w:pPr>
          <w:r>
            <w:t>JGR/sr</w:t>
          </w:r>
        </w:p>
      </w:tc>
      <w:tc>
        <w:tcPr>
          <w:tcW w:w="589" w:type="pct"/>
          <w:shd w:val="clear" w:color="auto" w:fill="auto"/>
          <w:tcMar>
            <w:top w:w="0" w:type="dxa"/>
          </w:tcMar>
        </w:tcPr>
        <w:p w14:paraId="5E8ADA41" w14:textId="77777777" w:rsidR="00981F92" w:rsidRPr="00B310DC" w:rsidRDefault="00981F92">
          <w:pPr>
            <w:pStyle w:val="FooterText"/>
            <w:jc w:val="right"/>
          </w:pPr>
          <w:r>
            <w:fldChar w:fldCharType="begin"/>
          </w:r>
          <w:r>
            <w:instrText xml:space="preserve"> PAGE  \* MERGEFORMAT </w:instrText>
          </w:r>
          <w:r>
            <w:fldChar w:fldCharType="separate"/>
          </w:r>
          <w:r>
            <w:t>128</w:t>
          </w:r>
          <w:r>
            <w:fldChar w:fldCharType="end"/>
          </w:r>
        </w:p>
      </w:tc>
    </w:tr>
    <w:tr w:rsidR="00981F92" w:rsidRPr="00D94637" w14:paraId="39A69FC6" w14:textId="77777777">
      <w:trPr>
        <w:jc w:val="center"/>
      </w:trPr>
      <w:tc>
        <w:tcPr>
          <w:tcW w:w="1774" w:type="pct"/>
          <w:shd w:val="clear" w:color="auto" w:fill="auto"/>
        </w:tcPr>
        <w:p w14:paraId="302FFEC3" w14:textId="77777777" w:rsidR="00981F92" w:rsidRPr="00AD7BF2" w:rsidRDefault="00981F92">
          <w:pPr>
            <w:pStyle w:val="FooterText"/>
            <w:spacing w:before="40"/>
          </w:pPr>
        </w:p>
      </w:tc>
      <w:tc>
        <w:tcPr>
          <w:tcW w:w="1455" w:type="pct"/>
          <w:gridSpan w:val="3"/>
          <w:shd w:val="clear" w:color="auto" w:fill="auto"/>
        </w:tcPr>
        <w:p w14:paraId="3C4D55FB" w14:textId="77777777" w:rsidR="00981F92" w:rsidRPr="00AD7BF2" w:rsidRDefault="00981F92">
          <w:pPr>
            <w:pStyle w:val="FooterText"/>
            <w:spacing w:before="40"/>
            <w:jc w:val="center"/>
          </w:pPr>
          <w:r>
            <w:t>ECOMP 1A</w:t>
          </w:r>
        </w:p>
      </w:tc>
      <w:tc>
        <w:tcPr>
          <w:tcW w:w="742" w:type="pct"/>
          <w:shd w:val="clear" w:color="auto" w:fill="auto"/>
        </w:tcPr>
        <w:p w14:paraId="7DE86189" w14:textId="77777777" w:rsidR="00981F92" w:rsidRPr="00D94637" w:rsidRDefault="00981F92">
          <w:pPr>
            <w:pStyle w:val="FooterText"/>
            <w:jc w:val="center"/>
            <w:rPr>
              <w:b/>
              <w:position w:val="-4"/>
              <w:sz w:val="36"/>
            </w:rPr>
          </w:pPr>
        </w:p>
      </w:tc>
      <w:tc>
        <w:tcPr>
          <w:tcW w:w="1029" w:type="pct"/>
          <w:gridSpan w:val="2"/>
          <w:shd w:val="clear" w:color="auto" w:fill="auto"/>
        </w:tcPr>
        <w:p w14:paraId="56F2BF6D" w14:textId="3EEA72A3" w:rsidR="00981F92" w:rsidRPr="000310C2" w:rsidRDefault="00B479F4">
          <w:pPr>
            <w:pStyle w:val="FooterText"/>
            <w:jc w:val="right"/>
            <w:rPr>
              <w:spacing w:val="-20"/>
              <w:sz w:val="16"/>
            </w:rPr>
          </w:pPr>
          <w:r>
            <w:rPr>
              <w:b/>
              <w:sz w:val="36"/>
            </w:rPr>
            <w:t>RO</w:t>
          </w:r>
        </w:p>
      </w:tc>
    </w:tr>
  </w:tbl>
  <w:p w14:paraId="484C4D57" w14:textId="77777777" w:rsidR="00981F92" w:rsidRPr="00623DB4" w:rsidRDefault="00981F92">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4C09" w14:textId="77777777" w:rsidR="00981F92" w:rsidRPr="00623DB4" w:rsidRDefault="00981F9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649D" w14:textId="77777777" w:rsidR="00981F92" w:rsidRPr="00623DB4" w:rsidRDefault="00981F9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B03DBC" w:rsidRPr="00D94637" w14:paraId="7F5EF848" w14:textId="77777777">
      <w:trPr>
        <w:jc w:val="center"/>
      </w:trPr>
      <w:tc>
        <w:tcPr>
          <w:tcW w:w="5000" w:type="pct"/>
          <w:gridSpan w:val="7"/>
          <w:shd w:val="clear" w:color="auto" w:fill="auto"/>
          <w:tcMar>
            <w:top w:w="57" w:type="dxa"/>
          </w:tcMar>
        </w:tcPr>
        <w:p w14:paraId="74F1E805" w14:textId="77777777" w:rsidR="00B03DBC" w:rsidRPr="00D94637" w:rsidRDefault="00B03DBC">
          <w:pPr>
            <w:pStyle w:val="FooterText"/>
            <w:pBdr>
              <w:top w:val="single" w:sz="4" w:space="1" w:color="auto"/>
            </w:pBdr>
            <w:spacing w:before="200"/>
            <w:rPr>
              <w:sz w:val="2"/>
              <w:szCs w:val="2"/>
            </w:rPr>
          </w:pPr>
        </w:p>
      </w:tc>
    </w:tr>
    <w:tr w:rsidR="00B03DBC" w:rsidRPr="00B310DC" w14:paraId="5EF0BCBE" w14:textId="77777777">
      <w:trPr>
        <w:jc w:val="center"/>
      </w:trPr>
      <w:tc>
        <w:tcPr>
          <w:tcW w:w="2500" w:type="pct"/>
          <w:gridSpan w:val="2"/>
          <w:shd w:val="clear" w:color="auto" w:fill="auto"/>
          <w:tcMar>
            <w:top w:w="0" w:type="dxa"/>
          </w:tcMar>
        </w:tcPr>
        <w:p w14:paraId="7967D4B8" w14:textId="77777777" w:rsidR="00B03DBC" w:rsidRPr="00AD7BF2" w:rsidRDefault="00B03DBC">
          <w:pPr>
            <w:pStyle w:val="FooterText"/>
          </w:pPr>
          <w:r>
            <w:t>12319/21 ADD 1</w:t>
          </w:r>
        </w:p>
      </w:tc>
      <w:tc>
        <w:tcPr>
          <w:tcW w:w="625" w:type="pct"/>
          <w:shd w:val="clear" w:color="auto" w:fill="auto"/>
          <w:tcMar>
            <w:top w:w="0" w:type="dxa"/>
          </w:tcMar>
        </w:tcPr>
        <w:p w14:paraId="1F588CB5" w14:textId="77777777" w:rsidR="00B03DBC" w:rsidRPr="00AD7BF2" w:rsidRDefault="00B03DBC">
          <w:pPr>
            <w:pStyle w:val="FooterText"/>
            <w:jc w:val="center"/>
          </w:pPr>
        </w:p>
      </w:tc>
      <w:tc>
        <w:tcPr>
          <w:tcW w:w="1286" w:type="pct"/>
          <w:gridSpan w:val="3"/>
          <w:shd w:val="clear" w:color="auto" w:fill="auto"/>
          <w:tcMar>
            <w:top w:w="0" w:type="dxa"/>
          </w:tcMar>
        </w:tcPr>
        <w:p w14:paraId="231ACAF5" w14:textId="77777777" w:rsidR="00B03DBC" w:rsidRPr="002511D8" w:rsidRDefault="00B03DBC">
          <w:pPr>
            <w:pStyle w:val="FooterText"/>
            <w:jc w:val="center"/>
          </w:pPr>
          <w:r>
            <w:t>JGR/sr</w:t>
          </w:r>
        </w:p>
      </w:tc>
      <w:tc>
        <w:tcPr>
          <w:tcW w:w="589" w:type="pct"/>
          <w:shd w:val="clear" w:color="auto" w:fill="auto"/>
          <w:tcMar>
            <w:top w:w="0" w:type="dxa"/>
          </w:tcMar>
        </w:tcPr>
        <w:p w14:paraId="55E8CC41" w14:textId="77777777" w:rsidR="00B03DBC" w:rsidRPr="00B310DC" w:rsidRDefault="00B03DBC">
          <w:pPr>
            <w:pStyle w:val="FooterText"/>
            <w:jc w:val="right"/>
          </w:pPr>
          <w:r>
            <w:fldChar w:fldCharType="begin"/>
          </w:r>
          <w:r>
            <w:instrText xml:space="preserve"> PAGE  \* MERGEFORMAT </w:instrText>
          </w:r>
          <w:r>
            <w:fldChar w:fldCharType="separate"/>
          </w:r>
          <w:r>
            <w:t>128</w:t>
          </w:r>
          <w:r>
            <w:fldChar w:fldCharType="end"/>
          </w:r>
        </w:p>
      </w:tc>
    </w:tr>
    <w:tr w:rsidR="00B03DBC" w:rsidRPr="00D94637" w14:paraId="045BAFCC" w14:textId="77777777">
      <w:trPr>
        <w:jc w:val="center"/>
      </w:trPr>
      <w:tc>
        <w:tcPr>
          <w:tcW w:w="1774" w:type="pct"/>
          <w:shd w:val="clear" w:color="auto" w:fill="auto"/>
        </w:tcPr>
        <w:p w14:paraId="5485AAC6" w14:textId="77777777" w:rsidR="00B03DBC" w:rsidRPr="00AD7BF2" w:rsidRDefault="00B03DBC">
          <w:pPr>
            <w:pStyle w:val="FooterText"/>
            <w:spacing w:before="40"/>
          </w:pPr>
        </w:p>
      </w:tc>
      <w:tc>
        <w:tcPr>
          <w:tcW w:w="1455" w:type="pct"/>
          <w:gridSpan w:val="3"/>
          <w:shd w:val="clear" w:color="auto" w:fill="auto"/>
        </w:tcPr>
        <w:p w14:paraId="26F56165" w14:textId="77777777" w:rsidR="00B03DBC" w:rsidRPr="00AD7BF2" w:rsidRDefault="00B03DBC">
          <w:pPr>
            <w:pStyle w:val="FooterText"/>
            <w:spacing w:before="40"/>
            <w:jc w:val="center"/>
          </w:pPr>
          <w:r>
            <w:t>ECOMP 1A</w:t>
          </w:r>
        </w:p>
      </w:tc>
      <w:tc>
        <w:tcPr>
          <w:tcW w:w="742" w:type="pct"/>
          <w:shd w:val="clear" w:color="auto" w:fill="auto"/>
        </w:tcPr>
        <w:p w14:paraId="2EA63603" w14:textId="77777777" w:rsidR="00B03DBC" w:rsidRPr="00D94637" w:rsidRDefault="00B03DBC">
          <w:pPr>
            <w:pStyle w:val="FooterText"/>
            <w:jc w:val="center"/>
            <w:rPr>
              <w:b/>
              <w:position w:val="-4"/>
              <w:sz w:val="36"/>
            </w:rPr>
          </w:pPr>
        </w:p>
      </w:tc>
      <w:tc>
        <w:tcPr>
          <w:tcW w:w="1029" w:type="pct"/>
          <w:gridSpan w:val="2"/>
          <w:shd w:val="clear" w:color="auto" w:fill="auto"/>
        </w:tcPr>
        <w:p w14:paraId="3972CE28" w14:textId="59608197" w:rsidR="00B03DBC" w:rsidRPr="000310C2" w:rsidRDefault="00B479F4">
          <w:pPr>
            <w:pStyle w:val="FooterText"/>
            <w:jc w:val="right"/>
            <w:rPr>
              <w:spacing w:val="-20"/>
              <w:sz w:val="16"/>
            </w:rPr>
          </w:pPr>
          <w:r>
            <w:rPr>
              <w:b/>
              <w:sz w:val="36"/>
            </w:rPr>
            <w:t>RO</w:t>
          </w:r>
        </w:p>
      </w:tc>
    </w:tr>
  </w:tbl>
  <w:p w14:paraId="4C73E1BA" w14:textId="77777777" w:rsidR="00B03DBC" w:rsidRPr="00623DB4" w:rsidRDefault="00B03DBC">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1A85" w14:textId="77777777" w:rsidR="00981F92" w:rsidRPr="00623DB4" w:rsidRDefault="00981F9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986D9" w14:textId="77777777" w:rsidR="00981F92" w:rsidRPr="00623DB4" w:rsidRDefault="00981F9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B03DBC" w:rsidRPr="00D94637" w14:paraId="550085DF" w14:textId="77777777">
      <w:trPr>
        <w:jc w:val="center"/>
      </w:trPr>
      <w:tc>
        <w:tcPr>
          <w:tcW w:w="5000" w:type="pct"/>
          <w:gridSpan w:val="7"/>
          <w:shd w:val="clear" w:color="auto" w:fill="auto"/>
          <w:tcMar>
            <w:top w:w="57" w:type="dxa"/>
          </w:tcMar>
        </w:tcPr>
        <w:p w14:paraId="62E3B76C" w14:textId="77777777" w:rsidR="00B03DBC" w:rsidRPr="00D94637" w:rsidRDefault="00B03DBC">
          <w:pPr>
            <w:pStyle w:val="FooterText"/>
            <w:pBdr>
              <w:top w:val="single" w:sz="4" w:space="1" w:color="auto"/>
            </w:pBdr>
            <w:spacing w:before="200"/>
            <w:rPr>
              <w:sz w:val="2"/>
              <w:szCs w:val="2"/>
            </w:rPr>
          </w:pPr>
        </w:p>
      </w:tc>
    </w:tr>
    <w:tr w:rsidR="00B03DBC" w:rsidRPr="00B310DC" w14:paraId="5154746C" w14:textId="77777777">
      <w:trPr>
        <w:jc w:val="center"/>
      </w:trPr>
      <w:tc>
        <w:tcPr>
          <w:tcW w:w="2500" w:type="pct"/>
          <w:gridSpan w:val="2"/>
          <w:shd w:val="clear" w:color="auto" w:fill="auto"/>
          <w:tcMar>
            <w:top w:w="0" w:type="dxa"/>
          </w:tcMar>
        </w:tcPr>
        <w:p w14:paraId="101C9B79" w14:textId="77777777" w:rsidR="00B03DBC" w:rsidRPr="00AD7BF2" w:rsidRDefault="00B03DBC">
          <w:pPr>
            <w:pStyle w:val="FooterText"/>
          </w:pPr>
          <w:r>
            <w:t>12319/21 ADD 1</w:t>
          </w:r>
        </w:p>
      </w:tc>
      <w:tc>
        <w:tcPr>
          <w:tcW w:w="625" w:type="pct"/>
          <w:shd w:val="clear" w:color="auto" w:fill="auto"/>
          <w:tcMar>
            <w:top w:w="0" w:type="dxa"/>
          </w:tcMar>
        </w:tcPr>
        <w:p w14:paraId="3485342B" w14:textId="77777777" w:rsidR="00B03DBC" w:rsidRPr="00AD7BF2" w:rsidRDefault="00B03DBC">
          <w:pPr>
            <w:pStyle w:val="FooterText"/>
            <w:jc w:val="center"/>
          </w:pPr>
        </w:p>
      </w:tc>
      <w:tc>
        <w:tcPr>
          <w:tcW w:w="1286" w:type="pct"/>
          <w:gridSpan w:val="3"/>
          <w:shd w:val="clear" w:color="auto" w:fill="auto"/>
          <w:tcMar>
            <w:top w:w="0" w:type="dxa"/>
          </w:tcMar>
        </w:tcPr>
        <w:p w14:paraId="752F2CD6" w14:textId="77777777" w:rsidR="00B03DBC" w:rsidRPr="002511D8" w:rsidRDefault="00B03DBC">
          <w:pPr>
            <w:pStyle w:val="FooterText"/>
            <w:jc w:val="center"/>
          </w:pPr>
          <w:r>
            <w:t>JGR/sr</w:t>
          </w:r>
        </w:p>
      </w:tc>
      <w:tc>
        <w:tcPr>
          <w:tcW w:w="589" w:type="pct"/>
          <w:shd w:val="clear" w:color="auto" w:fill="auto"/>
          <w:tcMar>
            <w:top w:w="0" w:type="dxa"/>
          </w:tcMar>
        </w:tcPr>
        <w:p w14:paraId="2DD7F811" w14:textId="77777777" w:rsidR="00B03DBC" w:rsidRPr="00B310DC" w:rsidRDefault="00B03DBC">
          <w:pPr>
            <w:pStyle w:val="FooterText"/>
            <w:jc w:val="right"/>
          </w:pPr>
          <w:r>
            <w:fldChar w:fldCharType="begin"/>
          </w:r>
          <w:r>
            <w:instrText xml:space="preserve"> PAGE  \* MERGEFORMAT </w:instrText>
          </w:r>
          <w:r>
            <w:fldChar w:fldCharType="separate"/>
          </w:r>
          <w:r>
            <w:t>128</w:t>
          </w:r>
          <w:r>
            <w:fldChar w:fldCharType="end"/>
          </w:r>
        </w:p>
      </w:tc>
    </w:tr>
    <w:tr w:rsidR="00B03DBC" w:rsidRPr="00D94637" w14:paraId="2CB61AAF" w14:textId="77777777">
      <w:trPr>
        <w:jc w:val="center"/>
      </w:trPr>
      <w:tc>
        <w:tcPr>
          <w:tcW w:w="1774" w:type="pct"/>
          <w:shd w:val="clear" w:color="auto" w:fill="auto"/>
        </w:tcPr>
        <w:p w14:paraId="300341AE" w14:textId="77777777" w:rsidR="00B03DBC" w:rsidRPr="00AD7BF2" w:rsidRDefault="00B03DBC">
          <w:pPr>
            <w:pStyle w:val="FooterText"/>
            <w:spacing w:before="40"/>
          </w:pPr>
        </w:p>
      </w:tc>
      <w:tc>
        <w:tcPr>
          <w:tcW w:w="1455" w:type="pct"/>
          <w:gridSpan w:val="3"/>
          <w:shd w:val="clear" w:color="auto" w:fill="auto"/>
        </w:tcPr>
        <w:p w14:paraId="07FB8003" w14:textId="77777777" w:rsidR="00B03DBC" w:rsidRPr="00AD7BF2" w:rsidRDefault="00B03DBC">
          <w:pPr>
            <w:pStyle w:val="FooterText"/>
            <w:spacing w:before="40"/>
            <w:jc w:val="center"/>
          </w:pPr>
          <w:r>
            <w:t>ECOMP 1A</w:t>
          </w:r>
        </w:p>
      </w:tc>
      <w:tc>
        <w:tcPr>
          <w:tcW w:w="742" w:type="pct"/>
          <w:shd w:val="clear" w:color="auto" w:fill="auto"/>
        </w:tcPr>
        <w:p w14:paraId="566AB7B9" w14:textId="77777777" w:rsidR="00B03DBC" w:rsidRPr="00D94637" w:rsidRDefault="00B03DBC">
          <w:pPr>
            <w:pStyle w:val="FooterText"/>
            <w:jc w:val="center"/>
            <w:rPr>
              <w:b/>
              <w:position w:val="-4"/>
              <w:sz w:val="36"/>
            </w:rPr>
          </w:pPr>
        </w:p>
      </w:tc>
      <w:tc>
        <w:tcPr>
          <w:tcW w:w="1029" w:type="pct"/>
          <w:gridSpan w:val="2"/>
          <w:shd w:val="clear" w:color="auto" w:fill="auto"/>
        </w:tcPr>
        <w:p w14:paraId="57171CBB" w14:textId="67151445" w:rsidR="00B03DBC" w:rsidRPr="000310C2" w:rsidRDefault="00B479F4">
          <w:pPr>
            <w:pStyle w:val="FooterText"/>
            <w:jc w:val="right"/>
            <w:rPr>
              <w:spacing w:val="-20"/>
              <w:sz w:val="16"/>
            </w:rPr>
          </w:pPr>
          <w:r>
            <w:rPr>
              <w:b/>
              <w:sz w:val="36"/>
            </w:rPr>
            <w:t>RO</w:t>
          </w:r>
        </w:p>
      </w:tc>
    </w:tr>
  </w:tbl>
  <w:p w14:paraId="612A82DD" w14:textId="77777777" w:rsidR="00B03DBC" w:rsidRPr="00623DB4" w:rsidRDefault="00B03DBC">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A5B2E" w14:textId="77777777" w:rsidR="00981F92" w:rsidRPr="00623DB4" w:rsidRDefault="00981F9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EB77" w14:textId="77777777" w:rsidR="00981F92" w:rsidRPr="00623DB4" w:rsidRDefault="00981F9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B03DBC" w:rsidRPr="00D94637" w14:paraId="5BCC686F" w14:textId="77777777">
      <w:trPr>
        <w:jc w:val="center"/>
      </w:trPr>
      <w:tc>
        <w:tcPr>
          <w:tcW w:w="5000" w:type="pct"/>
          <w:gridSpan w:val="7"/>
          <w:shd w:val="clear" w:color="auto" w:fill="auto"/>
          <w:tcMar>
            <w:top w:w="57" w:type="dxa"/>
          </w:tcMar>
        </w:tcPr>
        <w:p w14:paraId="77FA639D" w14:textId="77777777" w:rsidR="00B03DBC" w:rsidRPr="00D94637" w:rsidRDefault="00B03DBC">
          <w:pPr>
            <w:pStyle w:val="FooterText"/>
            <w:pBdr>
              <w:top w:val="single" w:sz="4" w:space="1" w:color="auto"/>
            </w:pBdr>
            <w:spacing w:before="200"/>
            <w:rPr>
              <w:sz w:val="2"/>
              <w:szCs w:val="2"/>
            </w:rPr>
          </w:pPr>
        </w:p>
      </w:tc>
    </w:tr>
    <w:tr w:rsidR="00B03DBC" w:rsidRPr="00B310DC" w14:paraId="049991B5" w14:textId="77777777">
      <w:trPr>
        <w:jc w:val="center"/>
      </w:trPr>
      <w:tc>
        <w:tcPr>
          <w:tcW w:w="2500" w:type="pct"/>
          <w:gridSpan w:val="2"/>
          <w:shd w:val="clear" w:color="auto" w:fill="auto"/>
          <w:tcMar>
            <w:top w:w="0" w:type="dxa"/>
          </w:tcMar>
        </w:tcPr>
        <w:p w14:paraId="4BCF4177" w14:textId="77777777" w:rsidR="00B03DBC" w:rsidRPr="00AD7BF2" w:rsidRDefault="00B03DBC">
          <w:pPr>
            <w:pStyle w:val="FooterText"/>
          </w:pPr>
          <w:r>
            <w:t>12319/21 ADD 1</w:t>
          </w:r>
        </w:p>
      </w:tc>
      <w:tc>
        <w:tcPr>
          <w:tcW w:w="625" w:type="pct"/>
          <w:shd w:val="clear" w:color="auto" w:fill="auto"/>
          <w:tcMar>
            <w:top w:w="0" w:type="dxa"/>
          </w:tcMar>
        </w:tcPr>
        <w:p w14:paraId="690F5595" w14:textId="77777777" w:rsidR="00B03DBC" w:rsidRPr="00AD7BF2" w:rsidRDefault="00B03DBC">
          <w:pPr>
            <w:pStyle w:val="FooterText"/>
            <w:jc w:val="center"/>
          </w:pPr>
        </w:p>
      </w:tc>
      <w:tc>
        <w:tcPr>
          <w:tcW w:w="1286" w:type="pct"/>
          <w:gridSpan w:val="3"/>
          <w:shd w:val="clear" w:color="auto" w:fill="auto"/>
          <w:tcMar>
            <w:top w:w="0" w:type="dxa"/>
          </w:tcMar>
        </w:tcPr>
        <w:p w14:paraId="0C532FCA" w14:textId="77777777" w:rsidR="00B03DBC" w:rsidRPr="002511D8" w:rsidRDefault="00B03DBC">
          <w:pPr>
            <w:pStyle w:val="FooterText"/>
            <w:jc w:val="center"/>
          </w:pPr>
          <w:r>
            <w:t>JGR/sr</w:t>
          </w:r>
        </w:p>
      </w:tc>
      <w:tc>
        <w:tcPr>
          <w:tcW w:w="589" w:type="pct"/>
          <w:shd w:val="clear" w:color="auto" w:fill="auto"/>
          <w:tcMar>
            <w:top w:w="0" w:type="dxa"/>
          </w:tcMar>
        </w:tcPr>
        <w:p w14:paraId="6E5D191E" w14:textId="77777777" w:rsidR="00B03DBC" w:rsidRPr="00B310DC" w:rsidRDefault="00B03DBC">
          <w:pPr>
            <w:pStyle w:val="FooterText"/>
            <w:jc w:val="right"/>
          </w:pPr>
          <w:r>
            <w:fldChar w:fldCharType="begin"/>
          </w:r>
          <w:r>
            <w:instrText xml:space="preserve"> PAGE  \* MERGEFORMAT </w:instrText>
          </w:r>
          <w:r>
            <w:fldChar w:fldCharType="separate"/>
          </w:r>
          <w:r>
            <w:t>128</w:t>
          </w:r>
          <w:r>
            <w:fldChar w:fldCharType="end"/>
          </w:r>
        </w:p>
      </w:tc>
    </w:tr>
    <w:tr w:rsidR="00B03DBC" w:rsidRPr="00D94637" w14:paraId="25D1A371" w14:textId="77777777">
      <w:trPr>
        <w:jc w:val="center"/>
      </w:trPr>
      <w:tc>
        <w:tcPr>
          <w:tcW w:w="1774" w:type="pct"/>
          <w:shd w:val="clear" w:color="auto" w:fill="auto"/>
        </w:tcPr>
        <w:p w14:paraId="12777F55" w14:textId="77777777" w:rsidR="00B03DBC" w:rsidRPr="00AD7BF2" w:rsidRDefault="00B03DBC">
          <w:pPr>
            <w:pStyle w:val="FooterText"/>
            <w:spacing w:before="40"/>
          </w:pPr>
        </w:p>
      </w:tc>
      <w:tc>
        <w:tcPr>
          <w:tcW w:w="1455" w:type="pct"/>
          <w:gridSpan w:val="3"/>
          <w:shd w:val="clear" w:color="auto" w:fill="auto"/>
        </w:tcPr>
        <w:p w14:paraId="0D5CAAA9" w14:textId="77777777" w:rsidR="00B03DBC" w:rsidRPr="00AD7BF2" w:rsidRDefault="00B03DBC">
          <w:pPr>
            <w:pStyle w:val="FooterText"/>
            <w:spacing w:before="40"/>
            <w:jc w:val="center"/>
          </w:pPr>
          <w:r>
            <w:t>ECOMP 1A</w:t>
          </w:r>
        </w:p>
      </w:tc>
      <w:tc>
        <w:tcPr>
          <w:tcW w:w="742" w:type="pct"/>
          <w:shd w:val="clear" w:color="auto" w:fill="auto"/>
        </w:tcPr>
        <w:p w14:paraId="370BD383" w14:textId="77777777" w:rsidR="00B03DBC" w:rsidRPr="00D94637" w:rsidRDefault="00B03DBC">
          <w:pPr>
            <w:pStyle w:val="FooterText"/>
            <w:jc w:val="center"/>
            <w:rPr>
              <w:b/>
              <w:position w:val="-4"/>
              <w:sz w:val="36"/>
            </w:rPr>
          </w:pPr>
        </w:p>
      </w:tc>
      <w:tc>
        <w:tcPr>
          <w:tcW w:w="1029" w:type="pct"/>
          <w:gridSpan w:val="2"/>
          <w:shd w:val="clear" w:color="auto" w:fill="auto"/>
        </w:tcPr>
        <w:p w14:paraId="5BBE1251" w14:textId="6E867AD8" w:rsidR="00B03DBC" w:rsidRPr="000310C2" w:rsidRDefault="00B479F4">
          <w:pPr>
            <w:pStyle w:val="FooterText"/>
            <w:jc w:val="right"/>
            <w:rPr>
              <w:spacing w:val="-20"/>
              <w:sz w:val="16"/>
            </w:rPr>
          </w:pPr>
          <w:r>
            <w:rPr>
              <w:b/>
              <w:sz w:val="36"/>
            </w:rPr>
            <w:t>RO</w:t>
          </w:r>
        </w:p>
      </w:tc>
    </w:tr>
  </w:tbl>
  <w:p w14:paraId="7677DCBF" w14:textId="77777777" w:rsidR="00B03DBC" w:rsidRPr="00623DB4" w:rsidRDefault="00B03DBC">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2B4FE" w14:textId="77777777" w:rsidR="00647F09" w:rsidRDefault="00647F09">
    <w:pPr>
      <w:pStyle w:val="FooterLandscape"/>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70614" w14:textId="77777777" w:rsidR="00981F92" w:rsidRPr="00623DB4" w:rsidRDefault="00981F9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9EEF" w14:textId="77777777" w:rsidR="00981F92" w:rsidRPr="00623DB4" w:rsidRDefault="00981F9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220"/>
      <w:gridCol w:w="1317"/>
      <w:gridCol w:w="1134"/>
      <w:gridCol w:w="189"/>
      <w:gridCol w:w="1346"/>
      <w:gridCol w:w="798"/>
      <w:gridCol w:w="1069"/>
    </w:tblGrid>
    <w:tr w:rsidR="00B03DBC" w:rsidRPr="00D94637" w14:paraId="33C0CF22" w14:textId="77777777">
      <w:trPr>
        <w:jc w:val="center"/>
      </w:trPr>
      <w:tc>
        <w:tcPr>
          <w:tcW w:w="5000" w:type="pct"/>
          <w:gridSpan w:val="7"/>
          <w:shd w:val="clear" w:color="auto" w:fill="auto"/>
          <w:tcMar>
            <w:top w:w="57" w:type="dxa"/>
          </w:tcMar>
        </w:tcPr>
        <w:p w14:paraId="3E509069" w14:textId="77777777" w:rsidR="00B03DBC" w:rsidRPr="00D94637" w:rsidRDefault="00B03DBC">
          <w:pPr>
            <w:pStyle w:val="FooterText"/>
            <w:pBdr>
              <w:top w:val="single" w:sz="4" w:space="1" w:color="auto"/>
            </w:pBdr>
            <w:spacing w:before="200"/>
            <w:rPr>
              <w:sz w:val="2"/>
              <w:szCs w:val="2"/>
            </w:rPr>
          </w:pPr>
        </w:p>
      </w:tc>
    </w:tr>
    <w:tr w:rsidR="00B03DBC" w:rsidRPr="00B310DC" w14:paraId="7B484FE9" w14:textId="77777777">
      <w:trPr>
        <w:jc w:val="center"/>
      </w:trPr>
      <w:tc>
        <w:tcPr>
          <w:tcW w:w="2500" w:type="pct"/>
          <w:gridSpan w:val="2"/>
          <w:shd w:val="clear" w:color="auto" w:fill="auto"/>
          <w:tcMar>
            <w:top w:w="0" w:type="dxa"/>
          </w:tcMar>
        </w:tcPr>
        <w:p w14:paraId="06D70DAB" w14:textId="77777777" w:rsidR="00B03DBC" w:rsidRPr="00AD7BF2" w:rsidRDefault="00B03DBC">
          <w:pPr>
            <w:pStyle w:val="FooterText"/>
          </w:pPr>
          <w:r>
            <w:t>12319/21 ADD 1</w:t>
          </w:r>
        </w:p>
      </w:tc>
      <w:tc>
        <w:tcPr>
          <w:tcW w:w="625" w:type="pct"/>
          <w:shd w:val="clear" w:color="auto" w:fill="auto"/>
          <w:tcMar>
            <w:top w:w="0" w:type="dxa"/>
          </w:tcMar>
        </w:tcPr>
        <w:p w14:paraId="03340316" w14:textId="77777777" w:rsidR="00B03DBC" w:rsidRPr="00AD7BF2" w:rsidRDefault="00B03DBC">
          <w:pPr>
            <w:pStyle w:val="FooterText"/>
            <w:jc w:val="center"/>
          </w:pPr>
        </w:p>
      </w:tc>
      <w:tc>
        <w:tcPr>
          <w:tcW w:w="1286" w:type="pct"/>
          <w:gridSpan w:val="3"/>
          <w:shd w:val="clear" w:color="auto" w:fill="auto"/>
          <w:tcMar>
            <w:top w:w="0" w:type="dxa"/>
          </w:tcMar>
        </w:tcPr>
        <w:p w14:paraId="7D670BAD" w14:textId="77777777" w:rsidR="00B03DBC" w:rsidRPr="002511D8" w:rsidRDefault="00B03DBC">
          <w:pPr>
            <w:pStyle w:val="FooterText"/>
            <w:jc w:val="center"/>
          </w:pPr>
          <w:r>
            <w:t>JGR/sr</w:t>
          </w:r>
        </w:p>
      </w:tc>
      <w:tc>
        <w:tcPr>
          <w:tcW w:w="589" w:type="pct"/>
          <w:shd w:val="clear" w:color="auto" w:fill="auto"/>
          <w:tcMar>
            <w:top w:w="0" w:type="dxa"/>
          </w:tcMar>
        </w:tcPr>
        <w:p w14:paraId="7537DDE3" w14:textId="77777777" w:rsidR="00B03DBC" w:rsidRPr="00B310DC" w:rsidRDefault="00B03DBC">
          <w:pPr>
            <w:pStyle w:val="FooterText"/>
            <w:jc w:val="right"/>
          </w:pPr>
          <w:r>
            <w:fldChar w:fldCharType="begin"/>
          </w:r>
          <w:r>
            <w:instrText xml:space="preserve"> PAGE  \* MERGEFORMAT </w:instrText>
          </w:r>
          <w:r>
            <w:fldChar w:fldCharType="separate"/>
          </w:r>
          <w:r>
            <w:t>128</w:t>
          </w:r>
          <w:r>
            <w:fldChar w:fldCharType="end"/>
          </w:r>
        </w:p>
      </w:tc>
    </w:tr>
    <w:tr w:rsidR="00B03DBC" w:rsidRPr="00D94637" w14:paraId="53786F14" w14:textId="77777777">
      <w:trPr>
        <w:jc w:val="center"/>
      </w:trPr>
      <w:tc>
        <w:tcPr>
          <w:tcW w:w="1774" w:type="pct"/>
          <w:shd w:val="clear" w:color="auto" w:fill="auto"/>
        </w:tcPr>
        <w:p w14:paraId="202EA6FE" w14:textId="77777777" w:rsidR="00B03DBC" w:rsidRPr="00AD7BF2" w:rsidRDefault="00B03DBC">
          <w:pPr>
            <w:pStyle w:val="FooterText"/>
            <w:spacing w:before="40"/>
          </w:pPr>
        </w:p>
      </w:tc>
      <w:tc>
        <w:tcPr>
          <w:tcW w:w="1455" w:type="pct"/>
          <w:gridSpan w:val="3"/>
          <w:shd w:val="clear" w:color="auto" w:fill="auto"/>
        </w:tcPr>
        <w:p w14:paraId="38C90FCD" w14:textId="77777777" w:rsidR="00B03DBC" w:rsidRPr="00AD7BF2" w:rsidRDefault="00B03DBC">
          <w:pPr>
            <w:pStyle w:val="FooterText"/>
            <w:spacing w:before="40"/>
            <w:jc w:val="center"/>
          </w:pPr>
          <w:r>
            <w:t>ECOMP 1A</w:t>
          </w:r>
        </w:p>
      </w:tc>
      <w:tc>
        <w:tcPr>
          <w:tcW w:w="742" w:type="pct"/>
          <w:shd w:val="clear" w:color="auto" w:fill="auto"/>
        </w:tcPr>
        <w:p w14:paraId="147007CA" w14:textId="77777777" w:rsidR="00B03DBC" w:rsidRPr="00D94637" w:rsidRDefault="00B03DBC">
          <w:pPr>
            <w:pStyle w:val="FooterText"/>
            <w:jc w:val="center"/>
            <w:rPr>
              <w:b/>
              <w:position w:val="-4"/>
              <w:sz w:val="36"/>
            </w:rPr>
          </w:pPr>
        </w:p>
      </w:tc>
      <w:tc>
        <w:tcPr>
          <w:tcW w:w="1029" w:type="pct"/>
          <w:gridSpan w:val="2"/>
          <w:shd w:val="clear" w:color="auto" w:fill="auto"/>
        </w:tcPr>
        <w:p w14:paraId="28E77B78" w14:textId="041A65B8" w:rsidR="00B03DBC" w:rsidRPr="000310C2" w:rsidRDefault="00B479F4">
          <w:pPr>
            <w:pStyle w:val="FooterText"/>
            <w:jc w:val="right"/>
            <w:rPr>
              <w:spacing w:val="-20"/>
              <w:sz w:val="16"/>
            </w:rPr>
          </w:pPr>
          <w:r>
            <w:rPr>
              <w:b/>
              <w:sz w:val="36"/>
            </w:rPr>
            <w:t>RO</w:t>
          </w:r>
        </w:p>
      </w:tc>
    </w:tr>
  </w:tbl>
  <w:p w14:paraId="4E4A2CDA" w14:textId="77777777" w:rsidR="00B03DBC" w:rsidRPr="00623DB4" w:rsidRDefault="00B03DBC">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370B" w14:textId="77777777" w:rsidR="00981F92" w:rsidRPr="00623DB4" w:rsidRDefault="00981F9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7C3F9" w14:textId="77777777" w:rsidR="00CC77A7" w:rsidRDefault="00CC77A7">
    <w:pPr>
      <w:pBdr>
        <w:top w:val="nil"/>
        <w:left w:val="nil"/>
        <w:bottom w:val="nil"/>
        <w:right w:val="nil"/>
        <w:between w:val="nil"/>
      </w:pBdr>
      <w:tabs>
        <w:tab w:val="center" w:pos="4535"/>
        <w:tab w:val="right" w:pos="9071"/>
        <w:tab w:val="right" w:pos="9921"/>
      </w:tabs>
      <w:spacing w:before="360" w:after="0"/>
      <w:ind w:left="-850" w:right="-850"/>
      <w:rPr>
        <w:color w:val="000000"/>
      </w:rP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B03DBC" w:rsidRPr="00D94637" w14:paraId="7DDA8C77" w14:textId="77777777">
      <w:trPr>
        <w:jc w:val="center"/>
      </w:trPr>
      <w:tc>
        <w:tcPr>
          <w:tcW w:w="5000" w:type="pct"/>
          <w:gridSpan w:val="7"/>
          <w:shd w:val="clear" w:color="auto" w:fill="auto"/>
          <w:tcMar>
            <w:top w:w="57" w:type="dxa"/>
          </w:tcMar>
        </w:tcPr>
        <w:p w14:paraId="1A9FC1CD" w14:textId="77777777" w:rsidR="00B03DBC" w:rsidRPr="00D94637" w:rsidRDefault="00B03DBC">
          <w:pPr>
            <w:pStyle w:val="FooterText"/>
            <w:pBdr>
              <w:top w:val="single" w:sz="4" w:space="1" w:color="auto"/>
            </w:pBdr>
            <w:spacing w:before="200"/>
            <w:rPr>
              <w:sz w:val="2"/>
              <w:szCs w:val="2"/>
            </w:rPr>
          </w:pPr>
        </w:p>
      </w:tc>
    </w:tr>
    <w:tr w:rsidR="00B03DBC" w:rsidRPr="00B310DC" w14:paraId="737BCAC6" w14:textId="77777777">
      <w:trPr>
        <w:jc w:val="center"/>
      </w:trPr>
      <w:tc>
        <w:tcPr>
          <w:tcW w:w="2500" w:type="pct"/>
          <w:gridSpan w:val="2"/>
          <w:shd w:val="clear" w:color="auto" w:fill="auto"/>
          <w:tcMar>
            <w:top w:w="0" w:type="dxa"/>
          </w:tcMar>
        </w:tcPr>
        <w:p w14:paraId="444BBDDF" w14:textId="77777777" w:rsidR="00B03DBC" w:rsidRPr="00AD7BF2" w:rsidRDefault="00B03DBC">
          <w:pPr>
            <w:pStyle w:val="FooterText"/>
          </w:pPr>
          <w:r>
            <w:t>12319/21 ADD 1</w:t>
          </w:r>
        </w:p>
      </w:tc>
      <w:tc>
        <w:tcPr>
          <w:tcW w:w="625" w:type="pct"/>
          <w:shd w:val="clear" w:color="auto" w:fill="auto"/>
          <w:tcMar>
            <w:top w:w="0" w:type="dxa"/>
          </w:tcMar>
        </w:tcPr>
        <w:p w14:paraId="28BFEB9B" w14:textId="77777777" w:rsidR="00B03DBC" w:rsidRPr="00AD7BF2" w:rsidRDefault="00B03DBC">
          <w:pPr>
            <w:pStyle w:val="FooterText"/>
            <w:jc w:val="center"/>
          </w:pPr>
        </w:p>
      </w:tc>
      <w:tc>
        <w:tcPr>
          <w:tcW w:w="1286" w:type="pct"/>
          <w:gridSpan w:val="3"/>
          <w:shd w:val="clear" w:color="auto" w:fill="auto"/>
          <w:tcMar>
            <w:top w:w="0" w:type="dxa"/>
          </w:tcMar>
        </w:tcPr>
        <w:p w14:paraId="65BE59BF" w14:textId="77777777" w:rsidR="00B03DBC" w:rsidRPr="002511D8" w:rsidRDefault="00B03DBC">
          <w:pPr>
            <w:pStyle w:val="FooterText"/>
            <w:jc w:val="center"/>
          </w:pPr>
          <w:r>
            <w:t>JGR/sr</w:t>
          </w:r>
        </w:p>
      </w:tc>
      <w:tc>
        <w:tcPr>
          <w:tcW w:w="589" w:type="pct"/>
          <w:shd w:val="clear" w:color="auto" w:fill="auto"/>
          <w:tcMar>
            <w:top w:w="0" w:type="dxa"/>
          </w:tcMar>
        </w:tcPr>
        <w:p w14:paraId="5285D651" w14:textId="77777777" w:rsidR="00B03DBC" w:rsidRPr="00B310DC" w:rsidRDefault="00B03DBC">
          <w:pPr>
            <w:pStyle w:val="FooterText"/>
            <w:jc w:val="right"/>
          </w:pPr>
          <w:r>
            <w:fldChar w:fldCharType="begin"/>
          </w:r>
          <w:r>
            <w:instrText xml:space="preserve"> PAGE  \* MERGEFORMAT </w:instrText>
          </w:r>
          <w:r>
            <w:fldChar w:fldCharType="separate"/>
          </w:r>
          <w:r>
            <w:t>128</w:t>
          </w:r>
          <w:r>
            <w:fldChar w:fldCharType="end"/>
          </w:r>
        </w:p>
      </w:tc>
    </w:tr>
    <w:tr w:rsidR="00B03DBC" w:rsidRPr="00D94637" w14:paraId="2CE916B0" w14:textId="77777777">
      <w:trPr>
        <w:jc w:val="center"/>
      </w:trPr>
      <w:tc>
        <w:tcPr>
          <w:tcW w:w="1774" w:type="pct"/>
          <w:shd w:val="clear" w:color="auto" w:fill="auto"/>
        </w:tcPr>
        <w:p w14:paraId="6F1EF69A" w14:textId="77777777" w:rsidR="00B03DBC" w:rsidRPr="00AD7BF2" w:rsidRDefault="00B03DBC">
          <w:pPr>
            <w:pStyle w:val="FooterText"/>
            <w:spacing w:before="40"/>
          </w:pPr>
        </w:p>
      </w:tc>
      <w:tc>
        <w:tcPr>
          <w:tcW w:w="1455" w:type="pct"/>
          <w:gridSpan w:val="3"/>
          <w:shd w:val="clear" w:color="auto" w:fill="auto"/>
        </w:tcPr>
        <w:p w14:paraId="11E768B6" w14:textId="77777777" w:rsidR="00B03DBC" w:rsidRPr="00AD7BF2" w:rsidRDefault="00B03DBC">
          <w:pPr>
            <w:pStyle w:val="FooterText"/>
            <w:spacing w:before="40"/>
            <w:jc w:val="center"/>
          </w:pPr>
          <w:r>
            <w:t>ECOMP 1A</w:t>
          </w:r>
        </w:p>
      </w:tc>
      <w:tc>
        <w:tcPr>
          <w:tcW w:w="742" w:type="pct"/>
          <w:shd w:val="clear" w:color="auto" w:fill="auto"/>
        </w:tcPr>
        <w:p w14:paraId="75A8BDD8" w14:textId="77777777" w:rsidR="00B03DBC" w:rsidRPr="00D94637" w:rsidRDefault="00B03DBC">
          <w:pPr>
            <w:pStyle w:val="FooterText"/>
            <w:jc w:val="center"/>
            <w:rPr>
              <w:b/>
              <w:position w:val="-4"/>
              <w:sz w:val="36"/>
            </w:rPr>
          </w:pPr>
        </w:p>
      </w:tc>
      <w:tc>
        <w:tcPr>
          <w:tcW w:w="1029" w:type="pct"/>
          <w:gridSpan w:val="2"/>
          <w:shd w:val="clear" w:color="auto" w:fill="auto"/>
        </w:tcPr>
        <w:p w14:paraId="6587FC5B" w14:textId="46DB0250" w:rsidR="00B03DBC" w:rsidRPr="000310C2" w:rsidRDefault="00B479F4">
          <w:pPr>
            <w:pStyle w:val="FooterText"/>
            <w:jc w:val="right"/>
            <w:rPr>
              <w:spacing w:val="-20"/>
              <w:sz w:val="16"/>
            </w:rPr>
          </w:pPr>
          <w:r>
            <w:rPr>
              <w:b/>
              <w:sz w:val="36"/>
            </w:rPr>
            <w:t>RO</w:t>
          </w:r>
        </w:p>
      </w:tc>
    </w:tr>
  </w:tbl>
  <w:p w14:paraId="0518196F" w14:textId="77777777" w:rsidR="00B03DBC" w:rsidRPr="00623DB4" w:rsidRDefault="00B03DBC">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2FF43" w14:textId="77777777" w:rsidR="00CC77A7" w:rsidRDefault="00CC77A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4D2C" w14:textId="77777777" w:rsidR="00647F09" w:rsidRDefault="00647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D449" w14:textId="41854372" w:rsidR="009F1DC7" w:rsidRPr="005D01AD" w:rsidRDefault="005D01AD" w:rsidP="005D01AD">
    <w:pPr>
      <w:pStyle w:val="FooterCoverPage"/>
      <w:rPr>
        <w:rFonts w:ascii="Arial" w:hAnsi="Arial" w:cs="Arial"/>
        <w:b/>
        <w:sz w:val="48"/>
      </w:rPr>
    </w:pPr>
    <w:r w:rsidRPr="005D01AD">
      <w:rPr>
        <w:rFonts w:ascii="Arial" w:hAnsi="Arial" w:cs="Arial"/>
        <w:b/>
        <w:sz w:val="48"/>
      </w:rPr>
      <w:t>RO</w:t>
    </w:r>
    <w:r w:rsidRPr="005D01AD">
      <w:rPr>
        <w:rFonts w:ascii="Arial" w:hAnsi="Arial" w:cs="Arial"/>
        <w:b/>
        <w:sz w:val="48"/>
      </w:rPr>
      <w:tab/>
    </w:r>
    <w:r w:rsidRPr="005D01AD">
      <w:rPr>
        <w:rFonts w:ascii="Arial" w:hAnsi="Arial" w:cs="Arial"/>
        <w:b/>
        <w:sz w:val="48"/>
      </w:rPr>
      <w:tab/>
    </w:r>
    <w:r w:rsidRPr="005D01AD">
      <w:tab/>
    </w:r>
    <w:r w:rsidRPr="005D01AD">
      <w:rPr>
        <w:rFonts w:ascii="Arial" w:hAnsi="Arial" w:cs="Arial"/>
        <w:b/>
        <w:sz w:val="48"/>
      </w:rPr>
      <w:t>RO</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66157"/>
      <w:docPartObj>
        <w:docPartGallery w:val="Page Numbers (Bottom of Page)"/>
        <w:docPartUnique/>
      </w:docPartObj>
    </w:sdtPr>
    <w:sdtEndPr>
      <w:rPr>
        <w:noProof/>
      </w:rPr>
    </w:sdtEndPr>
    <w:sdtContent>
      <w:p w14:paraId="047F5C07" w14:textId="2E6F7C19" w:rsidR="00B1799B" w:rsidRDefault="00B1799B">
        <w:pPr>
          <w:pStyle w:val="Footer"/>
          <w:jc w:val="center"/>
        </w:pPr>
        <w:r>
          <w:fldChar w:fldCharType="begin"/>
        </w:r>
        <w:r>
          <w:instrText xml:space="preserve"> PAGE   \* MERGEFORMAT </w:instrText>
        </w:r>
        <w:r>
          <w:fldChar w:fldCharType="separate"/>
        </w:r>
        <w:r>
          <w:t>2</w:t>
        </w:r>
        <w: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AD937" w14:textId="77777777" w:rsidR="00647F09" w:rsidRDefault="00647F0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4F711" w14:textId="77777777" w:rsidR="00647F09" w:rsidRDefault="00647F0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761620"/>
      <w:docPartObj>
        <w:docPartGallery w:val="Page Numbers (Bottom of Page)"/>
        <w:docPartUnique/>
      </w:docPartObj>
    </w:sdtPr>
    <w:sdtEndPr>
      <w:rPr>
        <w:noProof/>
      </w:rPr>
    </w:sdtEndPr>
    <w:sdtContent>
      <w:p w14:paraId="3FB41878" w14:textId="15616F70" w:rsidR="00B1799B" w:rsidRDefault="00B1799B">
        <w:pPr>
          <w:pStyle w:val="Footer"/>
          <w:jc w:val="center"/>
        </w:pPr>
        <w:r>
          <w:fldChar w:fldCharType="begin"/>
        </w:r>
        <w:r>
          <w:instrText xml:space="preserve"> PAGE   \* MERGEFORMAT </w:instrText>
        </w:r>
        <w:r>
          <w:fldChar w:fldCharType="separate"/>
        </w:r>
        <w:r>
          <w:t>2</w:t>
        </w:r>
        <w: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6B98C" w14:textId="77777777" w:rsidR="00647F09" w:rsidRDefault="00647F09">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52B0E" w14:textId="77777777" w:rsidR="00CC77A7" w:rsidRDefault="00CC77A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450052"/>
      <w:docPartObj>
        <w:docPartGallery w:val="Page Numbers (Bottom of Page)"/>
        <w:docPartUnique/>
      </w:docPartObj>
    </w:sdtPr>
    <w:sdtEndPr>
      <w:rPr>
        <w:noProof/>
      </w:rPr>
    </w:sdtEndPr>
    <w:sdtContent>
      <w:p w14:paraId="34263EF8" w14:textId="176EA20E" w:rsidR="00B1799B" w:rsidRDefault="00B1799B">
        <w:pPr>
          <w:pStyle w:val="Footer"/>
          <w:jc w:val="center"/>
        </w:pPr>
        <w:r>
          <w:fldChar w:fldCharType="begin"/>
        </w:r>
        <w:r>
          <w:instrText xml:space="preserve"> PAGE   \* MERGEFORMAT </w:instrText>
        </w:r>
        <w:r>
          <w:fldChar w:fldCharType="separate"/>
        </w:r>
        <w:r>
          <w:t>2</w:t>
        </w:r>
        <w: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1C0D" w14:textId="77777777" w:rsidR="00CC77A7" w:rsidRDefault="00CC77A7">
    <w:pPr>
      <w:pStyle w:val="FooterLandscap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F276B" w14:textId="77777777" w:rsidR="00647F09" w:rsidRDefault="00647F0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561853"/>
      <w:docPartObj>
        <w:docPartGallery w:val="Page Numbers (Bottom of Page)"/>
        <w:docPartUnique/>
      </w:docPartObj>
    </w:sdtPr>
    <w:sdtEndPr>
      <w:rPr>
        <w:noProof/>
      </w:rPr>
    </w:sdtEndPr>
    <w:sdtContent>
      <w:p w14:paraId="01C824CB" w14:textId="2F7D2627" w:rsidR="00B1799B" w:rsidRDefault="00B1799B">
        <w:pPr>
          <w:pStyle w:val="Footer"/>
          <w:jc w:val="center"/>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80214" w14:textId="77777777" w:rsidR="005D01AD" w:rsidRPr="005D01AD" w:rsidRDefault="005D01AD" w:rsidP="005D01AD">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6431B" w14:textId="77777777" w:rsidR="00647F09" w:rsidRDefault="00647F09">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3D47" w14:textId="77777777" w:rsidR="00647F09" w:rsidRDefault="00647F0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41551"/>
      <w:docPartObj>
        <w:docPartGallery w:val="Page Numbers (Bottom of Page)"/>
        <w:docPartUnique/>
      </w:docPartObj>
    </w:sdtPr>
    <w:sdtEndPr>
      <w:rPr>
        <w:noProof/>
      </w:rPr>
    </w:sdtEndPr>
    <w:sdtContent>
      <w:p w14:paraId="2B00590B" w14:textId="0D27009C" w:rsidR="00B1799B" w:rsidRDefault="00B1799B">
        <w:pPr>
          <w:pStyle w:val="Footer"/>
          <w:jc w:val="center"/>
        </w:pPr>
        <w:r>
          <w:fldChar w:fldCharType="begin"/>
        </w:r>
        <w:r>
          <w:instrText xml:space="preserve"> PAGE   \* MERGEFORMAT </w:instrText>
        </w:r>
        <w:r>
          <w:fldChar w:fldCharType="separate"/>
        </w:r>
        <w:r>
          <w:t>2</w:t>
        </w:r>
        <w: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D338" w14:textId="77777777" w:rsidR="00647F09" w:rsidRDefault="00647F09">
    <w:pPr>
      <w:pStyle w:val="Footer"/>
    </w:pPr>
  </w:p>
  <w:p w14:paraId="7859DDC3" w14:textId="77777777" w:rsidR="00647F09" w:rsidRDefault="00647F09"/>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D625C" w14:textId="77777777" w:rsidR="00271EF8" w:rsidRDefault="00271EF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692940"/>
      <w:docPartObj>
        <w:docPartGallery w:val="Page Numbers (Bottom of Page)"/>
        <w:docPartUnique/>
      </w:docPartObj>
    </w:sdtPr>
    <w:sdtEndPr>
      <w:rPr>
        <w:noProof/>
      </w:rPr>
    </w:sdtEndPr>
    <w:sdtContent>
      <w:p w14:paraId="013F4691" w14:textId="5DF97B31" w:rsidR="008F0348" w:rsidRDefault="008F0348">
        <w:pPr>
          <w:pStyle w:val="Footer"/>
          <w:jc w:val="center"/>
        </w:pPr>
        <w:r>
          <w:fldChar w:fldCharType="begin"/>
        </w:r>
        <w:r>
          <w:instrText xml:space="preserve"> PAGE   \* MERGEFORMAT </w:instrText>
        </w:r>
        <w:r>
          <w:fldChar w:fldCharType="separate"/>
        </w:r>
        <w:r>
          <w:t>2</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7267" w14:textId="77777777" w:rsidR="00271EF8" w:rsidRDefault="00271EF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A0F43" w14:textId="77777777" w:rsidR="00271EF8" w:rsidRDefault="00271EF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440865"/>
      <w:docPartObj>
        <w:docPartGallery w:val="Page Numbers (Bottom of Page)"/>
        <w:docPartUnique/>
      </w:docPartObj>
    </w:sdtPr>
    <w:sdtEndPr>
      <w:rPr>
        <w:noProof/>
      </w:rPr>
    </w:sdtEndPr>
    <w:sdtContent>
      <w:p w14:paraId="19DC4DC1" w14:textId="06359DC0" w:rsidR="008F0348" w:rsidRDefault="008F0348">
        <w:pPr>
          <w:pStyle w:val="Footer"/>
          <w:jc w:val="center"/>
        </w:pPr>
        <w:r>
          <w:fldChar w:fldCharType="begin"/>
        </w:r>
        <w:r>
          <w:instrText xml:space="preserve"> PAGE   \* MERGEFORMAT </w:instrText>
        </w:r>
        <w:r>
          <w:fldChar w:fldCharType="separate"/>
        </w:r>
        <w:r>
          <w:t>2</w:t>
        </w:r>
        <w: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14F5" w14:textId="77777777" w:rsidR="00271EF8" w:rsidRDefault="00271EF8">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B9E0" w14:textId="77777777" w:rsidR="00CC77A7" w:rsidRDefault="00CC77A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6D79" w14:textId="77777777" w:rsidR="00271EF8" w:rsidRDefault="00271EF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711902"/>
      <w:docPartObj>
        <w:docPartGallery w:val="Page Numbers (Bottom of Page)"/>
        <w:docPartUnique/>
      </w:docPartObj>
    </w:sdtPr>
    <w:sdtEndPr>
      <w:rPr>
        <w:noProof/>
      </w:rPr>
    </w:sdtEndPr>
    <w:sdtContent>
      <w:p w14:paraId="195157CF" w14:textId="4C2FF3BC" w:rsidR="008F0348" w:rsidRDefault="008F0348">
        <w:pPr>
          <w:pStyle w:val="Footer"/>
          <w:jc w:val="center"/>
        </w:pPr>
        <w:r>
          <w:fldChar w:fldCharType="begin"/>
        </w:r>
        <w:r>
          <w:instrText xml:space="preserve"> PAGE   \* MERGEFORMAT </w:instrText>
        </w:r>
        <w:r>
          <w:fldChar w:fldCharType="separate"/>
        </w:r>
        <w:r>
          <w:t>2</w:t>
        </w:r>
        <w: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14D54" w14:textId="77777777" w:rsidR="00271EF8" w:rsidRDefault="00271EF8">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57BD5" w14:textId="77777777" w:rsidR="00271EF8" w:rsidRDefault="00271EF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571440"/>
      <w:docPartObj>
        <w:docPartGallery w:val="Page Numbers (Bottom of Page)"/>
        <w:docPartUnique/>
      </w:docPartObj>
    </w:sdtPr>
    <w:sdtEndPr>
      <w:rPr>
        <w:noProof/>
      </w:rPr>
    </w:sdtEndPr>
    <w:sdtContent>
      <w:p w14:paraId="75AFB196" w14:textId="04CA46AD" w:rsidR="008F0348" w:rsidRDefault="008F0348">
        <w:pPr>
          <w:pStyle w:val="Footer"/>
          <w:jc w:val="center"/>
        </w:pPr>
        <w:r>
          <w:fldChar w:fldCharType="begin"/>
        </w:r>
        <w:r>
          <w:instrText xml:space="preserve"> PAGE   \* MERGEFORMAT </w:instrText>
        </w:r>
        <w:r>
          <w:fldChar w:fldCharType="separate"/>
        </w:r>
        <w:r>
          <w:t>2</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FB61" w14:textId="77777777" w:rsidR="00271EF8" w:rsidRDefault="00271EF8">
    <w:pPr>
      <w:pStyle w:val="FooterLandscape"/>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F0F4A" w14:textId="77777777" w:rsidR="00271EF8" w:rsidRDefault="00271EF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060416"/>
      <w:docPartObj>
        <w:docPartGallery w:val="Page Numbers (Bottom of Page)"/>
        <w:docPartUnique/>
      </w:docPartObj>
    </w:sdtPr>
    <w:sdtEndPr>
      <w:rPr>
        <w:noProof/>
      </w:rPr>
    </w:sdtEndPr>
    <w:sdtContent>
      <w:p w14:paraId="7441F4E4" w14:textId="05BD8698" w:rsidR="008F0348" w:rsidRDefault="008F0348">
        <w:pPr>
          <w:pStyle w:val="Footer"/>
          <w:jc w:val="center"/>
        </w:pPr>
        <w:r>
          <w:fldChar w:fldCharType="begin"/>
        </w:r>
        <w:r>
          <w:instrText xml:space="preserve"> PAGE   \* MERGEFORMAT </w:instrText>
        </w:r>
        <w:r>
          <w:fldChar w:fldCharType="separate"/>
        </w:r>
        <w:r>
          <w:t>2</w:t>
        </w:r>
        <w: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FA3B" w14:textId="77777777" w:rsidR="00271EF8" w:rsidRDefault="00271EF8">
    <w:pPr>
      <w:pStyle w:val="FooterLandscape"/>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3AE5" w14:textId="77777777" w:rsidR="00271EF8" w:rsidRDefault="00271E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70722"/>
      <w:docPartObj>
        <w:docPartGallery w:val="Page Numbers (Bottom of Page)"/>
        <w:docPartUnique/>
      </w:docPartObj>
    </w:sdtPr>
    <w:sdtEndPr>
      <w:rPr>
        <w:noProof/>
      </w:rPr>
    </w:sdtEndPr>
    <w:sdtContent>
      <w:p w14:paraId="6F23EEF8" w14:textId="219446B1" w:rsidR="007027BF" w:rsidRDefault="007027BF">
        <w:pPr>
          <w:pStyle w:val="Footer"/>
          <w:jc w:val="center"/>
        </w:pPr>
        <w:r>
          <w:fldChar w:fldCharType="begin"/>
        </w:r>
        <w:r>
          <w:instrText xml:space="preserve"> PAGE   \* MERGEFORMAT </w:instrText>
        </w:r>
        <w:r>
          <w:fldChar w:fldCharType="separate"/>
        </w:r>
        <w:r w:rsidR="005D01AD">
          <w:rPr>
            <w:noProof/>
          </w:rPr>
          <w:t>1</w:t>
        </w:r>
        <w: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00825"/>
      <w:docPartObj>
        <w:docPartGallery w:val="Page Numbers (Bottom of Page)"/>
        <w:docPartUnique/>
      </w:docPartObj>
    </w:sdtPr>
    <w:sdtEndPr>
      <w:rPr>
        <w:noProof/>
      </w:rPr>
    </w:sdtEndPr>
    <w:sdtContent>
      <w:p w14:paraId="7DEFFEF9" w14:textId="56D6204B" w:rsidR="008F0348" w:rsidRDefault="008F0348">
        <w:pPr>
          <w:pStyle w:val="Footer"/>
          <w:jc w:val="center"/>
        </w:pPr>
        <w:r>
          <w:fldChar w:fldCharType="begin"/>
        </w:r>
        <w:r>
          <w:instrText xml:space="preserve"> PAGE   \* MERGEFORMAT </w:instrText>
        </w:r>
        <w:r>
          <w:fldChar w:fldCharType="separate"/>
        </w:r>
        <w:r>
          <w:t>2</w:t>
        </w:r>
        <w: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94FA" w14:textId="77777777" w:rsidR="00271EF8" w:rsidRDefault="00271EF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FFF2" w14:textId="77777777" w:rsidR="00500CF9" w:rsidRDefault="00500CF9">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811822"/>
      <w:docPartObj>
        <w:docPartGallery w:val="Page Numbers (Bottom of Page)"/>
        <w:docPartUnique/>
      </w:docPartObj>
    </w:sdtPr>
    <w:sdtEndPr>
      <w:rPr>
        <w:noProof/>
      </w:rPr>
    </w:sdtEndPr>
    <w:sdtContent>
      <w:p w14:paraId="51415AFD" w14:textId="04A3F112" w:rsidR="002018E0" w:rsidRDefault="002018E0">
        <w:pPr>
          <w:pStyle w:val="Footer"/>
          <w:jc w:val="center"/>
        </w:pPr>
        <w:r>
          <w:fldChar w:fldCharType="begin"/>
        </w:r>
        <w:r>
          <w:instrText xml:space="preserve"> PAGE   \* MERGEFORMAT </w:instrText>
        </w:r>
        <w:r>
          <w:fldChar w:fldCharType="separate"/>
        </w:r>
        <w:r>
          <w:t>2</w:t>
        </w:r>
        <w: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F6DF" w14:textId="77777777" w:rsidR="00500CF9" w:rsidRDefault="00500CF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C05B8" w14:textId="77777777" w:rsidR="00500CF9" w:rsidRDefault="00500CF9">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682394"/>
      <w:docPartObj>
        <w:docPartGallery w:val="Page Numbers (Bottom of Page)"/>
        <w:docPartUnique/>
      </w:docPartObj>
    </w:sdtPr>
    <w:sdtEndPr>
      <w:rPr>
        <w:noProof/>
      </w:rPr>
    </w:sdtEndPr>
    <w:sdtContent>
      <w:p w14:paraId="0C9368F4" w14:textId="2586CFE9" w:rsidR="002018E0" w:rsidRDefault="002018E0">
        <w:pPr>
          <w:pStyle w:val="Footer"/>
          <w:jc w:val="center"/>
        </w:pPr>
        <w:r>
          <w:fldChar w:fldCharType="begin"/>
        </w:r>
        <w:r>
          <w:instrText xml:space="preserve"> PAGE   \* MERGEFORMAT </w:instrText>
        </w:r>
        <w:r>
          <w:fldChar w:fldCharType="separate"/>
        </w:r>
        <w:r>
          <w:t>2</w:t>
        </w:r>
        <w: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1823" w14:textId="77777777" w:rsidR="00500CF9" w:rsidRDefault="00500CF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DE45" w14:textId="77777777" w:rsidR="00500CF9" w:rsidRDefault="00500CF9">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153157"/>
      <w:docPartObj>
        <w:docPartGallery w:val="Page Numbers (Bottom of Page)"/>
        <w:docPartUnique/>
      </w:docPartObj>
    </w:sdtPr>
    <w:sdtEndPr>
      <w:rPr>
        <w:noProof/>
      </w:rPr>
    </w:sdtEndPr>
    <w:sdtContent>
      <w:p w14:paraId="2CC3C195" w14:textId="7120D15A" w:rsidR="002018E0" w:rsidRDefault="002018E0">
        <w:pPr>
          <w:pStyle w:val="Footer"/>
          <w:jc w:val="center"/>
        </w:pPr>
        <w:r>
          <w:fldChar w:fldCharType="begin"/>
        </w:r>
        <w:r>
          <w:instrText xml:space="preserve"> PAGE   \* MERGEFORMAT </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5CD46" w14:textId="77777777" w:rsidR="00CC77A7" w:rsidRDefault="00CC77A7">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4B77" w14:textId="77777777" w:rsidR="00500CF9" w:rsidRDefault="00500CF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140B5" w14:textId="77777777" w:rsidR="00500CF9" w:rsidRDefault="00500CF9">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951864"/>
      <w:docPartObj>
        <w:docPartGallery w:val="Page Numbers (Bottom of Page)"/>
        <w:docPartUnique/>
      </w:docPartObj>
    </w:sdtPr>
    <w:sdtEndPr>
      <w:rPr>
        <w:noProof/>
      </w:rPr>
    </w:sdtEndPr>
    <w:sdtContent>
      <w:p w14:paraId="11CC6531" w14:textId="3C3F8D78" w:rsidR="002018E0" w:rsidRDefault="002018E0">
        <w:pPr>
          <w:pStyle w:val="Footer"/>
          <w:jc w:val="center"/>
        </w:pPr>
        <w:r>
          <w:fldChar w:fldCharType="begin"/>
        </w:r>
        <w:r>
          <w:instrText xml:space="preserve"> PAGE   \* MERGEFORMAT </w:instrText>
        </w:r>
        <w:r>
          <w:fldChar w:fldCharType="separate"/>
        </w:r>
        <w:r>
          <w:t>2</w:t>
        </w:r>
        <w: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BD9F" w14:textId="77777777" w:rsidR="00500CF9" w:rsidRDefault="00500CF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87864" w14:textId="77777777" w:rsidR="00500CF9" w:rsidRDefault="00500CF9">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936866"/>
      <w:docPartObj>
        <w:docPartGallery w:val="Page Numbers (Bottom of Page)"/>
        <w:docPartUnique/>
      </w:docPartObj>
    </w:sdtPr>
    <w:sdtEndPr>
      <w:rPr>
        <w:noProof/>
      </w:rPr>
    </w:sdtEndPr>
    <w:sdtContent>
      <w:p w14:paraId="53A01261" w14:textId="7AD6F287" w:rsidR="00255AD0" w:rsidRDefault="00255AD0">
        <w:pPr>
          <w:pStyle w:val="Footer"/>
          <w:jc w:val="center"/>
        </w:pPr>
        <w:r>
          <w:fldChar w:fldCharType="begin"/>
        </w:r>
        <w:r>
          <w:instrText xml:space="preserve"> PAGE   \* MERGEFORMAT </w:instrText>
        </w:r>
        <w:r>
          <w:fldChar w:fldCharType="separate"/>
        </w:r>
        <w:r>
          <w:t>2</w:t>
        </w:r>
        <w: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C779" w14:textId="77777777" w:rsidR="00500CF9" w:rsidRDefault="00500CF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52B2" w14:textId="77777777" w:rsidR="00500CF9" w:rsidRDefault="00500CF9">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19504"/>
      <w:docPartObj>
        <w:docPartGallery w:val="Page Numbers (Bottom of Page)"/>
        <w:docPartUnique/>
      </w:docPartObj>
    </w:sdtPr>
    <w:sdtEndPr>
      <w:rPr>
        <w:noProof/>
      </w:rPr>
    </w:sdtEndPr>
    <w:sdtContent>
      <w:p w14:paraId="5655A018" w14:textId="04CB06A1" w:rsidR="00255AD0" w:rsidRDefault="00255AD0">
        <w:pPr>
          <w:pStyle w:val="Footer"/>
          <w:jc w:val="center"/>
        </w:pPr>
        <w:r>
          <w:fldChar w:fldCharType="begin"/>
        </w:r>
        <w:r>
          <w:instrText xml:space="preserve"> PAGE   \* MERGEFORMAT </w:instrText>
        </w:r>
        <w:r>
          <w:fldChar w:fldCharType="separate"/>
        </w:r>
        <w:r>
          <w:t>2</w:t>
        </w:r>
        <w: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5479B" w14:textId="77777777" w:rsidR="00500CF9" w:rsidRDefault="00500C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D26B" w14:textId="77777777" w:rsidR="00CC77A7" w:rsidRDefault="00CC77A7">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80C0" w14:textId="77777777" w:rsidR="00500CF9" w:rsidRDefault="00500CF9">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038205"/>
      <w:docPartObj>
        <w:docPartGallery w:val="Page Numbers (Bottom of Page)"/>
        <w:docPartUnique/>
      </w:docPartObj>
    </w:sdtPr>
    <w:sdtEndPr>
      <w:rPr>
        <w:noProof/>
      </w:rPr>
    </w:sdtEndPr>
    <w:sdtContent>
      <w:p w14:paraId="38FED6D7" w14:textId="0909BBAA" w:rsidR="00255AD0" w:rsidRDefault="00255AD0">
        <w:pPr>
          <w:pStyle w:val="Footer"/>
          <w:jc w:val="center"/>
        </w:pPr>
        <w:r>
          <w:fldChar w:fldCharType="begin"/>
        </w:r>
        <w:r>
          <w:instrText xml:space="preserve"> PAGE   \* MERGEFORMAT </w:instrText>
        </w:r>
        <w:r>
          <w:fldChar w:fldCharType="separate"/>
        </w:r>
        <w:r>
          <w:t>2</w:t>
        </w:r>
        <w: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BB61A" w14:textId="77777777" w:rsidR="00500CF9" w:rsidRDefault="00500CF9">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D2E7" w14:textId="77777777" w:rsidR="00500CF9" w:rsidRDefault="00500CF9">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99852"/>
      <w:docPartObj>
        <w:docPartGallery w:val="Page Numbers (Bottom of Page)"/>
        <w:docPartUnique/>
      </w:docPartObj>
    </w:sdtPr>
    <w:sdtEndPr>
      <w:rPr>
        <w:noProof/>
      </w:rPr>
    </w:sdtEndPr>
    <w:sdtContent>
      <w:p w14:paraId="071F6DD8" w14:textId="069B80D8" w:rsidR="00255AD0" w:rsidRDefault="00255AD0">
        <w:pPr>
          <w:pStyle w:val="Footer"/>
          <w:jc w:val="center"/>
        </w:pPr>
        <w:r>
          <w:fldChar w:fldCharType="begin"/>
        </w:r>
        <w:r>
          <w:instrText xml:space="preserve"> PAGE   \* MERGEFORMAT </w:instrText>
        </w:r>
        <w:r>
          <w:fldChar w:fldCharType="separate"/>
        </w:r>
        <w:r>
          <w:t>2</w:t>
        </w:r>
        <w:r>
          <w:fldChar w:fldCharType="end"/>
        </w:r>
      </w:p>
    </w:sdtContent>
  </w:sdt>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90F36" w14:textId="77777777" w:rsidR="00500CF9" w:rsidRDefault="00500CF9">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F60A7" w14:textId="77777777" w:rsidR="00500CF9" w:rsidRDefault="00500CF9">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801212"/>
      <w:docPartObj>
        <w:docPartGallery w:val="Page Numbers (Bottom of Page)"/>
        <w:docPartUnique/>
      </w:docPartObj>
    </w:sdtPr>
    <w:sdtEndPr>
      <w:rPr>
        <w:noProof/>
      </w:rPr>
    </w:sdtEndPr>
    <w:sdtContent>
      <w:p w14:paraId="344FC122" w14:textId="5BC32696" w:rsidR="00255AD0" w:rsidRDefault="00255AD0">
        <w:pPr>
          <w:pStyle w:val="Footer"/>
          <w:jc w:val="center"/>
        </w:pPr>
        <w:r>
          <w:fldChar w:fldCharType="begin"/>
        </w:r>
        <w:r>
          <w:instrText xml:space="preserve"> PAGE   \* MERGEFORMAT </w:instrText>
        </w:r>
        <w:r>
          <w:fldChar w:fldCharType="separate"/>
        </w:r>
        <w:r>
          <w:t>2</w:t>
        </w:r>
        <w: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18A0" w14:textId="77777777" w:rsidR="00500CF9" w:rsidRDefault="00500CF9">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FF5EC" w14:textId="77777777" w:rsidR="00500CF9" w:rsidRDefault="00500C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835591"/>
      <w:docPartObj>
        <w:docPartGallery w:val="Page Numbers (Bottom of Page)"/>
        <w:docPartUnique/>
      </w:docPartObj>
    </w:sdtPr>
    <w:sdtEndPr>
      <w:rPr>
        <w:noProof/>
      </w:rPr>
    </w:sdtEndPr>
    <w:sdtContent>
      <w:p w14:paraId="7484E3B9" w14:textId="36D4B043" w:rsidR="007027BF" w:rsidRDefault="007027BF">
        <w:pPr>
          <w:pStyle w:val="Footer"/>
          <w:jc w:val="center"/>
        </w:pPr>
        <w:r>
          <w:fldChar w:fldCharType="begin"/>
        </w:r>
        <w:r>
          <w:instrText xml:space="preserve"> PAGE   \* MERGEFORMAT </w:instrText>
        </w:r>
        <w:r>
          <w:fldChar w:fldCharType="separate"/>
        </w:r>
        <w:r w:rsidR="005D01AD">
          <w:rPr>
            <w:noProof/>
          </w:rPr>
          <w:t>5</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52052"/>
      <w:docPartObj>
        <w:docPartGallery w:val="Page Numbers (Bottom of Page)"/>
        <w:docPartUnique/>
      </w:docPartObj>
    </w:sdtPr>
    <w:sdtEndPr>
      <w:rPr>
        <w:noProof/>
      </w:rPr>
    </w:sdtEndPr>
    <w:sdtContent>
      <w:p w14:paraId="3B328F9A" w14:textId="46F7A8F8" w:rsidR="00255AD0" w:rsidRDefault="00255AD0">
        <w:pPr>
          <w:pStyle w:val="Footer"/>
          <w:jc w:val="center"/>
        </w:pPr>
        <w:r>
          <w:fldChar w:fldCharType="begin"/>
        </w:r>
        <w:r>
          <w:instrText xml:space="preserve"> PAGE   \* MERGEFORMAT </w:instrText>
        </w:r>
        <w:r>
          <w:fldChar w:fldCharType="separate"/>
        </w:r>
        <w:r>
          <w:t>2</w:t>
        </w:r>
        <w: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422E" w14:textId="77777777" w:rsidR="00500CF9" w:rsidRDefault="00500CF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64E46" w14:textId="77777777" w:rsidR="00500CF9" w:rsidRDefault="00500CF9">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96751"/>
      <w:docPartObj>
        <w:docPartGallery w:val="Page Numbers (Bottom of Page)"/>
        <w:docPartUnique/>
      </w:docPartObj>
    </w:sdtPr>
    <w:sdtEndPr>
      <w:rPr>
        <w:noProof/>
      </w:rPr>
    </w:sdtEndPr>
    <w:sdtContent>
      <w:p w14:paraId="70148179" w14:textId="78B97BD4" w:rsidR="00C901C0" w:rsidRDefault="00C901C0">
        <w:pPr>
          <w:pStyle w:val="Footer"/>
          <w:jc w:val="center"/>
        </w:pPr>
        <w:r>
          <w:fldChar w:fldCharType="begin"/>
        </w:r>
        <w:r>
          <w:instrText xml:space="preserve"> PAGE   \* MERGEFORMAT </w:instrText>
        </w:r>
        <w:r>
          <w:fldChar w:fldCharType="separate"/>
        </w:r>
        <w:r>
          <w:t>2</w:t>
        </w:r>
        <w: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C36F" w14:textId="77777777" w:rsidR="00500CF9" w:rsidRDefault="00500CF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6E98B" w14:textId="77777777" w:rsidR="00500CF9" w:rsidRDefault="00500CF9">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693047"/>
      <w:docPartObj>
        <w:docPartGallery w:val="Page Numbers (Bottom of Page)"/>
        <w:docPartUnique/>
      </w:docPartObj>
    </w:sdtPr>
    <w:sdtEndPr>
      <w:rPr>
        <w:noProof/>
      </w:rPr>
    </w:sdtEndPr>
    <w:sdtContent>
      <w:p w14:paraId="7E15F621" w14:textId="5630721C" w:rsidR="00C901C0" w:rsidRDefault="00C901C0">
        <w:pPr>
          <w:pStyle w:val="Footer"/>
          <w:jc w:val="center"/>
        </w:pPr>
        <w:r>
          <w:fldChar w:fldCharType="begin"/>
        </w:r>
        <w:r>
          <w:instrText xml:space="preserve"> PAGE   \* MERGEFORMAT </w:instrText>
        </w:r>
        <w:r>
          <w:fldChar w:fldCharType="separate"/>
        </w:r>
        <w:r>
          <w:t>2</w:t>
        </w:r>
        <w:r>
          <w:fldChar w:fldCharType="end"/>
        </w:r>
      </w:p>
    </w:sdtContent>
  </w:sdt>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6279" w14:textId="77777777" w:rsidR="00500CF9" w:rsidRDefault="00500CF9">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046ED" w14:textId="77777777" w:rsidR="00CC77A7" w:rsidRDefault="00CC77A7">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497877"/>
      <w:docPartObj>
        <w:docPartGallery w:val="Page Numbers (Bottom of Page)"/>
        <w:docPartUnique/>
      </w:docPartObj>
    </w:sdtPr>
    <w:sdtEndPr>
      <w:rPr>
        <w:noProof/>
      </w:rPr>
    </w:sdtEndPr>
    <w:sdtContent>
      <w:p w14:paraId="4BC1F876" w14:textId="7D9A3EE9" w:rsidR="00C901C0" w:rsidRDefault="00C901C0">
        <w:pPr>
          <w:pStyle w:val="Footer"/>
          <w:jc w:val="center"/>
        </w:pPr>
        <w:r>
          <w:fldChar w:fldCharType="begin"/>
        </w:r>
        <w:r>
          <w:instrText xml:space="preserve"> PAGE   \* MERGEFORMAT </w:instrText>
        </w:r>
        <w:r>
          <w:fldChar w:fldCharType="separate"/>
        </w:r>
        <w: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F9771" w14:textId="77777777" w:rsidR="00CC77A7" w:rsidRDefault="00CC77A7">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E91AF" w14:textId="77777777" w:rsidR="00CC77A7" w:rsidRDefault="00CC77A7">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73775" w14:textId="77777777" w:rsidR="00500CF9" w:rsidRDefault="00500CF9">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022436"/>
      <w:docPartObj>
        <w:docPartGallery w:val="Page Numbers (Bottom of Page)"/>
        <w:docPartUnique/>
      </w:docPartObj>
    </w:sdtPr>
    <w:sdtEndPr>
      <w:rPr>
        <w:noProof/>
      </w:rPr>
    </w:sdtEndPr>
    <w:sdtContent>
      <w:p w14:paraId="064217B5" w14:textId="32D82242" w:rsidR="00C901C0" w:rsidRDefault="00C901C0">
        <w:pPr>
          <w:pStyle w:val="Footer"/>
          <w:jc w:val="center"/>
        </w:pPr>
        <w:r>
          <w:fldChar w:fldCharType="begin"/>
        </w:r>
        <w:r>
          <w:instrText xml:space="preserve"> PAGE   \* MERGEFORMAT </w:instrText>
        </w:r>
        <w:r>
          <w:fldChar w:fldCharType="separate"/>
        </w:r>
        <w:r>
          <w:t>2</w:t>
        </w:r>
        <w:r>
          <w:fldChar w:fldCharType="end"/>
        </w:r>
      </w:p>
    </w:sdtContent>
  </w:sdt>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F062" w14:textId="77777777" w:rsidR="00500CF9" w:rsidRDefault="00500CF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6825D" w14:textId="77777777" w:rsidR="00500CF9" w:rsidRDefault="00500CF9">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818058"/>
      <w:docPartObj>
        <w:docPartGallery w:val="Page Numbers (Bottom of Page)"/>
        <w:docPartUnique/>
      </w:docPartObj>
    </w:sdtPr>
    <w:sdtEndPr>
      <w:rPr>
        <w:noProof/>
      </w:rPr>
    </w:sdtEndPr>
    <w:sdtContent>
      <w:p w14:paraId="733BA8AA" w14:textId="357E2AB2" w:rsidR="00566C39" w:rsidRDefault="00566C39">
        <w:pPr>
          <w:pStyle w:val="Footer"/>
          <w:jc w:val="center"/>
        </w:pPr>
        <w:r>
          <w:fldChar w:fldCharType="begin"/>
        </w:r>
        <w:r>
          <w:instrText xml:space="preserve"> PAGE   \* MERGEFORMAT </w:instrText>
        </w:r>
        <w:r>
          <w:fldChar w:fldCharType="separate"/>
        </w:r>
        <w:r>
          <w:t>2</w:t>
        </w:r>
        <w: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B4631" w14:textId="77777777" w:rsidR="00500CF9" w:rsidRDefault="00500CF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CEF8" w14:textId="77777777" w:rsidR="00500CF9" w:rsidRDefault="00500CF9">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83248"/>
      <w:docPartObj>
        <w:docPartGallery w:val="Page Numbers (Bottom of Page)"/>
        <w:docPartUnique/>
      </w:docPartObj>
    </w:sdtPr>
    <w:sdtEndPr>
      <w:rPr>
        <w:noProof/>
      </w:rPr>
    </w:sdtEndPr>
    <w:sdtContent>
      <w:p w14:paraId="698FC6A9" w14:textId="48B5AF50" w:rsidR="00566C39" w:rsidRDefault="00566C39">
        <w:pPr>
          <w:pStyle w:val="Footer"/>
          <w:jc w:val="center"/>
        </w:pPr>
        <w:r>
          <w:fldChar w:fldCharType="begin"/>
        </w:r>
        <w:r>
          <w:instrText xml:space="preserve"> PAGE   \* MERGEFORMAT </w:instrText>
        </w:r>
        <w:r>
          <w:fldChar w:fldCharType="separate"/>
        </w:r>
        <w:r>
          <w:t>2</w:t>
        </w:r>
        <w:r>
          <w:fldChar w:fldCharType="end"/>
        </w:r>
      </w:p>
    </w:sdtContent>
  </w:sdt>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AC151" w14:textId="77777777" w:rsidR="00500CF9" w:rsidRDefault="00500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7C1A4" w14:textId="77777777" w:rsidR="00621923" w:rsidRDefault="00621923">
      <w:pPr>
        <w:spacing w:after="0" w:line="240" w:lineRule="auto"/>
      </w:pPr>
      <w:r>
        <w:separator/>
      </w:r>
    </w:p>
  </w:footnote>
  <w:footnote w:type="continuationSeparator" w:id="0">
    <w:p w14:paraId="54726738" w14:textId="77777777" w:rsidR="00621923" w:rsidRDefault="00621923">
      <w:pPr>
        <w:spacing w:after="0" w:line="240" w:lineRule="auto"/>
      </w:pPr>
      <w:r>
        <w:continuationSeparator/>
      </w:r>
    </w:p>
  </w:footnote>
  <w:footnote w:type="continuationNotice" w:id="1">
    <w:p w14:paraId="386124C7" w14:textId="77777777" w:rsidR="00621923" w:rsidRDefault="00621923">
      <w:pPr>
        <w:spacing w:after="0" w:line="240" w:lineRule="auto"/>
      </w:pPr>
    </w:p>
  </w:footnote>
  <w:footnote w:id="2">
    <w:p w14:paraId="4DE4C5A2" w14:textId="77777777" w:rsidR="00271EF8" w:rsidRPr="00DA626D" w:rsidRDefault="00271EF8">
      <w:pPr>
        <w:pStyle w:val="FootnoteText"/>
        <w:ind w:left="0" w:firstLine="0"/>
      </w:pPr>
      <w:r>
        <w:rPr>
          <w:rStyle w:val="FootnoteReference"/>
        </w:rPr>
        <w:footnoteRef/>
      </w:r>
      <w:r>
        <w:t xml:space="preserve"> România nu și-a îndeplinit încă această obligație legală și este în curs o procedură de constatare a neîndeplinirii obligațiilor. Recunoașterea datei de transmitere a PNCPA în cadrul planului nu echivalează cu aprobarea Comisiei. Acest lucru nu aduce atingere procedurii de constatare a neîndeplinirii obligațiilor care este în curs de desfășurare pentru neprezentarea PNCPA.</w:t>
      </w:r>
    </w:p>
  </w:footnote>
  <w:footnote w:id="3">
    <w:p w14:paraId="7363E75D"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
    <w:p w14:paraId="5AAFDAC3"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5">
    <w:p w14:paraId="27684DF9"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6">
    <w:p w14:paraId="678408D8"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7">
    <w:p w14:paraId="4F5439EF"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Cu excepția proiectelor din cadrul acestei măsuri care au ca obiect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8">
    <w:p w14:paraId="6D3F5C24"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9">
    <w:p w14:paraId="32BEB482"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10">
    <w:p w14:paraId="591FBA90" w14:textId="77777777" w:rsidR="00500CF9" w:rsidRPr="00DA626D" w:rsidRDefault="00500CF9">
      <w:pPr>
        <w:spacing w:after="0"/>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11">
    <w:p w14:paraId="4155DF5E" w14:textId="77777777" w:rsidR="00500CF9" w:rsidRPr="00DA626D" w:rsidRDefault="00500CF9">
      <w:pPr>
        <w:pStyle w:val="FootnoteText"/>
      </w:pPr>
      <w:r>
        <w:rPr>
          <w:rStyle w:val="FootnoteReference"/>
          <w:lang w:val="en-GB"/>
        </w:rPr>
        <w:footnoteRef/>
      </w:r>
      <w:r>
        <w:t xml:space="preserve"> https://ec.europa.eu/newsroom/dae/document.cfm?doc_id=75185</w:t>
      </w:r>
    </w:p>
  </w:footnote>
  <w:footnote w:id="12">
    <w:p w14:paraId="1666ECEC" w14:textId="77777777" w:rsidR="00500CF9" w:rsidRPr="00DA626D" w:rsidRDefault="00500CF9">
      <w:pPr>
        <w:pStyle w:val="FootnoteText"/>
        <w:ind w:left="0" w:firstLine="0"/>
      </w:pPr>
      <w:r>
        <w:rPr>
          <w:rStyle w:val="FootnoteReference"/>
          <w:lang w:val="en-GB"/>
        </w:rPr>
        <w:footnoteRef/>
      </w:r>
      <w:r>
        <w:t xml:space="preserve"> Disponibil la adresa https://e3p.jrc.ec.europa.eu/publications/2021-best-practice-guidelines-eu-code-conduct-data-centre-energy-efficiency</w:t>
      </w:r>
    </w:p>
  </w:footnote>
  <w:footnote w:id="13">
    <w:p w14:paraId="059BD010" w14:textId="77777777" w:rsidR="00500CF9" w:rsidRPr="00DA626D" w:rsidRDefault="00500CF9">
      <w:pPr>
        <w:pStyle w:val="FootnoteText"/>
      </w:pPr>
      <w:r>
        <w:rPr>
          <w:rStyle w:val="FootnoteReference"/>
          <w:lang w:val="en-GB"/>
        </w:rPr>
        <w:footnoteRef/>
      </w:r>
      <w:r>
        <w:t xml:space="preserve"> https://ec.europa.eu/isa2/sites/default/files/eif_brochure_final.pdf</w:t>
      </w:r>
    </w:p>
  </w:footnote>
  <w:footnote w:id="14">
    <w:p w14:paraId="45899D60" w14:textId="77777777" w:rsidR="00500CF9" w:rsidRPr="00DA626D" w:rsidRDefault="00500CF9">
      <w:pPr>
        <w:pStyle w:val="FootnoteText"/>
      </w:pPr>
      <w:r>
        <w:rPr>
          <w:rStyle w:val="FootnoteReference"/>
          <w:lang w:val="en-GB"/>
        </w:rPr>
        <w:footnoteRef/>
      </w:r>
      <w:r>
        <w:t xml:space="preserve"> https://ec.europa.eu/newsroom/dae/document.cfm?doc_id=75185</w:t>
      </w:r>
    </w:p>
  </w:footnote>
  <w:footnote w:id="15">
    <w:p w14:paraId="7ECD4A62"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16">
    <w:p w14:paraId="24AB8F09"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17">
    <w:p w14:paraId="649B0271"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instalații destinate exclusiv tratării deșeurilor periculoase nereciclabile și în instalații existente, în cazul în care acțiunile vizează sporirea eficienței energetice, captarea gazelor de evacuare pentru depozitare ori utilizare sau recuperarea materialelor din cenușa de incinerare, cu condiția ca astfel de acțiuni să nu conducă la o sporire a capacității instalațiilor de a prelucra deșeuri sau la o prelungire a duratei de viață a instalațiilor, lucru pentru care se furnizează dovezi la nivel de instalație.</w:t>
      </w:r>
    </w:p>
  </w:footnote>
  <w:footnote w:id="18">
    <w:p w14:paraId="29B98F68"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instalații existente de tratare mecano-biologică, în cazul în care acțiunile vizează sporirea eficienței energetice sau modernizarea operațiunilor de reciclare a deșeurilor separate pentru compostarea biodeșeurilor și digestia anaerobă a biodeșeurilor, cu condiția ca astfel de acțiuni să nu conducă la o sporire a capacității instalațiilor de a prelucra deșeuri sau la o prelungire a duratei de viață a instalațiilor, lucru pentru care se furnizează dovezi la nivel de instalație.</w:t>
      </w:r>
    </w:p>
  </w:footnote>
  <w:footnote w:id="19">
    <w:p w14:paraId="21BECF46"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20">
    <w:p w14:paraId="30226B2D"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21">
    <w:p w14:paraId="33766069"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22">
    <w:p w14:paraId="5F5D656C"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23">
    <w:p w14:paraId="1D08D2CD" w14:textId="77777777" w:rsidR="00500CF9" w:rsidRPr="00DA626D" w:rsidRDefault="00500CF9">
      <w:pPr>
        <w:pStyle w:val="FootnoteText"/>
        <w:ind w:left="0" w:hanging="11"/>
      </w:pPr>
      <w:r>
        <w:rPr>
          <w:rStyle w:val="FootnoteReference"/>
          <w:lang w:val="en-GB"/>
        </w:rPr>
        <w:footnoteRef/>
      </w:r>
      <w:r>
        <w:t xml:space="preserve"> Cu excepția proiectelor din cadrul acestei măsuri care au ca obiect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24">
    <w:p w14:paraId="768BD1E5" w14:textId="77777777" w:rsidR="00500CF9" w:rsidRPr="00DA626D" w:rsidRDefault="00500CF9">
      <w:pPr>
        <w:pStyle w:val="FootnoteText"/>
        <w:ind w:left="0" w:hanging="11"/>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25">
    <w:p w14:paraId="6D002CB5" w14:textId="77777777" w:rsidR="00500CF9" w:rsidRPr="00DA626D" w:rsidRDefault="00500CF9">
      <w:pPr>
        <w:spacing w:after="0" w:line="240" w:lineRule="auto"/>
        <w:ind w:hanging="11"/>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26">
    <w:p w14:paraId="3AC018F6" w14:textId="77777777" w:rsidR="00500CF9" w:rsidRPr="00DA626D" w:rsidRDefault="00500CF9">
      <w:pPr>
        <w:pStyle w:val="FootnoteText"/>
        <w:ind w:left="0" w:hanging="11"/>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27">
    <w:p w14:paraId="768A5CEC" w14:textId="77777777" w:rsidR="00500CF9" w:rsidRPr="00DA626D" w:rsidRDefault="00500CF9">
      <w:pPr>
        <w:pStyle w:val="FootnoteText"/>
        <w:ind w:left="0" w:firstLine="0"/>
      </w:pPr>
      <w:r>
        <w:rPr>
          <w:rStyle w:val="FootnoteReference"/>
          <w:lang w:val="en-GB"/>
        </w:rPr>
        <w:footnoteRef/>
      </w:r>
      <w:r>
        <w:t xml:space="preserve"> Cu excepția proiectelor din cadrul acestei măsuri care au ca obiect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28">
    <w:p w14:paraId="351BB57B"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29">
    <w:p w14:paraId="030E1152" w14:textId="77777777" w:rsidR="00500CF9" w:rsidRPr="00DA626D" w:rsidRDefault="00500CF9">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30">
    <w:p w14:paraId="4DBB1DE7"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31">
    <w:p w14:paraId="1E76F9B8"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32">
    <w:p w14:paraId="5556C74F"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33">
    <w:p w14:paraId="7D28F5C4" w14:textId="77777777" w:rsidR="00500CF9" w:rsidRPr="00DA626D" w:rsidRDefault="00500CF9">
      <w:pPr>
        <w:pStyle w:val="FootnoteText"/>
        <w:ind w:left="0" w:firstLine="0"/>
      </w:pPr>
      <w:r>
        <w:rPr>
          <w:rStyle w:val="FootnoteReference"/>
          <w:lang w:val="en-GB"/>
        </w:rPr>
        <w:footnoteRef/>
      </w:r>
      <w:r>
        <w:t xml:space="preserve"> Cu excepția proiectelor din cadrul acestei măsuri care au ca obiect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34">
    <w:p w14:paraId="276958C4"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35">
    <w:p w14:paraId="0F7F14B9" w14:textId="77777777" w:rsidR="00500CF9" w:rsidRPr="00DA626D" w:rsidRDefault="00500CF9">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36">
    <w:p w14:paraId="194AB58E"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37">
    <w:p w14:paraId="6223D2D7"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38">
    <w:p w14:paraId="135C5C2C"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39">
    <w:p w14:paraId="5948C432" w14:textId="77777777" w:rsidR="00500CF9" w:rsidRPr="00DA626D" w:rsidRDefault="00500CF9">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Această excludere nu se aplică acțiunilor întreprinse în cadrul acestei măsuri care sunt legate de instalațiile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0">
    <w:p w14:paraId="579BA58D"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1">
    <w:p w14:paraId="092B07F0"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42">
    <w:p w14:paraId="52DC4360"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43">
    <w:p w14:paraId="671194C3" w14:textId="77777777" w:rsidR="00500CF9" w:rsidRPr="00DA626D" w:rsidRDefault="00500CF9">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Această excludere nu se aplică acțiunilor întreprinse în cadrul acestei măsuri care sunt legate de instalațiile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4">
    <w:p w14:paraId="2884E358"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5">
    <w:p w14:paraId="0D126D08" w14:textId="77777777" w:rsidR="00500CF9" w:rsidRPr="00DA626D" w:rsidRDefault="00500CF9">
      <w:pPr>
        <w:pStyle w:val="FootnoteText"/>
        <w:ind w:left="0" w:firstLine="0"/>
      </w:pPr>
      <w:r>
        <w:rPr>
          <w:rStyle w:val="FootnoteReference"/>
          <w:lang w:val="en-GB"/>
        </w:rPr>
        <w:footnoteRef/>
      </w:r>
      <w:r>
        <w:t xml:space="preserve"> Cu excepția proiectelor privind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46">
    <w:p w14:paraId="16ED7904" w14:textId="77777777" w:rsidR="00500CF9" w:rsidRPr="00DA626D" w:rsidRDefault="00500CF9">
      <w:pPr>
        <w:pStyle w:val="FootnoteText"/>
        <w:ind w:left="0" w:firstLine="0"/>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47">
    <w:p w14:paraId="2F484F44" w14:textId="77777777" w:rsidR="00500CF9" w:rsidRPr="00DA626D" w:rsidRDefault="00500CF9">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 xml:space="preserve"> Această excludere nu se aplică acțiunilor întreprinse în cadrul acestei măsuri care sunt legate de instalațiile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8">
    <w:p w14:paraId="0415C21E" w14:textId="77777777" w:rsidR="00500CF9" w:rsidRPr="00DA626D" w:rsidRDefault="00500CF9">
      <w:pPr>
        <w:pStyle w:val="FootnoteText"/>
        <w:ind w:left="0" w:firstLine="0"/>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49">
    <w:p w14:paraId="30D62F31" w14:textId="77777777" w:rsidR="007873BE" w:rsidRPr="00DA626D" w:rsidRDefault="007873BE">
      <w:pPr>
        <w:spacing w:after="0" w:line="240" w:lineRule="auto"/>
        <w:jc w:val="both"/>
        <w:rPr>
          <w:rFonts w:ascii="Times New Roman" w:hAnsi="Times New Roman" w:cs="Times New Roman"/>
          <w:sz w:val="20"/>
          <w:szCs w:val="20"/>
        </w:rPr>
      </w:pPr>
      <w:r>
        <w:rPr>
          <w:rStyle w:val="FootnoteReference"/>
          <w:sz w:val="20"/>
          <w:szCs w:val="20"/>
          <w:lang w:val="en-GB"/>
        </w:rPr>
        <w:footnoteRef/>
      </w:r>
      <w:r>
        <w:rPr>
          <w:rFonts w:ascii="Times New Roman" w:hAnsi="Times New Roman"/>
          <w:sz w:val="20"/>
        </w:rPr>
        <w:t xml:space="preserve"> Unitățile teritorial-administrative sunt definite ca fiind „rurale” în conformitate cu „Manualul metodologic privind tipologiile teritoriale – ediția 2018” (cunoscută și ca metodologia DEGURBA) sau clasificarea îmbunătățită a regiunilor mici de către OCDE (Fadic, M., et al. (2019), </w:t>
      </w:r>
      <w:r>
        <w:rPr>
          <w:rFonts w:ascii="Times New Roman" w:hAnsi="Times New Roman"/>
          <w:i/>
          <w:iCs/>
          <w:sz w:val="20"/>
        </w:rPr>
        <w:t>Classifying small (TL3) regions based on metropolitan population, low density and remoteness</w:t>
      </w:r>
      <w:r>
        <w:rPr>
          <w:rFonts w:ascii="Times New Roman" w:hAnsi="Times New Roman"/>
          <w:sz w:val="20"/>
        </w:rPr>
        <w:t xml:space="preserve"> (Clasificarea regiunilor mici (TL3) pe baza populației metropolitane, a densității scăzute și a depărtării), OECD Regional Development Working Papers, nr. 2019/06, OECD Publishing, Paris, </w:t>
      </w:r>
      <w:hyperlink r:id="rId1" w:history="1">
        <w:r>
          <w:rPr>
            <w:rStyle w:val="Hyperlink"/>
            <w:rFonts w:ascii="Times New Roman" w:hAnsi="Times New Roman"/>
            <w:sz w:val="20"/>
          </w:rPr>
          <w:t>https://doi.org/10.1787/b902cc00-en</w:t>
        </w:r>
      </w:hyperlink>
      <w:r>
        <w:rPr>
          <w:rFonts w:ascii="Times New Roman" w:hAnsi="Times New Roman"/>
          <w:sz w:val="20"/>
        </w:rPr>
        <w:t>).</w:t>
      </w:r>
    </w:p>
  </w:footnote>
  <w:footnote w:id="50">
    <w:p w14:paraId="0FF87870" w14:textId="77777777" w:rsidR="002B1133" w:rsidRPr="00DA626D" w:rsidRDefault="002B1133">
      <w:pPr>
        <w:pStyle w:val="FootnoteText"/>
      </w:pPr>
      <w:r>
        <w:rPr>
          <w:rStyle w:val="FootnoteReference"/>
          <w:lang w:val="en-GB"/>
        </w:rPr>
        <w:footnoteRef/>
      </w:r>
      <w:r>
        <w:t xml:space="preserve"> Investițiile 13 și 14 sunt incluse în secțiunea O.3.</w:t>
      </w:r>
    </w:p>
  </w:footnote>
  <w:footnote w:id="51">
    <w:p w14:paraId="4A310819" w14:textId="77777777" w:rsidR="002B1133" w:rsidRPr="00DA626D" w:rsidRDefault="002B1133">
      <w:pPr>
        <w:pStyle w:val="FootnoteText"/>
        <w:ind w:left="0" w:firstLine="0"/>
      </w:pPr>
      <w:r>
        <w:rPr>
          <w:rStyle w:val="FootnoteReference"/>
          <w:lang w:val="en-GB"/>
        </w:rPr>
        <w:footnoteRef/>
      </w:r>
      <w:r>
        <w:t xml:space="preserve"> Cu excepția proiectelor din cadrul acestei măsuri care au ca obiect generarea de energie electrică și/sau termică, precum și a infrastructurii conexe de transport și distribuție pe gaze naturale, care respectă condițiile prevăzute în anexa III la Orientările tehnice privind aplicarea principiului de „a nu aduce prejudicii semnificative” (2021/C58/01).</w:t>
      </w:r>
    </w:p>
  </w:footnote>
  <w:footnote w:id="52">
    <w:p w14:paraId="561095C0" w14:textId="77777777" w:rsidR="002B1133" w:rsidRPr="00DA626D" w:rsidRDefault="002B1133">
      <w:pPr>
        <w:pStyle w:val="FootnoteText"/>
        <w:ind w:left="0" w:hanging="11"/>
      </w:pPr>
      <w:r>
        <w:rPr>
          <w:rStyle w:val="FootnoteReference"/>
          <w:lang w:val="en-GB"/>
        </w:rPr>
        <w:footnoteRef/>
      </w:r>
      <w:r>
        <w:t xml:space="preserve"> În cazul în care activitatea care beneficiază de sprijin generează emisii preconizate de gaze cu efect de seră care nu sunt semnificativ mai mici decât valorile de referință relevante, ar trebui să se furnizeze o explicație a motivelor pentru care acest lucru nu este posibil. Valorile de referință stabilite pentru alocarea cu titlu gratuit pentru activitățile care intra în sfera de aplicare a sistemului UE de comercializare a certificatelor de emisii, în conformitate cu Regulamentul de punere în aplicare (UE) 2021/447 al Comisiei.</w:t>
      </w:r>
    </w:p>
  </w:footnote>
  <w:footnote w:id="53">
    <w:p w14:paraId="554DCB74" w14:textId="77777777" w:rsidR="002B1133" w:rsidRPr="00DA626D" w:rsidRDefault="002B1133">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rPr>
        <w:t>Această excludere nu se aplică acțiunilor întreprinse în cadrul acestei măsuri în instalații destinate exclusiv tratării deșeurilor periculoase nereciclabile și instalații existente, în cazul în care acțiunile din cadrul acestei măsuri vizează sporirea eficienței energetice, captarea gazelor de evacuare pentru depozitare ori utilizare sau recuperarea materialelor din cenușa de incinerare,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54">
    <w:p w14:paraId="2482FFC7" w14:textId="77777777" w:rsidR="002B1133" w:rsidRPr="00DA626D" w:rsidRDefault="002B1133">
      <w:pPr>
        <w:pStyle w:val="FootnoteText"/>
        <w:ind w:left="0" w:hanging="11"/>
      </w:pPr>
      <w:r>
        <w:rPr>
          <w:rStyle w:val="FootnoteReference"/>
          <w:lang w:val="en-GB"/>
        </w:rPr>
        <w:footnoteRef/>
      </w:r>
      <w:r>
        <w:t xml:space="preserve"> Această excludere nu se aplică acțiunilor întreprinse în cadrul acestei măsuri în instalații existente de tratare mecano-biologică, în cazul în care acțiunile din cadrul acestei măsuri vizează sporirea eficienței energetice sau modernizarea operațiunilor de reciclare a deșeurilor separate pentru compostarea biodeșeurilor și digestia anaerobă a biodeșeurilor, cu condiția ca astfel de acțiuni din cadrul acestei măsuri să nu conducă la o sporire a capacității instalațiilor de a prelucra deșeuri sau la o prelungire a duratei de viață a instalațiilor, pentru care se furnizează dovezi la nivel de instalație.</w:t>
      </w:r>
    </w:p>
  </w:footnote>
  <w:footnote w:id="55">
    <w:p w14:paraId="509B3894" w14:textId="77777777" w:rsidR="002B1133" w:rsidRPr="00DA626D" w:rsidRDefault="002B1133">
      <w:pPr>
        <w:pStyle w:val="FootnoteText"/>
      </w:pPr>
      <w:r>
        <w:rPr>
          <w:rStyle w:val="FootnoteReference"/>
          <w:lang w:val="en-GB"/>
        </w:rPr>
        <w:footnoteRef/>
      </w:r>
      <w:r>
        <w:t xml:space="preserve"> Investițiile 12 și 13 sunt incluse în secțiunea O.3.</w:t>
      </w:r>
    </w:p>
  </w:footnote>
  <w:footnote w:id="56">
    <w:p w14:paraId="6DD663F3" w14:textId="77777777" w:rsidR="002B1133" w:rsidRPr="00DA626D" w:rsidRDefault="002B1133">
      <w:pPr>
        <w:pStyle w:val="FootnoteText"/>
      </w:pPr>
      <w:r>
        <w:rPr>
          <w:rStyle w:val="FootnoteReference"/>
          <w:lang w:val="en-GB"/>
        </w:rPr>
        <w:footnoteRef/>
      </w:r>
      <w:r>
        <w:t xml:space="preserve"> Investiția 17 este inclusă în secțiunea O.3.</w:t>
      </w:r>
    </w:p>
  </w:footnote>
  <w:footnote w:id="57">
    <w:p w14:paraId="54C5477B" w14:textId="77777777" w:rsidR="002B1133" w:rsidRPr="00DA626D" w:rsidRDefault="002B1133">
      <w:pPr>
        <w:pStyle w:val="FootnoteText"/>
      </w:pPr>
      <w:r>
        <w:rPr>
          <w:rStyle w:val="FootnoteReference"/>
          <w:lang w:val="en-GB"/>
        </w:rPr>
        <w:footnoteRef/>
      </w:r>
      <w:r>
        <w:t xml:space="preserve"> Investiția 18 este inclusă în secțiunea O.3.</w:t>
      </w:r>
    </w:p>
  </w:footnote>
  <w:footnote w:id="58">
    <w:p w14:paraId="2F540A3C" w14:textId="77777777" w:rsidR="002B1133" w:rsidRPr="00DA626D" w:rsidRDefault="002B1133">
      <w:pPr>
        <w:pStyle w:val="FootnoteText"/>
      </w:pPr>
      <w:r>
        <w:rPr>
          <w:rStyle w:val="FootnoteReference"/>
          <w:lang w:val="en-GB"/>
        </w:rPr>
        <w:footnoteRef/>
      </w:r>
      <w:r>
        <w:t xml:space="preserve"> https://publications.jrc.ec.europa.eu/repository/handle/JRC107466</w:t>
      </w:r>
    </w:p>
  </w:footnote>
  <w:footnote w:id="59">
    <w:p w14:paraId="46195D63" w14:textId="77777777" w:rsidR="002B1133" w:rsidRPr="00DA626D" w:rsidRDefault="002B1133">
      <w:pPr>
        <w:pStyle w:val="FootnoteText"/>
      </w:pPr>
      <w:r>
        <w:rPr>
          <w:rStyle w:val="FootnoteReference"/>
          <w:lang w:val="en-GB"/>
        </w:rPr>
        <w:footnoteRef/>
      </w:r>
      <w:r>
        <w:t xml:space="preserve"> https://publications.jrc.ec.europa.eu/repository/handle/JRC106281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B1CA" w14:textId="77777777" w:rsidR="005D01AD" w:rsidRPr="005D01AD" w:rsidRDefault="005D01AD" w:rsidP="005D01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DCEAD" w14:textId="77777777" w:rsidR="007C595E" w:rsidRDefault="007C595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ED77" w14:textId="77777777" w:rsidR="00CC77A7" w:rsidRDefault="00CC77A7">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598CF" w14:textId="77777777" w:rsidR="00CC77A7" w:rsidRDefault="00CC77A7">
    <w:pPr>
      <w:pStyle w:val="Header"/>
      <w:spacing w:after="0"/>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08E9" w14:textId="77777777" w:rsidR="00CC77A7" w:rsidRDefault="00CC77A7">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D39ED" w14:textId="77777777" w:rsidR="007873BE" w:rsidRDefault="007873B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5F47" w14:textId="77777777" w:rsidR="007873BE" w:rsidRDefault="007873BE">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14480" w14:textId="77777777" w:rsidR="007873BE" w:rsidRDefault="007873B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7738" w14:textId="77777777" w:rsidR="007873BE" w:rsidRDefault="007873B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8150E" w14:textId="77777777" w:rsidR="007873BE" w:rsidRDefault="007873B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33741" w14:textId="77777777" w:rsidR="007873BE" w:rsidRDefault="007873B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BCC66" w14:textId="77777777" w:rsidR="007873BE" w:rsidRDefault="007873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6F91" w14:textId="77777777" w:rsidR="007C595E" w:rsidRDefault="007C595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40D72" w14:textId="77777777" w:rsidR="007873BE" w:rsidRDefault="007873BE">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FF4B5" w14:textId="77777777" w:rsidR="007873BE" w:rsidRDefault="007873B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81646" w14:textId="77777777" w:rsidR="00CC77A7" w:rsidRDefault="00CC77A7">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C1A5B" w14:textId="77777777" w:rsidR="00CC77A7" w:rsidRDefault="00CC77A7">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2366" w14:textId="77777777" w:rsidR="00CC77A7" w:rsidRDefault="00CC77A7">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FC8FB" w14:textId="77777777" w:rsidR="007873BE" w:rsidRDefault="007873B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BC8C" w14:textId="77777777" w:rsidR="007873BE" w:rsidRDefault="007873BE">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B73B" w14:textId="77777777" w:rsidR="007873BE" w:rsidRDefault="007873B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8DBAD" w14:textId="77777777" w:rsidR="007873BE" w:rsidRDefault="007873B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F5608" w14:textId="77777777" w:rsidR="007873BE" w:rsidRDefault="007873BE">
    <w:pPr>
      <w:pStyle w:val="HeaderLandscap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523C" w14:textId="77777777" w:rsidR="007C595E" w:rsidRDefault="007C595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0CCDA" w14:textId="77777777" w:rsidR="007873BE" w:rsidRDefault="007873BE">
    <w:pPr>
      <w:pStyle w:val="HeaderLandscape"/>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B836" w14:textId="77777777" w:rsidR="00981B4A" w:rsidRDefault="00981B4A">
    <w:pPr>
      <w:pBdr>
        <w:top w:val="nil"/>
        <w:left w:val="nil"/>
        <w:bottom w:val="nil"/>
        <w:right w:val="nil"/>
        <w:between w:val="nil"/>
      </w:pBdr>
      <w:tabs>
        <w:tab w:val="center" w:pos="4535"/>
        <w:tab w:val="right" w:pos="9071"/>
      </w:tabs>
      <w:rPr>
        <w:color w:val="000000"/>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D220" w14:textId="77777777" w:rsidR="00981B4A" w:rsidRDefault="00981B4A">
    <w:pPr>
      <w:pBdr>
        <w:top w:val="nil"/>
        <w:left w:val="nil"/>
        <w:bottom w:val="nil"/>
        <w:right w:val="nil"/>
        <w:between w:val="nil"/>
      </w:pBdr>
      <w:tabs>
        <w:tab w:val="center" w:pos="7285"/>
        <w:tab w:val="right" w:pos="14003"/>
      </w:tabs>
      <w:rPr>
        <w:color w:val="000000"/>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82AC" w14:textId="77777777" w:rsidR="00981B4A" w:rsidRDefault="00981B4A">
    <w:pPr>
      <w:pBdr>
        <w:top w:val="nil"/>
        <w:left w:val="nil"/>
        <w:bottom w:val="nil"/>
        <w:right w:val="nil"/>
        <w:between w:val="nil"/>
      </w:pBdr>
      <w:tabs>
        <w:tab w:val="center" w:pos="7285"/>
        <w:tab w:val="right" w:pos="14003"/>
      </w:tabs>
      <w:rPr>
        <w:color w:val="000000"/>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8F0D" w14:textId="77777777" w:rsidR="00981B4A" w:rsidRDefault="00981B4A">
    <w:pPr>
      <w:pBdr>
        <w:top w:val="nil"/>
        <w:left w:val="nil"/>
        <w:bottom w:val="nil"/>
        <w:right w:val="nil"/>
        <w:between w:val="nil"/>
      </w:pBdr>
      <w:tabs>
        <w:tab w:val="center" w:pos="4535"/>
        <w:tab w:val="right" w:pos="9071"/>
      </w:tabs>
      <w:rPr>
        <w:color w:val="000000"/>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A2E9" w14:textId="77777777" w:rsidR="00981B4A" w:rsidRDefault="00981B4A">
    <w:pPr>
      <w:pBdr>
        <w:top w:val="nil"/>
        <w:left w:val="nil"/>
        <w:bottom w:val="nil"/>
        <w:right w:val="nil"/>
        <w:between w:val="nil"/>
      </w:pBdr>
      <w:tabs>
        <w:tab w:val="center" w:pos="7285"/>
        <w:tab w:val="right" w:pos="14003"/>
      </w:tabs>
      <w:rPr>
        <w:color w:val="000000"/>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9DC7" w14:textId="77777777" w:rsidR="00981B4A" w:rsidRDefault="00981B4A">
    <w:pPr>
      <w:pBdr>
        <w:top w:val="nil"/>
        <w:left w:val="nil"/>
        <w:bottom w:val="nil"/>
        <w:right w:val="nil"/>
        <w:between w:val="nil"/>
      </w:pBdr>
      <w:tabs>
        <w:tab w:val="center" w:pos="7285"/>
        <w:tab w:val="right" w:pos="14003"/>
      </w:tabs>
      <w:rPr>
        <w:color w:val="000000"/>
      </w:rP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6CF2E" w14:textId="77777777" w:rsidR="00151654" w:rsidRDefault="0015165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505A3" w14:textId="77777777" w:rsidR="00151654" w:rsidRDefault="00151654">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7744B" w14:textId="77777777" w:rsidR="00151654" w:rsidRDefault="0015165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3B9F7" w14:textId="77777777" w:rsidR="00647F09" w:rsidRDefault="00647F09">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4A1F8" w14:textId="77777777" w:rsidR="00151654" w:rsidRDefault="00151654">
    <w:pPr>
      <w:pBdr>
        <w:top w:val="nil"/>
        <w:left w:val="nil"/>
        <w:bottom w:val="nil"/>
        <w:right w:val="nil"/>
        <w:between w:val="nil"/>
      </w:pBdr>
      <w:tabs>
        <w:tab w:val="center" w:pos="4535"/>
        <w:tab w:val="right" w:pos="9071"/>
      </w:tabs>
      <w:rPr>
        <w:color w:val="000000"/>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5DEF6" w14:textId="77777777" w:rsidR="00151654" w:rsidRDefault="00151654">
    <w:pPr>
      <w:pStyle w:val="HeaderLandscape"/>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8A25" w14:textId="77777777" w:rsidR="00151654" w:rsidRDefault="00151654">
    <w:pPr>
      <w:pStyle w:val="HeaderLandscape"/>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BF3A8" w14:textId="77777777" w:rsidR="00151654" w:rsidRDefault="00151654">
    <w:pPr>
      <w:pBdr>
        <w:top w:val="nil"/>
        <w:left w:val="nil"/>
        <w:bottom w:val="nil"/>
        <w:right w:val="nil"/>
        <w:between w:val="nil"/>
      </w:pBdr>
      <w:tabs>
        <w:tab w:val="center" w:pos="4535"/>
        <w:tab w:val="right" w:pos="9071"/>
      </w:tabs>
      <w:rPr>
        <w:color w:val="000000"/>
      </w:rP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C3A6" w14:textId="77777777" w:rsidR="00151654" w:rsidRDefault="00151654">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C62C" w14:textId="77777777" w:rsidR="00151654" w:rsidRDefault="00151654">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7E280" w14:textId="77777777" w:rsidR="00151654" w:rsidRDefault="00151654">
    <w:pPr>
      <w:pBdr>
        <w:top w:val="nil"/>
        <w:left w:val="nil"/>
        <w:bottom w:val="nil"/>
        <w:right w:val="nil"/>
        <w:between w:val="nil"/>
      </w:pBdr>
      <w:tabs>
        <w:tab w:val="center" w:pos="4535"/>
        <w:tab w:val="right" w:pos="9071"/>
      </w:tabs>
      <w:rPr>
        <w:color w:val="000000"/>
      </w:rP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B6D5" w14:textId="77777777" w:rsidR="00151654" w:rsidRDefault="00151654">
    <w:pPr>
      <w:pStyle w:val="HeaderLandscape"/>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CBC78" w14:textId="77777777" w:rsidR="00151654" w:rsidRDefault="00151654">
    <w:pPr>
      <w:pStyle w:val="HeaderLandscape"/>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4D9D3" w14:textId="77777777" w:rsidR="00CC77A7" w:rsidRDefault="00CC77A7">
    <w:pPr>
      <w:pBdr>
        <w:top w:val="nil"/>
        <w:left w:val="nil"/>
        <w:bottom w:val="nil"/>
        <w:right w:val="nil"/>
        <w:between w:val="nil"/>
      </w:pBdr>
      <w:tabs>
        <w:tab w:val="center" w:pos="4535"/>
        <w:tab w:val="right" w:pos="9071"/>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5E068" w14:textId="77777777" w:rsidR="00647F09" w:rsidRDefault="00647F0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491E5" w14:textId="77777777" w:rsidR="00CC77A7" w:rsidRDefault="00CC77A7">
    <w:pPr>
      <w:pStyle w:val="HeaderLandscape"/>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DC4F1" w14:textId="77777777" w:rsidR="00CC77A7" w:rsidRDefault="00CC77A7">
    <w:pPr>
      <w:pStyle w:val="HeaderLandscape"/>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AF796" w14:textId="77777777" w:rsidR="001C33F0" w:rsidRDefault="001C33F0">
    <w:pPr>
      <w:pBdr>
        <w:top w:val="nil"/>
        <w:left w:val="nil"/>
        <w:bottom w:val="nil"/>
        <w:right w:val="nil"/>
        <w:between w:val="nil"/>
      </w:pBdr>
      <w:tabs>
        <w:tab w:val="center" w:pos="4535"/>
        <w:tab w:val="right" w:pos="9071"/>
      </w:tabs>
      <w:rPr>
        <w:color w:val="000000"/>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493E" w14:textId="77777777" w:rsidR="001C33F0" w:rsidRDefault="001C33F0">
    <w:pPr>
      <w:pStyle w:val="HeaderLandscape"/>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3A71A" w14:textId="77777777" w:rsidR="001C33F0" w:rsidRDefault="001C33F0">
    <w:pPr>
      <w:pStyle w:val="HeaderLandscape"/>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0C24" w14:textId="77777777" w:rsidR="00CC77A7" w:rsidRDefault="00CC77A7">
    <w:pPr>
      <w:pBdr>
        <w:top w:val="nil"/>
        <w:left w:val="nil"/>
        <w:bottom w:val="nil"/>
        <w:right w:val="nil"/>
        <w:between w:val="nil"/>
      </w:pBdr>
      <w:tabs>
        <w:tab w:val="center" w:pos="4535"/>
        <w:tab w:val="right" w:pos="9071"/>
      </w:tabs>
      <w:rPr>
        <w:color w:val="000000"/>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9FC64" w14:textId="77777777" w:rsidR="00CC77A7" w:rsidRDefault="00CC77A7">
    <w:pPr>
      <w:pStyle w:val="HeaderLandscape"/>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47D8" w14:textId="77777777" w:rsidR="00CC77A7" w:rsidRDefault="00CC77A7">
    <w:pPr>
      <w:pStyle w:val="HeaderLandscape"/>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084A4" w14:textId="77777777" w:rsidR="002B1133" w:rsidRDefault="002B1133">
    <w:pPr>
      <w:pBdr>
        <w:top w:val="nil"/>
        <w:left w:val="nil"/>
        <w:bottom w:val="nil"/>
        <w:right w:val="nil"/>
        <w:between w:val="nil"/>
      </w:pBdr>
      <w:tabs>
        <w:tab w:val="center" w:pos="4535"/>
        <w:tab w:val="right" w:pos="9071"/>
      </w:tabs>
      <w:rPr>
        <w:color w:val="000000"/>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AD758" w14:textId="77777777" w:rsidR="002B1133" w:rsidRDefault="002B1133">
    <w:pPr>
      <w:pStyle w:val="HeaderLandscap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578E7" w14:textId="77777777" w:rsidR="00647F09" w:rsidRDefault="00647F09">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86208" w14:textId="77777777" w:rsidR="002B1133" w:rsidRDefault="002B1133">
    <w:pPr>
      <w:pStyle w:val="HeaderLandscape"/>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680D2" w14:textId="77777777" w:rsidR="002B1133" w:rsidRDefault="002B1133">
    <w:pPr>
      <w:pBdr>
        <w:top w:val="nil"/>
        <w:left w:val="nil"/>
        <w:bottom w:val="nil"/>
        <w:right w:val="nil"/>
        <w:between w:val="nil"/>
      </w:pBdr>
      <w:tabs>
        <w:tab w:val="center" w:pos="4535"/>
        <w:tab w:val="right" w:pos="9071"/>
      </w:tabs>
      <w:rPr>
        <w:color w:val="000000"/>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2C1DA" w14:textId="77777777" w:rsidR="002B1133" w:rsidRDefault="002B1133">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4DC2B" w14:textId="77777777" w:rsidR="002B1133" w:rsidRDefault="002B1133">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90BBB" w14:textId="77777777" w:rsidR="002B1133" w:rsidRDefault="002B1133">
    <w:pPr>
      <w:pBdr>
        <w:top w:val="nil"/>
        <w:left w:val="nil"/>
        <w:bottom w:val="nil"/>
        <w:right w:val="nil"/>
        <w:between w:val="nil"/>
      </w:pBdr>
      <w:tabs>
        <w:tab w:val="center" w:pos="4535"/>
        <w:tab w:val="right" w:pos="9071"/>
      </w:tabs>
      <w:rPr>
        <w:color w:val="000000"/>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CC74C" w14:textId="77777777" w:rsidR="002B1133" w:rsidRDefault="002B1133">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A1EDF" w14:textId="77777777" w:rsidR="002B1133" w:rsidRDefault="002B1133">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16490" w14:textId="77777777" w:rsidR="00CC77A7" w:rsidRDefault="00CC77A7">
    <w:pPr>
      <w:pBdr>
        <w:top w:val="nil"/>
        <w:left w:val="nil"/>
        <w:bottom w:val="nil"/>
        <w:right w:val="nil"/>
        <w:between w:val="nil"/>
      </w:pBdr>
      <w:tabs>
        <w:tab w:val="center" w:pos="4535"/>
        <w:tab w:val="right" w:pos="9071"/>
      </w:tabs>
      <w:rPr>
        <w:color w:val="000000"/>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898D" w14:textId="77777777" w:rsidR="00CC77A7" w:rsidRDefault="00CC77A7">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44E9" w14:textId="77777777" w:rsidR="00CC77A7" w:rsidRDefault="00CC77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6A742" w14:textId="77777777" w:rsidR="00647F09" w:rsidRDefault="00647F09">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FE2A" w14:textId="77777777" w:rsidR="00CC77A7" w:rsidRDefault="00CC77A7">
    <w:pPr>
      <w:pBdr>
        <w:top w:val="nil"/>
        <w:left w:val="nil"/>
        <w:bottom w:val="nil"/>
        <w:right w:val="nil"/>
        <w:between w:val="nil"/>
      </w:pBdr>
      <w:tabs>
        <w:tab w:val="center" w:pos="4535"/>
        <w:tab w:val="right" w:pos="9071"/>
      </w:tabs>
      <w:rPr>
        <w:color w:val="000000"/>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1877" w14:textId="77777777" w:rsidR="00CC77A7" w:rsidRDefault="00CC77A7">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E4F5" w14:textId="77777777" w:rsidR="00CC77A7" w:rsidRDefault="00CC77A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B3F8A" w14:textId="77777777" w:rsidR="00CC77A7" w:rsidRDefault="00CC77A7">
    <w:pPr>
      <w:pBdr>
        <w:top w:val="nil"/>
        <w:left w:val="nil"/>
        <w:bottom w:val="nil"/>
        <w:right w:val="nil"/>
        <w:between w:val="nil"/>
      </w:pBdr>
      <w:tabs>
        <w:tab w:val="center" w:pos="4535"/>
        <w:tab w:val="right" w:pos="9071"/>
      </w:tabs>
      <w:rPr>
        <w:color w:val="000000"/>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0E81A" w14:textId="77777777" w:rsidR="00CC77A7" w:rsidRDefault="00CC77A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BEF2" w14:textId="77777777" w:rsidR="00CC77A7" w:rsidRDefault="00CC77A7">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EF11" w14:textId="77777777" w:rsidR="00CC77A7" w:rsidRDefault="00CC77A7">
    <w:pPr>
      <w:pBdr>
        <w:top w:val="nil"/>
        <w:left w:val="nil"/>
        <w:bottom w:val="nil"/>
        <w:right w:val="nil"/>
        <w:between w:val="nil"/>
      </w:pBdr>
      <w:tabs>
        <w:tab w:val="center" w:pos="4535"/>
        <w:tab w:val="right" w:pos="9071"/>
      </w:tabs>
      <w:rPr>
        <w:color w:val="000000"/>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C20D" w14:textId="77777777" w:rsidR="00CC77A7" w:rsidRDefault="00CC77A7">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2F063" w14:textId="77777777" w:rsidR="00CC77A7" w:rsidRDefault="00CC77A7">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2B693" w14:textId="77777777" w:rsidR="00981F92" w:rsidRPr="00623DB4" w:rsidRDefault="00981F9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DBF7" w14:textId="77777777" w:rsidR="00647F09" w:rsidRDefault="00647F09">
    <w:pPr>
      <w:pStyle w:val="HeaderLandscape"/>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2B06" w14:textId="77777777" w:rsidR="00981F92" w:rsidRPr="00623DB4" w:rsidRDefault="00981F92">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55BE1" w14:textId="77777777" w:rsidR="00981F92" w:rsidRPr="00623DB4" w:rsidRDefault="00981F92">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8EA54" w14:textId="77777777" w:rsidR="00981F92" w:rsidRPr="00623DB4" w:rsidRDefault="00981F92">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B9184" w14:textId="77777777" w:rsidR="00B03DBC" w:rsidRPr="00623DB4" w:rsidRDefault="00B03DBC">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CF484" w14:textId="77777777" w:rsidR="00981F92" w:rsidRPr="00623DB4" w:rsidRDefault="00981F92">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05B6C" w14:textId="77777777" w:rsidR="00981F92" w:rsidRPr="00623DB4" w:rsidRDefault="00981F92">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5DF44" w14:textId="77777777" w:rsidR="00B03DBC" w:rsidRPr="00623DB4" w:rsidRDefault="00B03DBC">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21527" w14:textId="77777777" w:rsidR="00981F92" w:rsidRPr="00623DB4" w:rsidRDefault="00981F92">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2AA8" w14:textId="77777777" w:rsidR="00981F92" w:rsidRPr="00623DB4" w:rsidRDefault="00981F92">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7FFC6" w14:textId="77777777" w:rsidR="00B03DBC" w:rsidRPr="00623DB4" w:rsidRDefault="00B03D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272C5" w14:textId="77777777" w:rsidR="00647F09" w:rsidRDefault="00647F09">
    <w:pPr>
      <w:pStyle w:val="HeaderLandscape"/>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4F77F" w14:textId="77777777" w:rsidR="00981F92" w:rsidRPr="00623DB4" w:rsidRDefault="00981F92">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00FB" w14:textId="77777777" w:rsidR="00981F92" w:rsidRPr="00623DB4" w:rsidRDefault="00981F92">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4BE6" w14:textId="77777777" w:rsidR="00B03DBC" w:rsidRPr="00623DB4" w:rsidRDefault="00B03DBC">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A7E04" w14:textId="77777777" w:rsidR="00981F92" w:rsidRPr="00623DB4" w:rsidRDefault="00981F92">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7A86C" w14:textId="77777777" w:rsidR="00CC77A7" w:rsidRDefault="00CC77A7">
    <w:pPr>
      <w:pBdr>
        <w:top w:val="nil"/>
        <w:left w:val="nil"/>
        <w:bottom w:val="nil"/>
        <w:right w:val="nil"/>
        <w:between w:val="nil"/>
      </w:pBdr>
      <w:tabs>
        <w:tab w:val="center" w:pos="4535"/>
        <w:tab w:val="right" w:pos="9071"/>
      </w:tabs>
      <w:rPr>
        <w:color w:val="000000"/>
      </w:rP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5229" w14:textId="77777777" w:rsidR="00B03DBC" w:rsidRPr="00623DB4" w:rsidRDefault="00B03DBC">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769E0" w14:textId="77777777" w:rsidR="00CC77A7" w:rsidRDefault="00CC77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2BD41" w14:textId="77777777" w:rsidR="00647F09" w:rsidRDefault="00647F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A3C2" w14:textId="77777777" w:rsidR="005D01AD" w:rsidRPr="005D01AD" w:rsidRDefault="005D01AD" w:rsidP="005D01AD">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FC69C" w14:textId="77777777" w:rsidR="00647F09" w:rsidRDefault="00647F09">
    <w:pPr>
      <w:pStyle w:val="HeaderLandscap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B5B7" w14:textId="77777777" w:rsidR="00647F09" w:rsidRDefault="00647F09">
    <w:pPr>
      <w:pStyle w:val="HeaderLandscap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802CC" w14:textId="77777777" w:rsidR="00647F09" w:rsidRDefault="00647F0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0EA3" w14:textId="77777777" w:rsidR="00647F09" w:rsidRDefault="00647F09">
    <w:pPr>
      <w:pStyle w:val="HeaderLandscap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60983" w14:textId="77777777" w:rsidR="00647F09" w:rsidRDefault="00647F09">
    <w:pPr>
      <w:pStyle w:val="HeaderLandscap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B962C" w14:textId="77777777" w:rsidR="00CC77A7" w:rsidRDefault="00CC77A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81DB" w14:textId="77777777" w:rsidR="00CC77A7" w:rsidRDefault="00CC77A7">
    <w:pPr>
      <w:pStyle w:val="HeaderLandscap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C83B" w14:textId="77777777" w:rsidR="00CC77A7" w:rsidRDefault="00CC77A7">
    <w:pPr>
      <w:pStyle w:val="HeaderLandscap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4BCF" w14:textId="77777777" w:rsidR="00647F09" w:rsidRDefault="00647F0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7255" w14:textId="77777777" w:rsidR="00647F09" w:rsidRDefault="00647F09">
    <w:pPr>
      <w:pStyle w:val="HeaderLandscap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A4EDE" w14:textId="77777777" w:rsidR="005D01AD" w:rsidRPr="005D01AD" w:rsidRDefault="005D01AD" w:rsidP="005D01AD">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DD80" w14:textId="77777777" w:rsidR="00647F09" w:rsidRDefault="00647F09">
    <w:pPr>
      <w:pStyle w:val="HeaderLandscap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81227" w14:textId="77777777" w:rsidR="00647F09" w:rsidRDefault="00647F0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3B37" w14:textId="77777777" w:rsidR="00647F09" w:rsidRDefault="00647F09">
    <w:pPr>
      <w:pStyle w:val="HeaderLandscap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B5176" w14:textId="77777777" w:rsidR="00647F09" w:rsidRDefault="00647F09">
    <w:pPr>
      <w:pStyle w:val="HeaderLandscap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B151" w14:textId="77777777" w:rsidR="00271EF8" w:rsidRDefault="00271EF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AC64" w14:textId="77777777" w:rsidR="00271EF8" w:rsidRDefault="00271EF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E5FC1" w14:textId="77777777" w:rsidR="00271EF8" w:rsidRDefault="00271EF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2982" w14:textId="77777777" w:rsidR="00271EF8" w:rsidRDefault="00271EF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A9E6" w14:textId="77777777" w:rsidR="00271EF8" w:rsidRDefault="00271EF8">
    <w:pPr>
      <w:pStyle w:val="HeaderLandscape"/>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4A27C" w14:textId="77777777" w:rsidR="00271EF8" w:rsidRDefault="00271EF8">
    <w:pPr>
      <w:pStyle w:val="HeaderLandscap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38BD" w14:textId="77777777" w:rsidR="00CC77A7" w:rsidRDefault="00CC77A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1E4C" w14:textId="77777777" w:rsidR="00271EF8" w:rsidRDefault="00271EF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01B8" w14:textId="77777777" w:rsidR="00271EF8" w:rsidRDefault="00271EF8">
    <w:pPr>
      <w:pStyle w:val="HeaderLandscape"/>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71F29" w14:textId="77777777" w:rsidR="00271EF8" w:rsidRDefault="00271EF8">
    <w:pPr>
      <w:pStyle w:val="HeaderLandscape"/>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97FC0" w14:textId="77777777" w:rsidR="00271EF8" w:rsidRDefault="00271EF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B46C3" w14:textId="77777777" w:rsidR="00271EF8" w:rsidRDefault="00271EF8">
    <w:pPr>
      <w:pStyle w:val="HeaderLandscape"/>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CD1B6" w14:textId="77777777" w:rsidR="00271EF8" w:rsidRDefault="00271EF8">
    <w:pPr>
      <w:pStyle w:val="HeaderLandscape"/>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1A74" w14:textId="77777777" w:rsidR="00271EF8" w:rsidRDefault="00271EF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3731" w14:textId="77777777" w:rsidR="00271EF8" w:rsidRDefault="00271EF8">
    <w:pPr>
      <w:pStyle w:val="HeaderLandscape"/>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AE24" w14:textId="77777777" w:rsidR="00271EF8" w:rsidRDefault="00271EF8">
    <w:pPr>
      <w:pStyle w:val="HeaderLandscape"/>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A2795" w14:textId="77777777" w:rsidR="00271EF8" w:rsidRDefault="00271E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44655" w14:textId="77777777" w:rsidR="00CC77A7" w:rsidRDefault="00CC77A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87FF" w14:textId="77777777" w:rsidR="00271EF8" w:rsidRDefault="00271EF8">
    <w:pPr>
      <w:pStyle w:val="HeaderLandscape"/>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79C0" w14:textId="77777777" w:rsidR="00271EF8" w:rsidRDefault="00271EF8">
    <w:pPr>
      <w:pStyle w:val="HeaderLandscape"/>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043" w14:textId="77777777" w:rsidR="00500CF9" w:rsidRDefault="00500CF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A64FC" w14:textId="77777777" w:rsidR="00500CF9" w:rsidRDefault="00500CF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34D1" w14:textId="77777777" w:rsidR="00500CF9" w:rsidRDefault="00500CF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5B0FE" w14:textId="77777777" w:rsidR="00500CF9" w:rsidRDefault="00500CF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770E7" w14:textId="77777777" w:rsidR="00500CF9" w:rsidRDefault="00500CF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A5AFA" w14:textId="77777777" w:rsidR="00500CF9" w:rsidRDefault="00500CF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B9DEE" w14:textId="77777777" w:rsidR="00500CF9" w:rsidRDefault="00500CF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A324C" w14:textId="77777777" w:rsidR="00500CF9" w:rsidRDefault="00500C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05FCB" w14:textId="77777777" w:rsidR="00CC77A7" w:rsidRDefault="00CC77A7">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FBC04" w14:textId="77777777" w:rsidR="00500CF9" w:rsidRDefault="00500CF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25D5" w14:textId="77777777" w:rsidR="00500CF9" w:rsidRDefault="00500CF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BD438" w14:textId="77777777" w:rsidR="00500CF9" w:rsidRDefault="00500CF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A925" w14:textId="77777777" w:rsidR="00500CF9" w:rsidRDefault="00500CF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7421E" w14:textId="77777777" w:rsidR="00500CF9" w:rsidRDefault="00500CF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89CF" w14:textId="77777777" w:rsidR="00500CF9" w:rsidRDefault="00500CF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3EE38" w14:textId="77777777" w:rsidR="00500CF9" w:rsidRDefault="00500CF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2DFA" w14:textId="77777777" w:rsidR="00500CF9" w:rsidRDefault="00500CF9">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FC862" w14:textId="77777777" w:rsidR="00500CF9" w:rsidRDefault="00500CF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5611" w14:textId="77777777" w:rsidR="00500CF9" w:rsidRDefault="00500C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31F7C" w14:textId="77777777" w:rsidR="00CC77A7" w:rsidRDefault="00CC77A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98036" w14:textId="77777777" w:rsidR="00500CF9" w:rsidRDefault="00500CF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CEDC" w14:textId="77777777" w:rsidR="00500CF9" w:rsidRDefault="00500CF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1A5B" w14:textId="77777777" w:rsidR="00500CF9" w:rsidRDefault="00500CF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652C0" w14:textId="77777777" w:rsidR="00500CF9" w:rsidRDefault="00500CF9">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CC5A" w14:textId="77777777" w:rsidR="00500CF9" w:rsidRDefault="00500CF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6916D" w14:textId="77777777" w:rsidR="00500CF9" w:rsidRDefault="00500CF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5DD5F" w14:textId="77777777" w:rsidR="00500CF9" w:rsidRDefault="00500CF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5005" w14:textId="77777777" w:rsidR="00500CF9" w:rsidRDefault="00500CF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EF346" w14:textId="77777777" w:rsidR="00500CF9" w:rsidRDefault="00500CF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1CD9F" w14:textId="77777777" w:rsidR="00500CF9" w:rsidRDefault="00500C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A759" w14:textId="77777777" w:rsidR="00CC77A7" w:rsidRDefault="00CC77A7">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D7E3" w14:textId="77777777" w:rsidR="00500CF9" w:rsidRDefault="00500CF9">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9394" w14:textId="77777777" w:rsidR="00500CF9" w:rsidRDefault="00500CF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A7A23" w14:textId="77777777" w:rsidR="00500CF9" w:rsidRDefault="00500CF9">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2930" w14:textId="77777777" w:rsidR="00500CF9" w:rsidRDefault="00500CF9">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1B69C" w14:textId="77777777" w:rsidR="00500CF9" w:rsidRDefault="00500CF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CC9C" w14:textId="77777777" w:rsidR="00500CF9" w:rsidRDefault="00500CF9">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B9976" w14:textId="77777777" w:rsidR="00500CF9" w:rsidRDefault="00500CF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B43F" w14:textId="77777777" w:rsidR="00500CF9" w:rsidRDefault="00500CF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C79D" w14:textId="77777777" w:rsidR="00CC77A7" w:rsidRDefault="00CC77A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5512" w14:textId="77777777" w:rsidR="00CC77A7" w:rsidRDefault="00CC77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75B1" w14:textId="77777777" w:rsidR="00CC77A7" w:rsidRDefault="00CC77A7">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932E0" w14:textId="77777777" w:rsidR="00CC77A7" w:rsidRDefault="00CC77A7">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F40E7" w14:textId="77777777" w:rsidR="00500CF9" w:rsidRDefault="00500CF9">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3BEA" w14:textId="77777777" w:rsidR="00500CF9" w:rsidRDefault="00500CF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BE158" w14:textId="77777777" w:rsidR="00500CF9" w:rsidRDefault="00500CF9">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A747" w14:textId="77777777" w:rsidR="00500CF9" w:rsidRDefault="00500CF9">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EA3AE" w14:textId="77777777" w:rsidR="00500CF9" w:rsidRDefault="00500CF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D7D2D" w14:textId="77777777" w:rsidR="00500CF9" w:rsidRDefault="00500CF9">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00802" w14:textId="77777777" w:rsidR="00500CF9" w:rsidRDefault="00500CF9">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7E36" w14:textId="77777777" w:rsidR="00500CF9" w:rsidRDefault="00500CF9">
    <w:pPr>
      <w:pStyle w:val="Header"/>
      <w:spacing w:after="0"/>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043D4" w14:textId="77777777" w:rsidR="00500CF9" w:rsidRDefault="00500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5888"/>
        </w:tabs>
        <w:ind w:left="5888"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250970"/>
    <w:multiLevelType w:val="hybridMultilevel"/>
    <w:tmpl w:val="5C2EBCB0"/>
    <w:lvl w:ilvl="0" w:tplc="1FC8B5AA">
      <w:start w:val="1"/>
      <w:numFmt w:val="decimal"/>
      <w:lvlText w:val="%1)"/>
      <w:lvlJc w:val="left"/>
      <w:pPr>
        <w:ind w:left="360" w:hanging="360"/>
      </w:pPr>
      <w:rPr>
        <w:rFonts w:ascii="Times New Roman" w:eastAsiaTheme="minorEastAsia" w:hAnsi="Times New Roman" w:cstheme="minorBidi"/>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204C3"/>
    <w:multiLevelType w:val="hybridMultilevel"/>
    <w:tmpl w:val="C630918E"/>
    <w:lvl w:ilvl="0" w:tplc="D882AC22">
      <w:start w:val="30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FD64FB"/>
    <w:multiLevelType w:val="hybridMultilevel"/>
    <w:tmpl w:val="66B6D452"/>
    <w:lvl w:ilvl="0" w:tplc="A33EFFAE">
      <w:start w:val="1"/>
      <w:numFmt w:val="bullet"/>
      <w:lvlText w:val="-"/>
      <w:lvlJc w:val="left"/>
      <w:pPr>
        <w:ind w:left="360" w:hanging="360"/>
      </w:pPr>
      <w:rPr>
        <w:rFonts w:ascii="Times New Roman" w:eastAsiaTheme="minorHAnsi" w:hAnsi="Times New Roman" w:cs="Times New Roman"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02024477"/>
    <w:multiLevelType w:val="hybridMultilevel"/>
    <w:tmpl w:val="B9FA22FC"/>
    <w:lvl w:ilvl="0" w:tplc="8F3A109C">
      <w:start w:val="13"/>
      <w:numFmt w:val="bullet"/>
      <w:lvlText w:val="-"/>
      <w:lvlJc w:val="left"/>
      <w:pPr>
        <w:ind w:left="1004" w:hanging="360"/>
      </w:pPr>
      <w:rPr>
        <w:rFonts w:ascii="Calibri" w:eastAsiaTheme="minorHAnsi" w:hAnsi="Calibri" w:cs="Calibri" w:hint="default"/>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2BD341C"/>
    <w:multiLevelType w:val="hybridMultilevel"/>
    <w:tmpl w:val="5C2EBCB0"/>
    <w:lvl w:ilvl="0" w:tplc="FFFFFFFF">
      <w:start w:val="1"/>
      <w:numFmt w:val="decimal"/>
      <w:lvlText w:val="%1)"/>
      <w:lvlJc w:val="left"/>
      <w:pPr>
        <w:ind w:left="360" w:hanging="360"/>
      </w:pPr>
      <w:rPr>
        <w:rFonts w:ascii="Times New Roman" w:eastAsiaTheme="minorEastAsia" w:hAnsi="Times New Roman" w:cstheme="minorBidi"/>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3493E9D"/>
    <w:multiLevelType w:val="hybridMultilevel"/>
    <w:tmpl w:val="90D0FD7A"/>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E75A42"/>
    <w:multiLevelType w:val="hybridMultilevel"/>
    <w:tmpl w:val="E0EECF66"/>
    <w:lvl w:ilvl="0" w:tplc="D882AC22">
      <w:start w:val="300"/>
      <w:numFmt w:val="bullet"/>
      <w:lvlText w:val="-"/>
      <w:lvlJc w:val="left"/>
      <w:pPr>
        <w:ind w:left="405" w:hanging="360"/>
      </w:pPr>
      <w:rPr>
        <w:rFonts w:ascii="Times New Roman" w:eastAsiaTheme="minorHAnsi" w:hAnsi="Times New Roman"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04A43B0F"/>
    <w:multiLevelType w:val="hybridMultilevel"/>
    <w:tmpl w:val="C9B25B6E"/>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3D0862"/>
    <w:multiLevelType w:val="hybridMultilevel"/>
    <w:tmpl w:val="A3684196"/>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63E221C"/>
    <w:multiLevelType w:val="hybridMultilevel"/>
    <w:tmpl w:val="A282F81E"/>
    <w:lvl w:ilvl="0" w:tplc="737CDC40">
      <w:numFmt w:val="bullet"/>
      <w:lvlText w:val="-"/>
      <w:lvlJc w:val="left"/>
      <w:pPr>
        <w:ind w:left="360" w:hanging="720"/>
      </w:pPr>
      <w:rPr>
        <w:rFonts w:ascii="Times New Roman" w:eastAsia="Times New Roman" w:hAnsi="Times New Roman" w:cs="Times New Roman" w:hint="default"/>
        <w:i/>
        <w:u w:val="none"/>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06C14162"/>
    <w:multiLevelType w:val="multilevel"/>
    <w:tmpl w:val="03564E8C"/>
    <w:lvl w:ilvl="0">
      <w:start w:val="1"/>
      <w:numFmt w:val="lowerLetter"/>
      <w:lvlText w:val="%1)"/>
      <w:lvlJc w:val="left"/>
      <w:pPr>
        <w:tabs>
          <w:tab w:val="num" w:pos="414"/>
        </w:tabs>
        <w:ind w:left="414" w:hanging="850"/>
      </w:pPr>
    </w:lvl>
    <w:lvl w:ilvl="1">
      <w:start w:val="1"/>
      <w:numFmt w:val="decimal"/>
      <w:lvlText w:val="%1.%2."/>
      <w:lvlJc w:val="left"/>
      <w:pPr>
        <w:tabs>
          <w:tab w:val="num" w:pos="414"/>
        </w:tabs>
        <w:ind w:left="414" w:hanging="850"/>
      </w:pPr>
    </w:lvl>
    <w:lvl w:ilvl="2">
      <w:start w:val="1"/>
      <w:numFmt w:val="lowerLetter"/>
      <w:lvlText w:val="%3."/>
      <w:lvlJc w:val="left"/>
      <w:pPr>
        <w:tabs>
          <w:tab w:val="num" w:pos="414"/>
        </w:tabs>
        <w:ind w:left="414" w:hanging="850"/>
      </w:pPr>
    </w:lvl>
    <w:lvl w:ilvl="3">
      <w:start w:val="1"/>
      <w:numFmt w:val="decimal"/>
      <w:lvlText w:val="%1.%2.%3.%4."/>
      <w:lvlJc w:val="left"/>
      <w:pPr>
        <w:tabs>
          <w:tab w:val="num" w:pos="414"/>
        </w:tabs>
        <w:ind w:left="414" w:hanging="850"/>
      </w:pPr>
    </w:lvl>
    <w:lvl w:ilvl="4">
      <w:start w:val="1"/>
      <w:numFmt w:val="lowerLetter"/>
      <w:lvlText w:val="(%5)"/>
      <w:lvlJc w:val="left"/>
      <w:pPr>
        <w:ind w:left="1364" w:hanging="360"/>
      </w:pPr>
    </w:lvl>
    <w:lvl w:ilvl="5">
      <w:start w:val="1"/>
      <w:numFmt w:val="lowerRoman"/>
      <w:lvlText w:val="(%6)"/>
      <w:lvlJc w:val="left"/>
      <w:pPr>
        <w:ind w:left="1724" w:hanging="360"/>
      </w:pPr>
    </w:lvl>
    <w:lvl w:ilvl="6">
      <w:start w:val="1"/>
      <w:numFmt w:val="decimal"/>
      <w:lvlText w:val="%7."/>
      <w:lvlJc w:val="left"/>
      <w:pPr>
        <w:ind w:left="2084" w:hanging="360"/>
      </w:pPr>
    </w:lvl>
    <w:lvl w:ilvl="7">
      <w:start w:val="1"/>
      <w:numFmt w:val="lowerLetter"/>
      <w:lvlText w:val="%8."/>
      <w:lvlJc w:val="left"/>
      <w:pPr>
        <w:ind w:left="2444" w:hanging="360"/>
      </w:pPr>
    </w:lvl>
    <w:lvl w:ilvl="8">
      <w:start w:val="1"/>
      <w:numFmt w:val="lowerRoman"/>
      <w:lvlText w:val="%9."/>
      <w:lvlJc w:val="left"/>
      <w:pPr>
        <w:ind w:left="2804" w:hanging="360"/>
      </w:pPr>
    </w:lvl>
  </w:abstractNum>
  <w:abstractNum w:abstractNumId="19" w15:restartNumberingAfterBreak="0">
    <w:nsid w:val="07993452"/>
    <w:multiLevelType w:val="multilevel"/>
    <w:tmpl w:val="91F615AE"/>
    <w:name w:val="0.31858032"/>
    <w:lvl w:ilvl="0">
      <w:start w:val="2"/>
      <w:numFmt w:val="decimal"/>
      <w:lvlRestart w:val="0"/>
      <w:lvlText w:val="%1."/>
      <w:lvlJc w:val="left"/>
      <w:pPr>
        <w:tabs>
          <w:tab w:val="num" w:pos="850"/>
        </w:tabs>
        <w:ind w:left="850" w:hanging="850"/>
      </w:pPr>
      <w:rPr>
        <w:rFonts w:hint="default"/>
        <w:color w:val="auto"/>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79B05E8"/>
    <w:multiLevelType w:val="hybridMultilevel"/>
    <w:tmpl w:val="65FC08B6"/>
    <w:lvl w:ilvl="0" w:tplc="0809001B">
      <w:start w:val="1"/>
      <w:numFmt w:val="lowerRoman"/>
      <w:lvlText w:val="%1."/>
      <w:lvlJc w:val="right"/>
      <w:pPr>
        <w:ind w:left="5351" w:hanging="360"/>
      </w:pPr>
    </w:lvl>
    <w:lvl w:ilvl="1" w:tplc="08090019">
      <w:start w:val="1"/>
      <w:numFmt w:val="lowerLetter"/>
      <w:lvlText w:val="%2."/>
      <w:lvlJc w:val="left"/>
      <w:pPr>
        <w:ind w:left="6071" w:hanging="360"/>
      </w:pPr>
    </w:lvl>
    <w:lvl w:ilvl="2" w:tplc="0809001B" w:tentative="1">
      <w:start w:val="1"/>
      <w:numFmt w:val="lowerRoman"/>
      <w:lvlText w:val="%3."/>
      <w:lvlJc w:val="right"/>
      <w:pPr>
        <w:ind w:left="6791" w:hanging="180"/>
      </w:pPr>
    </w:lvl>
    <w:lvl w:ilvl="3" w:tplc="0809000F" w:tentative="1">
      <w:start w:val="1"/>
      <w:numFmt w:val="decimal"/>
      <w:lvlText w:val="%4."/>
      <w:lvlJc w:val="left"/>
      <w:pPr>
        <w:ind w:left="7511" w:hanging="360"/>
      </w:pPr>
    </w:lvl>
    <w:lvl w:ilvl="4" w:tplc="08090019" w:tentative="1">
      <w:start w:val="1"/>
      <w:numFmt w:val="lowerLetter"/>
      <w:lvlText w:val="%5."/>
      <w:lvlJc w:val="left"/>
      <w:pPr>
        <w:ind w:left="8231" w:hanging="360"/>
      </w:pPr>
    </w:lvl>
    <w:lvl w:ilvl="5" w:tplc="0809001B" w:tentative="1">
      <w:start w:val="1"/>
      <w:numFmt w:val="lowerRoman"/>
      <w:lvlText w:val="%6."/>
      <w:lvlJc w:val="right"/>
      <w:pPr>
        <w:ind w:left="8951" w:hanging="180"/>
      </w:pPr>
    </w:lvl>
    <w:lvl w:ilvl="6" w:tplc="0809000F" w:tentative="1">
      <w:start w:val="1"/>
      <w:numFmt w:val="decimal"/>
      <w:lvlText w:val="%7."/>
      <w:lvlJc w:val="left"/>
      <w:pPr>
        <w:ind w:left="9671" w:hanging="360"/>
      </w:pPr>
    </w:lvl>
    <w:lvl w:ilvl="7" w:tplc="08090019" w:tentative="1">
      <w:start w:val="1"/>
      <w:numFmt w:val="lowerLetter"/>
      <w:lvlText w:val="%8."/>
      <w:lvlJc w:val="left"/>
      <w:pPr>
        <w:ind w:left="10391" w:hanging="360"/>
      </w:pPr>
    </w:lvl>
    <w:lvl w:ilvl="8" w:tplc="0809001B" w:tentative="1">
      <w:start w:val="1"/>
      <w:numFmt w:val="lowerRoman"/>
      <w:lvlText w:val="%9."/>
      <w:lvlJc w:val="right"/>
      <w:pPr>
        <w:ind w:left="11111" w:hanging="180"/>
      </w:pPr>
    </w:lvl>
  </w:abstractNum>
  <w:abstractNum w:abstractNumId="21" w15:restartNumberingAfterBreak="0">
    <w:nsid w:val="091C192A"/>
    <w:multiLevelType w:val="hybridMultilevel"/>
    <w:tmpl w:val="14685A9A"/>
    <w:lvl w:ilvl="0" w:tplc="D882AC22">
      <w:start w:val="3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26150A"/>
    <w:multiLevelType w:val="hybridMultilevel"/>
    <w:tmpl w:val="681ED89E"/>
    <w:lvl w:ilvl="0" w:tplc="58ECCFE6">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3" w15:restartNumberingAfterBreak="0">
    <w:nsid w:val="09386486"/>
    <w:multiLevelType w:val="hybridMultilevel"/>
    <w:tmpl w:val="480A14FE"/>
    <w:lvl w:ilvl="0" w:tplc="A93A98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9FF2F16"/>
    <w:multiLevelType w:val="hybridMultilevel"/>
    <w:tmpl w:val="9C78123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0A61656D"/>
    <w:multiLevelType w:val="hybridMultilevel"/>
    <w:tmpl w:val="CA884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A67376A"/>
    <w:multiLevelType w:val="hybridMultilevel"/>
    <w:tmpl w:val="31E6BC2E"/>
    <w:lvl w:ilvl="0" w:tplc="D882AC22">
      <w:start w:val="300"/>
      <w:numFmt w:val="bullet"/>
      <w:lvlText w:val="-"/>
      <w:lvlJc w:val="left"/>
      <w:pPr>
        <w:ind w:left="820" w:hanging="360"/>
      </w:pPr>
      <w:rPr>
        <w:rFonts w:ascii="Times New Roman" w:eastAsiaTheme="minorHAnsi"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0B1F5BDD"/>
    <w:multiLevelType w:val="hybridMultilevel"/>
    <w:tmpl w:val="07360A50"/>
    <w:lvl w:ilvl="0" w:tplc="D882AC22">
      <w:start w:val="300"/>
      <w:numFmt w:val="bullet"/>
      <w:lvlText w:val="-"/>
      <w:lvlJc w:val="left"/>
      <w:pPr>
        <w:ind w:left="720" w:hanging="360"/>
      </w:pPr>
      <w:rPr>
        <w:rFonts w:ascii="Times New Roman" w:eastAsiaTheme="minorHAnsi" w:hAnsi="Times New Roman" w:cs="Times New Roman" w:hint="default"/>
        <w:color w:val="006100"/>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0BBA0D59"/>
    <w:multiLevelType w:val="hybridMultilevel"/>
    <w:tmpl w:val="A202A788"/>
    <w:lvl w:ilvl="0" w:tplc="B6DA57C8">
      <w:start w:val="1"/>
      <w:numFmt w:val="bullet"/>
      <w:lvlText w:val=""/>
      <w:lvlJc w:val="left"/>
      <w:pPr>
        <w:ind w:left="720" w:hanging="360"/>
      </w:pPr>
      <w:rPr>
        <w:rFonts w:ascii="Symbol" w:hAnsi="Symbol" w:hint="default"/>
      </w:rPr>
    </w:lvl>
    <w:lvl w:ilvl="1" w:tplc="E49CCB7E">
      <w:start w:val="1"/>
      <w:numFmt w:val="bullet"/>
      <w:lvlText w:val="o"/>
      <w:lvlJc w:val="left"/>
      <w:pPr>
        <w:ind w:left="1440" w:hanging="360"/>
      </w:pPr>
      <w:rPr>
        <w:rFonts w:ascii="Courier New" w:hAnsi="Courier New" w:hint="default"/>
      </w:rPr>
    </w:lvl>
    <w:lvl w:ilvl="2" w:tplc="32425FC0">
      <w:start w:val="1"/>
      <w:numFmt w:val="bullet"/>
      <w:lvlText w:val=""/>
      <w:lvlJc w:val="left"/>
      <w:pPr>
        <w:ind w:left="2160" w:hanging="360"/>
      </w:pPr>
      <w:rPr>
        <w:rFonts w:ascii="Wingdings" w:hAnsi="Wingdings" w:hint="default"/>
      </w:rPr>
    </w:lvl>
    <w:lvl w:ilvl="3" w:tplc="A6FA633C">
      <w:start w:val="1"/>
      <w:numFmt w:val="bullet"/>
      <w:lvlText w:val=""/>
      <w:lvlJc w:val="left"/>
      <w:pPr>
        <w:ind w:left="2880" w:hanging="360"/>
      </w:pPr>
      <w:rPr>
        <w:rFonts w:ascii="Symbol" w:hAnsi="Symbol" w:hint="default"/>
      </w:rPr>
    </w:lvl>
    <w:lvl w:ilvl="4" w:tplc="689A40DE">
      <w:start w:val="1"/>
      <w:numFmt w:val="bullet"/>
      <w:lvlText w:val="o"/>
      <w:lvlJc w:val="left"/>
      <w:pPr>
        <w:ind w:left="3600" w:hanging="360"/>
      </w:pPr>
      <w:rPr>
        <w:rFonts w:ascii="Courier New" w:hAnsi="Courier New" w:hint="default"/>
      </w:rPr>
    </w:lvl>
    <w:lvl w:ilvl="5" w:tplc="EC807EDC">
      <w:start w:val="1"/>
      <w:numFmt w:val="bullet"/>
      <w:lvlText w:val=""/>
      <w:lvlJc w:val="left"/>
      <w:pPr>
        <w:ind w:left="4320" w:hanging="360"/>
      </w:pPr>
      <w:rPr>
        <w:rFonts w:ascii="Wingdings" w:hAnsi="Wingdings" w:hint="default"/>
      </w:rPr>
    </w:lvl>
    <w:lvl w:ilvl="6" w:tplc="48BCD32C">
      <w:start w:val="1"/>
      <w:numFmt w:val="bullet"/>
      <w:lvlText w:val=""/>
      <w:lvlJc w:val="left"/>
      <w:pPr>
        <w:ind w:left="5040" w:hanging="360"/>
      </w:pPr>
      <w:rPr>
        <w:rFonts w:ascii="Symbol" w:hAnsi="Symbol" w:hint="default"/>
      </w:rPr>
    </w:lvl>
    <w:lvl w:ilvl="7" w:tplc="E8CECF1C">
      <w:start w:val="1"/>
      <w:numFmt w:val="bullet"/>
      <w:lvlText w:val="o"/>
      <w:lvlJc w:val="left"/>
      <w:pPr>
        <w:ind w:left="5760" w:hanging="360"/>
      </w:pPr>
      <w:rPr>
        <w:rFonts w:ascii="Courier New" w:hAnsi="Courier New" w:hint="default"/>
      </w:rPr>
    </w:lvl>
    <w:lvl w:ilvl="8" w:tplc="DC9E34F0">
      <w:start w:val="1"/>
      <w:numFmt w:val="bullet"/>
      <w:lvlText w:val=""/>
      <w:lvlJc w:val="left"/>
      <w:pPr>
        <w:ind w:left="6480" w:hanging="360"/>
      </w:pPr>
      <w:rPr>
        <w:rFonts w:ascii="Wingdings" w:hAnsi="Wingdings" w:hint="default"/>
      </w:rPr>
    </w:lvl>
  </w:abstractNum>
  <w:abstractNum w:abstractNumId="29" w15:restartNumberingAfterBreak="0">
    <w:nsid w:val="0CF5481A"/>
    <w:multiLevelType w:val="multilevel"/>
    <w:tmpl w:val="7CD67F2A"/>
    <w:lvl w:ilvl="0">
      <w:start w:val="30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0DB16011"/>
    <w:multiLevelType w:val="multilevel"/>
    <w:tmpl w:val="50D0C71C"/>
    <w:lvl w:ilvl="0">
      <w:start w:val="30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DD9778D"/>
    <w:multiLevelType w:val="hybridMultilevel"/>
    <w:tmpl w:val="60620038"/>
    <w:lvl w:ilvl="0" w:tplc="AC629FEA">
      <w:start w:val="9"/>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E6861BC"/>
    <w:multiLevelType w:val="hybridMultilevel"/>
    <w:tmpl w:val="59DA64E4"/>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0F9569DD"/>
    <w:multiLevelType w:val="hybridMultilevel"/>
    <w:tmpl w:val="231C5AC6"/>
    <w:lvl w:ilvl="0" w:tplc="2ACC1B20">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FBB24DD"/>
    <w:multiLevelType w:val="hybridMultilevel"/>
    <w:tmpl w:val="AC78F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5B28B7"/>
    <w:multiLevelType w:val="hybridMultilevel"/>
    <w:tmpl w:val="514AD520"/>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827621"/>
    <w:multiLevelType w:val="hybridMultilevel"/>
    <w:tmpl w:val="32CE9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0C80D77"/>
    <w:multiLevelType w:val="hybridMultilevel"/>
    <w:tmpl w:val="5F1C204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149635B"/>
    <w:multiLevelType w:val="hybridMultilevel"/>
    <w:tmpl w:val="C814544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63368C"/>
    <w:multiLevelType w:val="hybridMultilevel"/>
    <w:tmpl w:val="81C26C0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12270A49"/>
    <w:multiLevelType w:val="hybridMultilevel"/>
    <w:tmpl w:val="5BEE154A"/>
    <w:lvl w:ilvl="0" w:tplc="1F5A2FA6">
      <w:start w:val="1"/>
      <w:numFmt w:val="bullet"/>
      <w:lvlText w:val="-"/>
      <w:lvlJc w:val="left"/>
      <w:pPr>
        <w:ind w:left="720" w:hanging="360"/>
      </w:pPr>
      <w:rPr>
        <w:rFonts w:ascii="&quot;Calibri&quot;,sans-serif" w:hAnsi="&quot;Calibri&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12C370D3"/>
    <w:multiLevelType w:val="hybridMultilevel"/>
    <w:tmpl w:val="2C4E0604"/>
    <w:lvl w:ilvl="0" w:tplc="B9C68348">
      <w:numFmt w:val="bullet"/>
      <w:lvlText w:val="-"/>
      <w:lvlJc w:val="left"/>
      <w:pPr>
        <w:ind w:left="1080" w:hanging="360"/>
      </w:pPr>
      <w:rPr>
        <w:rFonts w:ascii="Times New Roman" w:eastAsia="Times New Roman"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2" w15:restartNumberingAfterBreak="0">
    <w:nsid w:val="13780D5D"/>
    <w:multiLevelType w:val="multilevel"/>
    <w:tmpl w:val="E3A2706A"/>
    <w:name w:val="0.31858033"/>
    <w:lvl w:ilvl="0">
      <w:start w:val="2"/>
      <w:numFmt w:val="decimal"/>
      <w:lvlRestart w:val="0"/>
      <w:lvlText w:val="%1."/>
      <w:lvlJc w:val="left"/>
      <w:pPr>
        <w:tabs>
          <w:tab w:val="num" w:pos="850"/>
        </w:tabs>
        <w:ind w:left="850" w:hanging="850"/>
      </w:pPr>
      <w:rPr>
        <w:rFonts w:hint="default"/>
        <w:color w:val="auto"/>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40B1147"/>
    <w:multiLevelType w:val="multilevel"/>
    <w:tmpl w:val="954AD3B4"/>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2879E1"/>
    <w:multiLevelType w:val="hybridMultilevel"/>
    <w:tmpl w:val="A87665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14AE1592"/>
    <w:multiLevelType w:val="hybridMultilevel"/>
    <w:tmpl w:val="47E6AB18"/>
    <w:lvl w:ilvl="0" w:tplc="D882AC22">
      <w:start w:val="300"/>
      <w:numFmt w:val="bullet"/>
      <w:lvlText w:val="-"/>
      <w:lvlJc w:val="left"/>
      <w:pPr>
        <w:ind w:left="720" w:hanging="360"/>
      </w:pPr>
      <w:rPr>
        <w:rFonts w:ascii="Times New Roman" w:eastAsiaTheme="minorHAnsi" w:hAnsi="Times New Roman" w:cs="Times New Roman" w:hint="default"/>
      </w:rPr>
    </w:lvl>
    <w:lvl w:ilvl="1" w:tplc="D882AC22">
      <w:start w:val="300"/>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5B327D5"/>
    <w:multiLevelType w:val="hybridMultilevel"/>
    <w:tmpl w:val="29088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70E1716"/>
    <w:multiLevelType w:val="hybridMultilevel"/>
    <w:tmpl w:val="AA529672"/>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8DDA584"/>
    <w:multiLevelType w:val="hybridMultilevel"/>
    <w:tmpl w:val="5110424E"/>
    <w:lvl w:ilvl="0" w:tplc="10F4B258">
      <w:start w:val="1"/>
      <w:numFmt w:val="bullet"/>
      <w:lvlText w:val="-"/>
      <w:lvlJc w:val="left"/>
      <w:pPr>
        <w:ind w:left="720" w:hanging="360"/>
      </w:pPr>
      <w:rPr>
        <w:rFonts w:ascii="&quot;Calibri&quot;,sans-serif" w:hAnsi="&quot;Calibri&quot;,sans-serif" w:hint="default"/>
      </w:rPr>
    </w:lvl>
    <w:lvl w:ilvl="1" w:tplc="6B0C4AEE">
      <w:start w:val="1"/>
      <w:numFmt w:val="bullet"/>
      <w:lvlText w:val="o"/>
      <w:lvlJc w:val="left"/>
      <w:pPr>
        <w:ind w:left="1440" w:hanging="360"/>
      </w:pPr>
      <w:rPr>
        <w:rFonts w:ascii="Courier New" w:hAnsi="Courier New" w:hint="default"/>
      </w:rPr>
    </w:lvl>
    <w:lvl w:ilvl="2" w:tplc="E13A1630">
      <w:start w:val="1"/>
      <w:numFmt w:val="bullet"/>
      <w:lvlText w:val=""/>
      <w:lvlJc w:val="left"/>
      <w:pPr>
        <w:ind w:left="2160" w:hanging="360"/>
      </w:pPr>
      <w:rPr>
        <w:rFonts w:ascii="Wingdings" w:hAnsi="Wingdings" w:hint="default"/>
      </w:rPr>
    </w:lvl>
    <w:lvl w:ilvl="3" w:tplc="96BC59AA">
      <w:start w:val="1"/>
      <w:numFmt w:val="bullet"/>
      <w:lvlText w:val=""/>
      <w:lvlJc w:val="left"/>
      <w:pPr>
        <w:ind w:left="2880" w:hanging="360"/>
      </w:pPr>
      <w:rPr>
        <w:rFonts w:ascii="Symbol" w:hAnsi="Symbol" w:hint="default"/>
      </w:rPr>
    </w:lvl>
    <w:lvl w:ilvl="4" w:tplc="54D29554">
      <w:start w:val="1"/>
      <w:numFmt w:val="bullet"/>
      <w:lvlText w:val="o"/>
      <w:lvlJc w:val="left"/>
      <w:pPr>
        <w:ind w:left="3600" w:hanging="360"/>
      </w:pPr>
      <w:rPr>
        <w:rFonts w:ascii="Courier New" w:hAnsi="Courier New" w:hint="default"/>
      </w:rPr>
    </w:lvl>
    <w:lvl w:ilvl="5" w:tplc="5346FCC4">
      <w:start w:val="1"/>
      <w:numFmt w:val="bullet"/>
      <w:lvlText w:val=""/>
      <w:lvlJc w:val="left"/>
      <w:pPr>
        <w:ind w:left="4320" w:hanging="360"/>
      </w:pPr>
      <w:rPr>
        <w:rFonts w:ascii="Wingdings" w:hAnsi="Wingdings" w:hint="default"/>
      </w:rPr>
    </w:lvl>
    <w:lvl w:ilvl="6" w:tplc="8FE6D578">
      <w:start w:val="1"/>
      <w:numFmt w:val="bullet"/>
      <w:lvlText w:val=""/>
      <w:lvlJc w:val="left"/>
      <w:pPr>
        <w:ind w:left="5040" w:hanging="360"/>
      </w:pPr>
      <w:rPr>
        <w:rFonts w:ascii="Symbol" w:hAnsi="Symbol" w:hint="default"/>
      </w:rPr>
    </w:lvl>
    <w:lvl w:ilvl="7" w:tplc="F176D210">
      <w:start w:val="1"/>
      <w:numFmt w:val="bullet"/>
      <w:lvlText w:val="o"/>
      <w:lvlJc w:val="left"/>
      <w:pPr>
        <w:ind w:left="5760" w:hanging="360"/>
      </w:pPr>
      <w:rPr>
        <w:rFonts w:ascii="Courier New" w:hAnsi="Courier New" w:hint="default"/>
      </w:rPr>
    </w:lvl>
    <w:lvl w:ilvl="8" w:tplc="4608208A">
      <w:start w:val="1"/>
      <w:numFmt w:val="bullet"/>
      <w:lvlText w:val=""/>
      <w:lvlJc w:val="left"/>
      <w:pPr>
        <w:ind w:left="6480" w:hanging="360"/>
      </w:pPr>
      <w:rPr>
        <w:rFonts w:ascii="Wingdings" w:hAnsi="Wingdings" w:hint="default"/>
      </w:rPr>
    </w:lvl>
  </w:abstractNum>
  <w:abstractNum w:abstractNumId="49" w15:restartNumberingAfterBreak="0">
    <w:nsid w:val="19904F77"/>
    <w:multiLevelType w:val="hybridMultilevel"/>
    <w:tmpl w:val="7916A53A"/>
    <w:lvl w:ilvl="0" w:tplc="312A5F28">
      <w:start w:val="1"/>
      <w:numFmt w:val="bullet"/>
      <w:lvlText w:val="-"/>
      <w:lvlJc w:val="left"/>
      <w:pPr>
        <w:ind w:left="1996" w:hanging="360"/>
      </w:pPr>
      <w:rPr>
        <w:rFonts w:ascii="Calibri" w:eastAsiaTheme="minorHAnsi" w:hAnsi="Calibri" w:cs="Calibri" w:hint="default"/>
        <w:color w:val="7030A0"/>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0" w15:restartNumberingAfterBreak="0">
    <w:nsid w:val="1A14343B"/>
    <w:multiLevelType w:val="hybridMultilevel"/>
    <w:tmpl w:val="F8D8377C"/>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A87DFB4"/>
    <w:multiLevelType w:val="hybridMultilevel"/>
    <w:tmpl w:val="C350890C"/>
    <w:lvl w:ilvl="0" w:tplc="1096B05C">
      <w:start w:val="1"/>
      <w:numFmt w:val="bullet"/>
      <w:lvlText w:val="-"/>
      <w:lvlJc w:val="left"/>
      <w:pPr>
        <w:ind w:left="720" w:hanging="360"/>
      </w:pPr>
      <w:rPr>
        <w:rFonts w:ascii="&quot;Calibri&quot;,sans-serif" w:hAnsi="&quot;Calibri&quot;,sans-serif" w:hint="default"/>
      </w:rPr>
    </w:lvl>
    <w:lvl w:ilvl="1" w:tplc="4D48176E">
      <w:start w:val="1"/>
      <w:numFmt w:val="bullet"/>
      <w:lvlText w:val="o"/>
      <w:lvlJc w:val="left"/>
      <w:pPr>
        <w:ind w:left="1440" w:hanging="360"/>
      </w:pPr>
      <w:rPr>
        <w:rFonts w:ascii="Courier New" w:hAnsi="Courier New" w:hint="default"/>
      </w:rPr>
    </w:lvl>
    <w:lvl w:ilvl="2" w:tplc="5AE09B7E">
      <w:start w:val="1"/>
      <w:numFmt w:val="bullet"/>
      <w:lvlText w:val=""/>
      <w:lvlJc w:val="left"/>
      <w:pPr>
        <w:ind w:left="2160" w:hanging="360"/>
      </w:pPr>
      <w:rPr>
        <w:rFonts w:ascii="Wingdings" w:hAnsi="Wingdings" w:hint="default"/>
      </w:rPr>
    </w:lvl>
    <w:lvl w:ilvl="3" w:tplc="D4E613CA">
      <w:start w:val="1"/>
      <w:numFmt w:val="bullet"/>
      <w:lvlText w:val=""/>
      <w:lvlJc w:val="left"/>
      <w:pPr>
        <w:ind w:left="2880" w:hanging="360"/>
      </w:pPr>
      <w:rPr>
        <w:rFonts w:ascii="Symbol" w:hAnsi="Symbol" w:hint="default"/>
      </w:rPr>
    </w:lvl>
    <w:lvl w:ilvl="4" w:tplc="8604EDA8">
      <w:start w:val="1"/>
      <w:numFmt w:val="bullet"/>
      <w:lvlText w:val="o"/>
      <w:lvlJc w:val="left"/>
      <w:pPr>
        <w:ind w:left="3600" w:hanging="360"/>
      </w:pPr>
      <w:rPr>
        <w:rFonts w:ascii="Courier New" w:hAnsi="Courier New" w:hint="default"/>
      </w:rPr>
    </w:lvl>
    <w:lvl w:ilvl="5" w:tplc="DD1E8432">
      <w:start w:val="1"/>
      <w:numFmt w:val="bullet"/>
      <w:lvlText w:val=""/>
      <w:lvlJc w:val="left"/>
      <w:pPr>
        <w:ind w:left="4320" w:hanging="360"/>
      </w:pPr>
      <w:rPr>
        <w:rFonts w:ascii="Wingdings" w:hAnsi="Wingdings" w:hint="default"/>
      </w:rPr>
    </w:lvl>
    <w:lvl w:ilvl="6" w:tplc="E89644E6">
      <w:start w:val="1"/>
      <w:numFmt w:val="bullet"/>
      <w:lvlText w:val=""/>
      <w:lvlJc w:val="left"/>
      <w:pPr>
        <w:ind w:left="5040" w:hanging="360"/>
      </w:pPr>
      <w:rPr>
        <w:rFonts w:ascii="Symbol" w:hAnsi="Symbol" w:hint="default"/>
      </w:rPr>
    </w:lvl>
    <w:lvl w:ilvl="7" w:tplc="8A126D04">
      <w:start w:val="1"/>
      <w:numFmt w:val="bullet"/>
      <w:lvlText w:val="o"/>
      <w:lvlJc w:val="left"/>
      <w:pPr>
        <w:ind w:left="5760" w:hanging="360"/>
      </w:pPr>
      <w:rPr>
        <w:rFonts w:ascii="Courier New" w:hAnsi="Courier New" w:hint="default"/>
      </w:rPr>
    </w:lvl>
    <w:lvl w:ilvl="8" w:tplc="CE460D38">
      <w:start w:val="1"/>
      <w:numFmt w:val="bullet"/>
      <w:lvlText w:val=""/>
      <w:lvlJc w:val="left"/>
      <w:pPr>
        <w:ind w:left="6480" w:hanging="360"/>
      </w:pPr>
      <w:rPr>
        <w:rFonts w:ascii="Wingdings" w:hAnsi="Wingdings" w:hint="default"/>
      </w:rPr>
    </w:lvl>
  </w:abstractNum>
  <w:abstractNum w:abstractNumId="52" w15:restartNumberingAfterBreak="0">
    <w:nsid w:val="1AEA27A3"/>
    <w:multiLevelType w:val="hybridMultilevel"/>
    <w:tmpl w:val="CBC043DE"/>
    <w:lvl w:ilvl="0" w:tplc="C8ACF064">
      <w:start w:val="5"/>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4" w15:restartNumberingAfterBreak="0">
    <w:nsid w:val="1B703E52"/>
    <w:multiLevelType w:val="hybridMultilevel"/>
    <w:tmpl w:val="39F6E798"/>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BC22B26"/>
    <w:multiLevelType w:val="hybridMultilevel"/>
    <w:tmpl w:val="7C5A3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BF94B42"/>
    <w:multiLevelType w:val="hybridMultilevel"/>
    <w:tmpl w:val="BDF26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1C0B1009"/>
    <w:multiLevelType w:val="hybridMultilevel"/>
    <w:tmpl w:val="B2A28AEC"/>
    <w:lvl w:ilvl="0" w:tplc="0809001B">
      <w:start w:val="1"/>
      <w:numFmt w:val="lowerRoman"/>
      <w:lvlText w:val="%1."/>
      <w:lvlJc w:val="right"/>
      <w:pPr>
        <w:ind w:left="1210" w:hanging="360"/>
      </w:p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58" w15:restartNumberingAfterBreak="0">
    <w:nsid w:val="1C232CBD"/>
    <w:multiLevelType w:val="hybridMultilevel"/>
    <w:tmpl w:val="FDBA9296"/>
    <w:lvl w:ilvl="0" w:tplc="0A62CE8E">
      <w:start w:val="1"/>
      <w:numFmt w:val="bullet"/>
      <w:lvlText w:val=""/>
      <w:lvlJc w:val="left"/>
      <w:pPr>
        <w:ind w:left="720" w:hanging="360"/>
      </w:pPr>
      <w:rPr>
        <w:rFonts w:ascii="Symbol" w:hAnsi="Symbol" w:hint="default"/>
      </w:rPr>
    </w:lvl>
    <w:lvl w:ilvl="1" w:tplc="9AF07268">
      <w:start w:val="1"/>
      <w:numFmt w:val="bullet"/>
      <w:lvlText w:val="o"/>
      <w:lvlJc w:val="left"/>
      <w:pPr>
        <w:ind w:left="1440" w:hanging="360"/>
      </w:pPr>
      <w:rPr>
        <w:rFonts w:ascii="Courier New" w:hAnsi="Courier New" w:hint="default"/>
      </w:rPr>
    </w:lvl>
    <w:lvl w:ilvl="2" w:tplc="7C22AA7C">
      <w:start w:val="1"/>
      <w:numFmt w:val="bullet"/>
      <w:lvlText w:val=""/>
      <w:lvlJc w:val="left"/>
      <w:pPr>
        <w:ind w:left="2160" w:hanging="360"/>
      </w:pPr>
      <w:rPr>
        <w:rFonts w:ascii="Wingdings" w:hAnsi="Wingdings" w:hint="default"/>
      </w:rPr>
    </w:lvl>
    <w:lvl w:ilvl="3" w:tplc="0CB253AC">
      <w:start w:val="1"/>
      <w:numFmt w:val="bullet"/>
      <w:lvlText w:val=""/>
      <w:lvlJc w:val="left"/>
      <w:pPr>
        <w:ind w:left="2880" w:hanging="360"/>
      </w:pPr>
      <w:rPr>
        <w:rFonts w:ascii="Symbol" w:hAnsi="Symbol" w:hint="default"/>
      </w:rPr>
    </w:lvl>
    <w:lvl w:ilvl="4" w:tplc="86C6DC36">
      <w:start w:val="1"/>
      <w:numFmt w:val="bullet"/>
      <w:lvlText w:val="o"/>
      <w:lvlJc w:val="left"/>
      <w:pPr>
        <w:ind w:left="3600" w:hanging="360"/>
      </w:pPr>
      <w:rPr>
        <w:rFonts w:ascii="Courier New" w:hAnsi="Courier New" w:hint="default"/>
      </w:rPr>
    </w:lvl>
    <w:lvl w:ilvl="5" w:tplc="92E62EAA">
      <w:start w:val="1"/>
      <w:numFmt w:val="bullet"/>
      <w:lvlText w:val=""/>
      <w:lvlJc w:val="left"/>
      <w:pPr>
        <w:ind w:left="4320" w:hanging="360"/>
      </w:pPr>
      <w:rPr>
        <w:rFonts w:ascii="Wingdings" w:hAnsi="Wingdings" w:hint="default"/>
      </w:rPr>
    </w:lvl>
    <w:lvl w:ilvl="6" w:tplc="AEB049B0">
      <w:start w:val="1"/>
      <w:numFmt w:val="bullet"/>
      <w:lvlText w:val=""/>
      <w:lvlJc w:val="left"/>
      <w:pPr>
        <w:ind w:left="5040" w:hanging="360"/>
      </w:pPr>
      <w:rPr>
        <w:rFonts w:ascii="Symbol" w:hAnsi="Symbol" w:hint="default"/>
      </w:rPr>
    </w:lvl>
    <w:lvl w:ilvl="7" w:tplc="3C40F41A">
      <w:start w:val="1"/>
      <w:numFmt w:val="bullet"/>
      <w:lvlText w:val="o"/>
      <w:lvlJc w:val="left"/>
      <w:pPr>
        <w:ind w:left="5760" w:hanging="360"/>
      </w:pPr>
      <w:rPr>
        <w:rFonts w:ascii="Courier New" w:hAnsi="Courier New" w:hint="default"/>
      </w:rPr>
    </w:lvl>
    <w:lvl w:ilvl="8" w:tplc="31DE9E66">
      <w:start w:val="1"/>
      <w:numFmt w:val="bullet"/>
      <w:lvlText w:val=""/>
      <w:lvlJc w:val="left"/>
      <w:pPr>
        <w:ind w:left="6480" w:hanging="360"/>
      </w:pPr>
      <w:rPr>
        <w:rFonts w:ascii="Wingdings" w:hAnsi="Wingdings" w:hint="default"/>
      </w:rPr>
    </w:lvl>
  </w:abstractNum>
  <w:abstractNum w:abstractNumId="59" w15:restartNumberingAfterBreak="0">
    <w:nsid w:val="1C8C601E"/>
    <w:multiLevelType w:val="hybridMultilevel"/>
    <w:tmpl w:val="3C24A004"/>
    <w:lvl w:ilvl="0" w:tplc="7410E996">
      <w:start w:val="1"/>
      <w:numFmt w:val="bullet"/>
      <w:lvlText w:val="-"/>
      <w:lvlJc w:val="left"/>
      <w:pPr>
        <w:ind w:left="720" w:hanging="360"/>
      </w:pPr>
      <w:rPr>
        <w:rFonts w:ascii="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1CEF3561"/>
    <w:multiLevelType w:val="hybridMultilevel"/>
    <w:tmpl w:val="0D46B31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1" w15:restartNumberingAfterBreak="0">
    <w:nsid w:val="1F2348CF"/>
    <w:multiLevelType w:val="hybridMultilevel"/>
    <w:tmpl w:val="CAB86AB0"/>
    <w:lvl w:ilvl="0" w:tplc="D882AC22">
      <w:start w:val="30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F385EF2"/>
    <w:multiLevelType w:val="hybridMultilevel"/>
    <w:tmpl w:val="8B5000FE"/>
    <w:lvl w:ilvl="0" w:tplc="D882AC22">
      <w:start w:val="30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1F925F50"/>
    <w:multiLevelType w:val="multilevel"/>
    <w:tmpl w:val="954AD3B4"/>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1FC21727"/>
    <w:multiLevelType w:val="hybridMultilevel"/>
    <w:tmpl w:val="960242D4"/>
    <w:lvl w:ilvl="0" w:tplc="8F3A109C">
      <w:start w:val="13"/>
      <w:numFmt w:val="bullet"/>
      <w:lvlText w:val="-"/>
      <w:lvlJc w:val="left"/>
      <w:pPr>
        <w:ind w:left="720" w:hanging="360"/>
      </w:pPr>
      <w:rPr>
        <w:rFonts w:ascii="Calibri" w:eastAsiaTheme="minorHAnsi" w:hAnsi="Calibri" w:cs="Calibri" w:hint="default"/>
        <w:sz w:val="16"/>
      </w:rPr>
    </w:lvl>
    <w:lvl w:ilvl="1" w:tplc="27CE8E9E">
      <w:start w:val="10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D8305E"/>
    <w:multiLevelType w:val="hybridMultilevel"/>
    <w:tmpl w:val="E158A0C6"/>
    <w:lvl w:ilvl="0" w:tplc="35D6BD3E">
      <w:start w:val="3"/>
      <w:numFmt w:val="decimal"/>
      <w:lvlText w:val="%1."/>
      <w:lvlJc w:val="left"/>
      <w:pPr>
        <w:ind w:left="720" w:hanging="360"/>
      </w:pPr>
    </w:lvl>
    <w:lvl w:ilvl="1" w:tplc="91E43F28">
      <w:start w:val="1"/>
      <w:numFmt w:val="lowerLetter"/>
      <w:lvlText w:val="%2."/>
      <w:lvlJc w:val="left"/>
      <w:pPr>
        <w:ind w:left="1440" w:hanging="360"/>
      </w:pPr>
    </w:lvl>
    <w:lvl w:ilvl="2" w:tplc="6DB4F312">
      <w:start w:val="1"/>
      <w:numFmt w:val="lowerRoman"/>
      <w:lvlText w:val="%3."/>
      <w:lvlJc w:val="right"/>
      <w:pPr>
        <w:ind w:left="2160" w:hanging="180"/>
      </w:pPr>
    </w:lvl>
    <w:lvl w:ilvl="3" w:tplc="BEAE902E">
      <w:start w:val="1"/>
      <w:numFmt w:val="decimal"/>
      <w:lvlText w:val="%4."/>
      <w:lvlJc w:val="left"/>
      <w:pPr>
        <w:ind w:left="2880" w:hanging="360"/>
      </w:pPr>
    </w:lvl>
    <w:lvl w:ilvl="4" w:tplc="C37629A2">
      <w:start w:val="1"/>
      <w:numFmt w:val="lowerLetter"/>
      <w:lvlText w:val="%5."/>
      <w:lvlJc w:val="left"/>
      <w:pPr>
        <w:ind w:left="3600" w:hanging="360"/>
      </w:pPr>
    </w:lvl>
    <w:lvl w:ilvl="5" w:tplc="93F82298">
      <w:start w:val="1"/>
      <w:numFmt w:val="lowerRoman"/>
      <w:lvlText w:val="%6."/>
      <w:lvlJc w:val="right"/>
      <w:pPr>
        <w:ind w:left="4320" w:hanging="180"/>
      </w:pPr>
    </w:lvl>
    <w:lvl w:ilvl="6" w:tplc="9946922C">
      <w:start w:val="1"/>
      <w:numFmt w:val="decimal"/>
      <w:lvlText w:val="%7."/>
      <w:lvlJc w:val="left"/>
      <w:pPr>
        <w:ind w:left="5040" w:hanging="360"/>
      </w:pPr>
    </w:lvl>
    <w:lvl w:ilvl="7" w:tplc="232CBA28">
      <w:start w:val="1"/>
      <w:numFmt w:val="lowerLetter"/>
      <w:lvlText w:val="%8."/>
      <w:lvlJc w:val="left"/>
      <w:pPr>
        <w:ind w:left="5760" w:hanging="360"/>
      </w:pPr>
    </w:lvl>
    <w:lvl w:ilvl="8" w:tplc="39EEE8A2">
      <w:start w:val="1"/>
      <w:numFmt w:val="lowerRoman"/>
      <w:lvlText w:val="%9."/>
      <w:lvlJc w:val="right"/>
      <w:pPr>
        <w:ind w:left="6480" w:hanging="180"/>
      </w:pPr>
    </w:lvl>
  </w:abstractNum>
  <w:abstractNum w:abstractNumId="66" w15:restartNumberingAfterBreak="0">
    <w:nsid w:val="1FDA28C5"/>
    <w:multiLevelType w:val="hybridMultilevel"/>
    <w:tmpl w:val="BE6E2C28"/>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FF3BC32"/>
    <w:multiLevelType w:val="hybridMultilevel"/>
    <w:tmpl w:val="1846A186"/>
    <w:lvl w:ilvl="0" w:tplc="3C527CCC">
      <w:start w:val="1"/>
      <w:numFmt w:val="bullet"/>
      <w:lvlText w:val="-"/>
      <w:lvlJc w:val="left"/>
      <w:pPr>
        <w:ind w:left="720" w:hanging="360"/>
      </w:pPr>
      <w:rPr>
        <w:rFonts w:ascii="&quot;Calibri&quot;,sans-serif" w:hAnsi="&quot;Calibri&quot;,sans-serif" w:hint="default"/>
      </w:rPr>
    </w:lvl>
    <w:lvl w:ilvl="1" w:tplc="44A28594">
      <w:start w:val="1"/>
      <w:numFmt w:val="bullet"/>
      <w:lvlText w:val="o"/>
      <w:lvlJc w:val="left"/>
      <w:pPr>
        <w:ind w:left="1440" w:hanging="360"/>
      </w:pPr>
      <w:rPr>
        <w:rFonts w:ascii="Courier New" w:hAnsi="Courier New" w:hint="default"/>
      </w:rPr>
    </w:lvl>
    <w:lvl w:ilvl="2" w:tplc="0278094C">
      <w:start w:val="1"/>
      <w:numFmt w:val="bullet"/>
      <w:lvlText w:val=""/>
      <w:lvlJc w:val="left"/>
      <w:pPr>
        <w:ind w:left="2160" w:hanging="360"/>
      </w:pPr>
      <w:rPr>
        <w:rFonts w:ascii="Wingdings" w:hAnsi="Wingdings" w:hint="default"/>
      </w:rPr>
    </w:lvl>
    <w:lvl w:ilvl="3" w:tplc="190C5152">
      <w:start w:val="1"/>
      <w:numFmt w:val="bullet"/>
      <w:lvlText w:val=""/>
      <w:lvlJc w:val="left"/>
      <w:pPr>
        <w:ind w:left="2880" w:hanging="360"/>
      </w:pPr>
      <w:rPr>
        <w:rFonts w:ascii="Symbol" w:hAnsi="Symbol" w:hint="default"/>
      </w:rPr>
    </w:lvl>
    <w:lvl w:ilvl="4" w:tplc="4ACCF028">
      <w:start w:val="1"/>
      <w:numFmt w:val="bullet"/>
      <w:lvlText w:val="o"/>
      <w:lvlJc w:val="left"/>
      <w:pPr>
        <w:ind w:left="3600" w:hanging="360"/>
      </w:pPr>
      <w:rPr>
        <w:rFonts w:ascii="Courier New" w:hAnsi="Courier New" w:hint="default"/>
      </w:rPr>
    </w:lvl>
    <w:lvl w:ilvl="5" w:tplc="E97E3C74">
      <w:start w:val="1"/>
      <w:numFmt w:val="bullet"/>
      <w:lvlText w:val=""/>
      <w:lvlJc w:val="left"/>
      <w:pPr>
        <w:ind w:left="4320" w:hanging="360"/>
      </w:pPr>
      <w:rPr>
        <w:rFonts w:ascii="Wingdings" w:hAnsi="Wingdings" w:hint="default"/>
      </w:rPr>
    </w:lvl>
    <w:lvl w:ilvl="6" w:tplc="880EF4DC">
      <w:start w:val="1"/>
      <w:numFmt w:val="bullet"/>
      <w:lvlText w:val=""/>
      <w:lvlJc w:val="left"/>
      <w:pPr>
        <w:ind w:left="5040" w:hanging="360"/>
      </w:pPr>
      <w:rPr>
        <w:rFonts w:ascii="Symbol" w:hAnsi="Symbol" w:hint="default"/>
      </w:rPr>
    </w:lvl>
    <w:lvl w:ilvl="7" w:tplc="32E8750A">
      <w:start w:val="1"/>
      <w:numFmt w:val="bullet"/>
      <w:lvlText w:val="o"/>
      <w:lvlJc w:val="left"/>
      <w:pPr>
        <w:ind w:left="5760" w:hanging="360"/>
      </w:pPr>
      <w:rPr>
        <w:rFonts w:ascii="Courier New" w:hAnsi="Courier New" w:hint="default"/>
      </w:rPr>
    </w:lvl>
    <w:lvl w:ilvl="8" w:tplc="5B9E3448">
      <w:start w:val="1"/>
      <w:numFmt w:val="bullet"/>
      <w:lvlText w:val=""/>
      <w:lvlJc w:val="left"/>
      <w:pPr>
        <w:ind w:left="6480" w:hanging="360"/>
      </w:pPr>
      <w:rPr>
        <w:rFonts w:ascii="Wingdings" w:hAnsi="Wingdings" w:hint="default"/>
      </w:rPr>
    </w:lvl>
  </w:abstractNum>
  <w:abstractNum w:abstractNumId="68" w15:restartNumberingAfterBreak="0">
    <w:nsid w:val="20230C32"/>
    <w:multiLevelType w:val="hybridMultilevel"/>
    <w:tmpl w:val="3D86ACA8"/>
    <w:lvl w:ilvl="0" w:tplc="8F3A109C">
      <w:start w:val="13"/>
      <w:numFmt w:val="bullet"/>
      <w:lvlText w:val="-"/>
      <w:lvlJc w:val="left"/>
      <w:pPr>
        <w:ind w:left="1570" w:hanging="360"/>
      </w:pPr>
      <w:rPr>
        <w:rFonts w:ascii="Calibri" w:eastAsiaTheme="minorHAnsi" w:hAnsi="Calibri" w:cs="Calibri" w:hint="default"/>
        <w:sz w:val="16"/>
      </w:rPr>
    </w:lvl>
    <w:lvl w:ilvl="1" w:tplc="080C0003" w:tentative="1">
      <w:start w:val="1"/>
      <w:numFmt w:val="bullet"/>
      <w:lvlText w:val="o"/>
      <w:lvlJc w:val="left"/>
      <w:pPr>
        <w:ind w:left="2290" w:hanging="360"/>
      </w:pPr>
      <w:rPr>
        <w:rFonts w:ascii="Courier New" w:hAnsi="Courier New" w:cs="Courier New" w:hint="default"/>
      </w:rPr>
    </w:lvl>
    <w:lvl w:ilvl="2" w:tplc="080C0005" w:tentative="1">
      <w:start w:val="1"/>
      <w:numFmt w:val="bullet"/>
      <w:lvlText w:val=""/>
      <w:lvlJc w:val="left"/>
      <w:pPr>
        <w:ind w:left="3010" w:hanging="360"/>
      </w:pPr>
      <w:rPr>
        <w:rFonts w:ascii="Wingdings" w:hAnsi="Wingdings" w:hint="default"/>
      </w:rPr>
    </w:lvl>
    <w:lvl w:ilvl="3" w:tplc="080C0001" w:tentative="1">
      <w:start w:val="1"/>
      <w:numFmt w:val="bullet"/>
      <w:lvlText w:val=""/>
      <w:lvlJc w:val="left"/>
      <w:pPr>
        <w:ind w:left="3730" w:hanging="360"/>
      </w:pPr>
      <w:rPr>
        <w:rFonts w:ascii="Symbol" w:hAnsi="Symbol" w:hint="default"/>
      </w:rPr>
    </w:lvl>
    <w:lvl w:ilvl="4" w:tplc="080C0003" w:tentative="1">
      <w:start w:val="1"/>
      <w:numFmt w:val="bullet"/>
      <w:lvlText w:val="o"/>
      <w:lvlJc w:val="left"/>
      <w:pPr>
        <w:ind w:left="4450" w:hanging="360"/>
      </w:pPr>
      <w:rPr>
        <w:rFonts w:ascii="Courier New" w:hAnsi="Courier New" w:cs="Courier New" w:hint="default"/>
      </w:rPr>
    </w:lvl>
    <w:lvl w:ilvl="5" w:tplc="080C0005" w:tentative="1">
      <w:start w:val="1"/>
      <w:numFmt w:val="bullet"/>
      <w:lvlText w:val=""/>
      <w:lvlJc w:val="left"/>
      <w:pPr>
        <w:ind w:left="5170" w:hanging="360"/>
      </w:pPr>
      <w:rPr>
        <w:rFonts w:ascii="Wingdings" w:hAnsi="Wingdings" w:hint="default"/>
      </w:rPr>
    </w:lvl>
    <w:lvl w:ilvl="6" w:tplc="080C0001" w:tentative="1">
      <w:start w:val="1"/>
      <w:numFmt w:val="bullet"/>
      <w:lvlText w:val=""/>
      <w:lvlJc w:val="left"/>
      <w:pPr>
        <w:ind w:left="5890" w:hanging="360"/>
      </w:pPr>
      <w:rPr>
        <w:rFonts w:ascii="Symbol" w:hAnsi="Symbol" w:hint="default"/>
      </w:rPr>
    </w:lvl>
    <w:lvl w:ilvl="7" w:tplc="080C0003" w:tentative="1">
      <w:start w:val="1"/>
      <w:numFmt w:val="bullet"/>
      <w:lvlText w:val="o"/>
      <w:lvlJc w:val="left"/>
      <w:pPr>
        <w:ind w:left="6610" w:hanging="360"/>
      </w:pPr>
      <w:rPr>
        <w:rFonts w:ascii="Courier New" w:hAnsi="Courier New" w:cs="Courier New" w:hint="default"/>
      </w:rPr>
    </w:lvl>
    <w:lvl w:ilvl="8" w:tplc="080C0005" w:tentative="1">
      <w:start w:val="1"/>
      <w:numFmt w:val="bullet"/>
      <w:lvlText w:val=""/>
      <w:lvlJc w:val="left"/>
      <w:pPr>
        <w:ind w:left="7330" w:hanging="360"/>
      </w:pPr>
      <w:rPr>
        <w:rFonts w:ascii="Wingdings" w:hAnsi="Wingdings" w:hint="default"/>
      </w:rPr>
    </w:lvl>
  </w:abstractNum>
  <w:abstractNum w:abstractNumId="69" w15:restartNumberingAfterBreak="0">
    <w:nsid w:val="20C97082"/>
    <w:multiLevelType w:val="hybridMultilevel"/>
    <w:tmpl w:val="151E8018"/>
    <w:lvl w:ilvl="0" w:tplc="B14AF810">
      <w:start w:val="1"/>
      <w:numFmt w:val="bullet"/>
      <w:lvlText w:val=""/>
      <w:lvlJc w:val="left"/>
      <w:pPr>
        <w:ind w:left="1701" w:hanging="360"/>
      </w:pPr>
      <w:rPr>
        <w:rFonts w:ascii="Symbol" w:hAnsi="Symbol" w:hint="default"/>
      </w:rPr>
    </w:lvl>
    <w:lvl w:ilvl="1" w:tplc="08090003" w:tentative="1">
      <w:start w:val="1"/>
      <w:numFmt w:val="bullet"/>
      <w:lvlText w:val="o"/>
      <w:lvlJc w:val="left"/>
      <w:pPr>
        <w:ind w:left="2421" w:hanging="360"/>
      </w:pPr>
      <w:rPr>
        <w:rFonts w:ascii="Courier New" w:hAnsi="Courier New" w:cs="Courier New" w:hint="default"/>
      </w:rPr>
    </w:lvl>
    <w:lvl w:ilvl="2" w:tplc="08090005" w:tentative="1">
      <w:start w:val="1"/>
      <w:numFmt w:val="bullet"/>
      <w:lvlText w:val=""/>
      <w:lvlJc w:val="left"/>
      <w:pPr>
        <w:ind w:left="3141" w:hanging="360"/>
      </w:pPr>
      <w:rPr>
        <w:rFonts w:ascii="Wingdings" w:hAnsi="Wingdings" w:hint="default"/>
      </w:rPr>
    </w:lvl>
    <w:lvl w:ilvl="3" w:tplc="08090001" w:tentative="1">
      <w:start w:val="1"/>
      <w:numFmt w:val="bullet"/>
      <w:lvlText w:val=""/>
      <w:lvlJc w:val="left"/>
      <w:pPr>
        <w:ind w:left="3861" w:hanging="360"/>
      </w:pPr>
      <w:rPr>
        <w:rFonts w:ascii="Symbol" w:hAnsi="Symbol" w:hint="default"/>
      </w:rPr>
    </w:lvl>
    <w:lvl w:ilvl="4" w:tplc="08090003" w:tentative="1">
      <w:start w:val="1"/>
      <w:numFmt w:val="bullet"/>
      <w:lvlText w:val="o"/>
      <w:lvlJc w:val="left"/>
      <w:pPr>
        <w:ind w:left="4581" w:hanging="360"/>
      </w:pPr>
      <w:rPr>
        <w:rFonts w:ascii="Courier New" w:hAnsi="Courier New" w:cs="Courier New" w:hint="default"/>
      </w:rPr>
    </w:lvl>
    <w:lvl w:ilvl="5" w:tplc="08090005" w:tentative="1">
      <w:start w:val="1"/>
      <w:numFmt w:val="bullet"/>
      <w:lvlText w:val=""/>
      <w:lvlJc w:val="left"/>
      <w:pPr>
        <w:ind w:left="5301" w:hanging="360"/>
      </w:pPr>
      <w:rPr>
        <w:rFonts w:ascii="Wingdings" w:hAnsi="Wingdings" w:hint="default"/>
      </w:rPr>
    </w:lvl>
    <w:lvl w:ilvl="6" w:tplc="08090001" w:tentative="1">
      <w:start w:val="1"/>
      <w:numFmt w:val="bullet"/>
      <w:lvlText w:val=""/>
      <w:lvlJc w:val="left"/>
      <w:pPr>
        <w:ind w:left="6021" w:hanging="360"/>
      </w:pPr>
      <w:rPr>
        <w:rFonts w:ascii="Symbol" w:hAnsi="Symbol" w:hint="default"/>
      </w:rPr>
    </w:lvl>
    <w:lvl w:ilvl="7" w:tplc="08090003" w:tentative="1">
      <w:start w:val="1"/>
      <w:numFmt w:val="bullet"/>
      <w:lvlText w:val="o"/>
      <w:lvlJc w:val="left"/>
      <w:pPr>
        <w:ind w:left="6741" w:hanging="360"/>
      </w:pPr>
      <w:rPr>
        <w:rFonts w:ascii="Courier New" w:hAnsi="Courier New" w:cs="Courier New" w:hint="default"/>
      </w:rPr>
    </w:lvl>
    <w:lvl w:ilvl="8" w:tplc="08090005" w:tentative="1">
      <w:start w:val="1"/>
      <w:numFmt w:val="bullet"/>
      <w:lvlText w:val=""/>
      <w:lvlJc w:val="left"/>
      <w:pPr>
        <w:ind w:left="7461" w:hanging="360"/>
      </w:pPr>
      <w:rPr>
        <w:rFonts w:ascii="Wingdings" w:hAnsi="Wingdings" w:hint="default"/>
      </w:rPr>
    </w:lvl>
  </w:abstractNum>
  <w:abstractNum w:abstractNumId="70" w15:restartNumberingAfterBreak="0">
    <w:nsid w:val="21875E0F"/>
    <w:multiLevelType w:val="hybridMultilevel"/>
    <w:tmpl w:val="FCF87CCE"/>
    <w:lvl w:ilvl="0" w:tplc="58029FD4">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C7B723"/>
    <w:multiLevelType w:val="hybridMultilevel"/>
    <w:tmpl w:val="6AB620FC"/>
    <w:lvl w:ilvl="0" w:tplc="B80C43EE">
      <w:start w:val="1"/>
      <w:numFmt w:val="decimal"/>
      <w:lvlText w:val="%1."/>
      <w:lvlJc w:val="left"/>
      <w:pPr>
        <w:ind w:left="720" w:hanging="360"/>
      </w:pPr>
    </w:lvl>
    <w:lvl w:ilvl="1" w:tplc="68DACB38">
      <w:start w:val="1"/>
      <w:numFmt w:val="upperLetter"/>
      <w:lvlText w:val="%2."/>
      <w:lvlJc w:val="left"/>
      <w:pPr>
        <w:ind w:left="1440" w:hanging="360"/>
      </w:pPr>
    </w:lvl>
    <w:lvl w:ilvl="2" w:tplc="CFFC9058">
      <w:start w:val="1"/>
      <w:numFmt w:val="lowerRoman"/>
      <w:lvlText w:val="%3."/>
      <w:lvlJc w:val="right"/>
      <w:pPr>
        <w:ind w:left="2160" w:hanging="180"/>
      </w:pPr>
    </w:lvl>
    <w:lvl w:ilvl="3" w:tplc="E3920422">
      <w:start w:val="1"/>
      <w:numFmt w:val="decimal"/>
      <w:lvlText w:val="%4."/>
      <w:lvlJc w:val="left"/>
      <w:pPr>
        <w:ind w:left="2880" w:hanging="360"/>
      </w:pPr>
    </w:lvl>
    <w:lvl w:ilvl="4" w:tplc="D688CEAC">
      <w:start w:val="1"/>
      <w:numFmt w:val="lowerLetter"/>
      <w:lvlText w:val="%5."/>
      <w:lvlJc w:val="left"/>
      <w:pPr>
        <w:ind w:left="3600" w:hanging="360"/>
      </w:pPr>
    </w:lvl>
    <w:lvl w:ilvl="5" w:tplc="25605704">
      <w:start w:val="1"/>
      <w:numFmt w:val="lowerRoman"/>
      <w:lvlText w:val="%6."/>
      <w:lvlJc w:val="right"/>
      <w:pPr>
        <w:ind w:left="4320" w:hanging="180"/>
      </w:pPr>
    </w:lvl>
    <w:lvl w:ilvl="6" w:tplc="A4A84EAA">
      <w:start w:val="1"/>
      <w:numFmt w:val="decimal"/>
      <w:lvlText w:val="%7."/>
      <w:lvlJc w:val="left"/>
      <w:pPr>
        <w:ind w:left="5040" w:hanging="360"/>
      </w:pPr>
    </w:lvl>
    <w:lvl w:ilvl="7" w:tplc="25D2433E">
      <w:start w:val="1"/>
      <w:numFmt w:val="lowerLetter"/>
      <w:lvlText w:val="%8."/>
      <w:lvlJc w:val="left"/>
      <w:pPr>
        <w:ind w:left="5760" w:hanging="360"/>
      </w:pPr>
    </w:lvl>
    <w:lvl w:ilvl="8" w:tplc="FEB4E9CE">
      <w:start w:val="1"/>
      <w:numFmt w:val="lowerRoman"/>
      <w:lvlText w:val="%9."/>
      <w:lvlJc w:val="right"/>
      <w:pPr>
        <w:ind w:left="6480" w:hanging="180"/>
      </w:pPr>
    </w:lvl>
  </w:abstractNum>
  <w:abstractNum w:abstractNumId="72" w15:restartNumberingAfterBreak="0">
    <w:nsid w:val="21E91803"/>
    <w:multiLevelType w:val="hybridMultilevel"/>
    <w:tmpl w:val="18607A70"/>
    <w:lvl w:ilvl="0" w:tplc="D882AC22">
      <w:start w:val="300"/>
      <w:numFmt w:val="bullet"/>
      <w:lvlText w:val="-"/>
      <w:lvlJc w:val="left"/>
      <w:pPr>
        <w:ind w:left="720" w:hanging="360"/>
      </w:pPr>
      <w:rPr>
        <w:rFonts w:ascii="Times New Roman" w:eastAsiaTheme="minorHAnsi" w:hAnsi="Times New Roman" w:cs="Times New Roman" w:hint="default"/>
      </w:rPr>
    </w:lvl>
    <w:lvl w:ilvl="1" w:tplc="AAC255E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20B3BFF"/>
    <w:multiLevelType w:val="hybridMultilevel"/>
    <w:tmpl w:val="BD863FA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22A3029F"/>
    <w:multiLevelType w:val="hybridMultilevel"/>
    <w:tmpl w:val="5586809E"/>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5" w15:restartNumberingAfterBreak="0">
    <w:nsid w:val="22DC7F94"/>
    <w:multiLevelType w:val="hybridMultilevel"/>
    <w:tmpl w:val="3DDC6BEE"/>
    <w:lvl w:ilvl="0" w:tplc="7410E996">
      <w:start w:val="1"/>
      <w:numFmt w:val="bullet"/>
      <w:lvlText w:val="-"/>
      <w:lvlJc w:val="left"/>
      <w:pPr>
        <w:ind w:left="360" w:hanging="360"/>
      </w:pPr>
      <w:rPr>
        <w:rFonts w:ascii="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22E44180"/>
    <w:multiLevelType w:val="multilevel"/>
    <w:tmpl w:val="954AD3B4"/>
    <w:name w:val="0.3185803"/>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22F2597F"/>
    <w:multiLevelType w:val="hybridMultilevel"/>
    <w:tmpl w:val="295870D6"/>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041218"/>
    <w:multiLevelType w:val="hybridMultilevel"/>
    <w:tmpl w:val="0A7ED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33E2FCD"/>
    <w:multiLevelType w:val="multilevel"/>
    <w:tmpl w:val="1E3E8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2340BE43"/>
    <w:multiLevelType w:val="hybridMultilevel"/>
    <w:tmpl w:val="F58A5D00"/>
    <w:lvl w:ilvl="0" w:tplc="1F5A2FA6">
      <w:start w:val="1"/>
      <w:numFmt w:val="bullet"/>
      <w:lvlText w:val="-"/>
      <w:lvlJc w:val="left"/>
      <w:pPr>
        <w:ind w:left="720" w:hanging="360"/>
      </w:pPr>
      <w:rPr>
        <w:rFonts w:ascii="&quot;Calibri&quot;,sans-serif" w:hAnsi="&quot;Calibri&quot;,sans-serif" w:hint="default"/>
      </w:rPr>
    </w:lvl>
    <w:lvl w:ilvl="1" w:tplc="6EA8B402">
      <w:start w:val="1"/>
      <w:numFmt w:val="bullet"/>
      <w:lvlText w:val="o"/>
      <w:lvlJc w:val="left"/>
      <w:pPr>
        <w:ind w:left="1440" w:hanging="360"/>
      </w:pPr>
      <w:rPr>
        <w:rFonts w:ascii="Courier New" w:hAnsi="Courier New" w:hint="default"/>
      </w:rPr>
    </w:lvl>
    <w:lvl w:ilvl="2" w:tplc="6144ED24">
      <w:start w:val="1"/>
      <w:numFmt w:val="bullet"/>
      <w:lvlText w:val=""/>
      <w:lvlJc w:val="left"/>
      <w:pPr>
        <w:ind w:left="2160" w:hanging="360"/>
      </w:pPr>
      <w:rPr>
        <w:rFonts w:ascii="Wingdings" w:hAnsi="Wingdings" w:hint="default"/>
      </w:rPr>
    </w:lvl>
    <w:lvl w:ilvl="3" w:tplc="0D84CED8">
      <w:start w:val="1"/>
      <w:numFmt w:val="bullet"/>
      <w:lvlText w:val=""/>
      <w:lvlJc w:val="left"/>
      <w:pPr>
        <w:ind w:left="2880" w:hanging="360"/>
      </w:pPr>
      <w:rPr>
        <w:rFonts w:ascii="Symbol" w:hAnsi="Symbol" w:hint="default"/>
      </w:rPr>
    </w:lvl>
    <w:lvl w:ilvl="4" w:tplc="BCC4497C">
      <w:start w:val="1"/>
      <w:numFmt w:val="bullet"/>
      <w:lvlText w:val="o"/>
      <w:lvlJc w:val="left"/>
      <w:pPr>
        <w:ind w:left="3600" w:hanging="360"/>
      </w:pPr>
      <w:rPr>
        <w:rFonts w:ascii="Courier New" w:hAnsi="Courier New" w:hint="default"/>
      </w:rPr>
    </w:lvl>
    <w:lvl w:ilvl="5" w:tplc="98D6BF86">
      <w:start w:val="1"/>
      <w:numFmt w:val="bullet"/>
      <w:lvlText w:val=""/>
      <w:lvlJc w:val="left"/>
      <w:pPr>
        <w:ind w:left="4320" w:hanging="360"/>
      </w:pPr>
      <w:rPr>
        <w:rFonts w:ascii="Wingdings" w:hAnsi="Wingdings" w:hint="default"/>
      </w:rPr>
    </w:lvl>
    <w:lvl w:ilvl="6" w:tplc="059CA516">
      <w:start w:val="1"/>
      <w:numFmt w:val="bullet"/>
      <w:lvlText w:val=""/>
      <w:lvlJc w:val="left"/>
      <w:pPr>
        <w:ind w:left="5040" w:hanging="360"/>
      </w:pPr>
      <w:rPr>
        <w:rFonts w:ascii="Symbol" w:hAnsi="Symbol" w:hint="default"/>
      </w:rPr>
    </w:lvl>
    <w:lvl w:ilvl="7" w:tplc="BD72341C">
      <w:start w:val="1"/>
      <w:numFmt w:val="bullet"/>
      <w:lvlText w:val="o"/>
      <w:lvlJc w:val="left"/>
      <w:pPr>
        <w:ind w:left="5760" w:hanging="360"/>
      </w:pPr>
      <w:rPr>
        <w:rFonts w:ascii="Courier New" w:hAnsi="Courier New" w:hint="default"/>
      </w:rPr>
    </w:lvl>
    <w:lvl w:ilvl="8" w:tplc="A0A2E8C2">
      <w:start w:val="1"/>
      <w:numFmt w:val="bullet"/>
      <w:lvlText w:val=""/>
      <w:lvlJc w:val="left"/>
      <w:pPr>
        <w:ind w:left="6480" w:hanging="360"/>
      </w:pPr>
      <w:rPr>
        <w:rFonts w:ascii="Wingdings" w:hAnsi="Wingdings" w:hint="default"/>
      </w:rPr>
    </w:lvl>
  </w:abstractNum>
  <w:abstractNum w:abstractNumId="81" w15:restartNumberingAfterBreak="0">
    <w:nsid w:val="23762B2C"/>
    <w:multiLevelType w:val="hybridMultilevel"/>
    <w:tmpl w:val="F63E688E"/>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3B51748"/>
    <w:multiLevelType w:val="hybridMultilevel"/>
    <w:tmpl w:val="97226C02"/>
    <w:lvl w:ilvl="0" w:tplc="D882AC22">
      <w:start w:val="300"/>
      <w:numFmt w:val="bullet"/>
      <w:lvlText w:val="-"/>
      <w:lvlJc w:val="left"/>
      <w:pPr>
        <w:ind w:left="720" w:hanging="360"/>
      </w:pPr>
      <w:rPr>
        <w:rFonts w:ascii="Times New Roman" w:eastAsiaTheme="minorHAnsi" w:hAnsi="Times New Roman" w:cs="Times New Roman" w:hint="default"/>
        <w:color w:val="006100"/>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15:restartNumberingAfterBreak="0">
    <w:nsid w:val="244A7498"/>
    <w:multiLevelType w:val="hybridMultilevel"/>
    <w:tmpl w:val="6632E550"/>
    <w:lvl w:ilvl="0" w:tplc="BA807564">
      <w:start w:val="289"/>
      <w:numFmt w:val="bullet"/>
      <w:lvlText w:val="-"/>
      <w:lvlJc w:val="left"/>
      <w:pPr>
        <w:ind w:left="720" w:hanging="360"/>
      </w:pPr>
      <w:rPr>
        <w:rFonts w:ascii="Calibri" w:eastAsiaTheme="minorHAnsi" w:hAnsi="Calibri" w:cs="Calibri"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4BC7BCE"/>
    <w:multiLevelType w:val="hybridMultilevel"/>
    <w:tmpl w:val="ABD456DE"/>
    <w:lvl w:ilvl="0" w:tplc="D882AC22">
      <w:start w:val="30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5735DF5"/>
    <w:multiLevelType w:val="hybridMultilevel"/>
    <w:tmpl w:val="A2342166"/>
    <w:lvl w:ilvl="0" w:tplc="D882AC22">
      <w:start w:val="300"/>
      <w:numFmt w:val="bullet"/>
      <w:lvlText w:val="-"/>
      <w:lvlJc w:val="left"/>
      <w:pPr>
        <w:ind w:left="360" w:hanging="360"/>
      </w:pPr>
      <w:rPr>
        <w:rFonts w:ascii="Times New Roman" w:eastAsiaTheme="minorHAns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6" w15:restartNumberingAfterBreak="0">
    <w:nsid w:val="26112413"/>
    <w:multiLevelType w:val="hybridMultilevel"/>
    <w:tmpl w:val="574ECFAC"/>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6176814"/>
    <w:multiLevelType w:val="hybridMultilevel"/>
    <w:tmpl w:val="627A61D2"/>
    <w:lvl w:ilvl="0" w:tplc="39AAAC74">
      <w:start w:val="2"/>
      <w:numFmt w:val="bullet"/>
      <w:lvlText w:val="-"/>
      <w:lvlJc w:val="left"/>
      <w:pPr>
        <w:ind w:left="1210" w:hanging="360"/>
      </w:pPr>
      <w:rPr>
        <w:rFonts w:ascii="Times New Roman" w:eastAsiaTheme="minorHAnsi" w:hAnsi="Times New Roman" w:cs="Times New Roman"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88" w15:restartNumberingAfterBreak="0">
    <w:nsid w:val="265B31F5"/>
    <w:multiLevelType w:val="hybridMultilevel"/>
    <w:tmpl w:val="77241C16"/>
    <w:lvl w:ilvl="0" w:tplc="CFDA5974">
      <w:start w:val="11"/>
      <w:numFmt w:val="bullet"/>
      <w:lvlText w:val="-"/>
      <w:lvlJc w:val="left"/>
      <w:pPr>
        <w:ind w:left="677" w:hanging="360"/>
      </w:pPr>
      <w:rPr>
        <w:rFonts w:ascii="Times New Roman" w:eastAsiaTheme="minorHAnsi" w:hAnsi="Times New Roman" w:cs="Times New Roman"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89" w15:restartNumberingAfterBreak="0">
    <w:nsid w:val="28626987"/>
    <w:multiLevelType w:val="hybridMultilevel"/>
    <w:tmpl w:val="9CDAF734"/>
    <w:lvl w:ilvl="0" w:tplc="FFFFFFFF">
      <w:start w:val="1"/>
      <w:numFmt w:val="bullet"/>
      <w:lvlText w:val="-"/>
      <w:lvlJc w:val="left"/>
      <w:pPr>
        <w:ind w:left="774" w:hanging="360"/>
      </w:pPr>
      <w:rPr>
        <w:rFonts w:ascii="Calibri" w:hAnsi="Calibri"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90" w15:restartNumberingAfterBreak="0">
    <w:nsid w:val="2936272F"/>
    <w:multiLevelType w:val="hybridMultilevel"/>
    <w:tmpl w:val="FBA47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2986C296"/>
    <w:multiLevelType w:val="hybridMultilevel"/>
    <w:tmpl w:val="24820362"/>
    <w:lvl w:ilvl="0" w:tplc="1C962E48">
      <w:start w:val="2"/>
      <w:numFmt w:val="lowerLetter"/>
      <w:lvlText w:val="%1."/>
      <w:lvlJc w:val="left"/>
      <w:pPr>
        <w:ind w:left="720" w:hanging="360"/>
      </w:pPr>
    </w:lvl>
    <w:lvl w:ilvl="1" w:tplc="D220C412">
      <w:start w:val="1"/>
      <w:numFmt w:val="lowerLetter"/>
      <w:lvlText w:val="%2."/>
      <w:lvlJc w:val="left"/>
      <w:pPr>
        <w:ind w:left="1440" w:hanging="360"/>
      </w:pPr>
    </w:lvl>
    <w:lvl w:ilvl="2" w:tplc="6BAE7356">
      <w:start w:val="1"/>
      <w:numFmt w:val="lowerRoman"/>
      <w:lvlText w:val="%3."/>
      <w:lvlJc w:val="right"/>
      <w:pPr>
        <w:ind w:left="2160" w:hanging="180"/>
      </w:pPr>
    </w:lvl>
    <w:lvl w:ilvl="3" w:tplc="090C4E4C">
      <w:start w:val="1"/>
      <w:numFmt w:val="decimal"/>
      <w:lvlText w:val="%4."/>
      <w:lvlJc w:val="left"/>
      <w:pPr>
        <w:ind w:left="2880" w:hanging="360"/>
      </w:pPr>
    </w:lvl>
    <w:lvl w:ilvl="4" w:tplc="51663C46">
      <w:start w:val="1"/>
      <w:numFmt w:val="lowerLetter"/>
      <w:lvlText w:val="%5."/>
      <w:lvlJc w:val="left"/>
      <w:pPr>
        <w:ind w:left="3600" w:hanging="360"/>
      </w:pPr>
    </w:lvl>
    <w:lvl w:ilvl="5" w:tplc="C99041C2">
      <w:start w:val="1"/>
      <w:numFmt w:val="lowerRoman"/>
      <w:lvlText w:val="%6."/>
      <w:lvlJc w:val="right"/>
      <w:pPr>
        <w:ind w:left="4320" w:hanging="180"/>
      </w:pPr>
    </w:lvl>
    <w:lvl w:ilvl="6" w:tplc="F9700386">
      <w:start w:val="1"/>
      <w:numFmt w:val="decimal"/>
      <w:lvlText w:val="%7."/>
      <w:lvlJc w:val="left"/>
      <w:pPr>
        <w:ind w:left="5040" w:hanging="360"/>
      </w:pPr>
    </w:lvl>
    <w:lvl w:ilvl="7" w:tplc="806AF3B2">
      <w:start w:val="1"/>
      <w:numFmt w:val="lowerLetter"/>
      <w:lvlText w:val="%8."/>
      <w:lvlJc w:val="left"/>
      <w:pPr>
        <w:ind w:left="5760" w:hanging="360"/>
      </w:pPr>
    </w:lvl>
    <w:lvl w:ilvl="8" w:tplc="BE4ACE46">
      <w:start w:val="1"/>
      <w:numFmt w:val="lowerRoman"/>
      <w:lvlText w:val="%9."/>
      <w:lvlJc w:val="right"/>
      <w:pPr>
        <w:ind w:left="6480" w:hanging="180"/>
      </w:pPr>
    </w:lvl>
  </w:abstractNum>
  <w:abstractNum w:abstractNumId="92" w15:restartNumberingAfterBreak="0">
    <w:nsid w:val="29C3638F"/>
    <w:multiLevelType w:val="hybridMultilevel"/>
    <w:tmpl w:val="43685F7E"/>
    <w:lvl w:ilvl="0" w:tplc="CF546248">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9EC7483"/>
    <w:multiLevelType w:val="hybridMultilevel"/>
    <w:tmpl w:val="3AFE6E2C"/>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B296EF8"/>
    <w:multiLevelType w:val="hybridMultilevel"/>
    <w:tmpl w:val="F86848C0"/>
    <w:lvl w:ilvl="0" w:tplc="6EAAD43E">
      <w:start w:val="1"/>
      <w:numFmt w:val="upperLetter"/>
      <w:lvlText w:val="%1)"/>
      <w:lvlJc w:val="left"/>
      <w:pPr>
        <w:ind w:left="720" w:hanging="360"/>
      </w:pPr>
      <w:rPr>
        <w:rFonts w:ascii="Times New Roman" w:hAnsi="Times New Roman" w:cs="Times New Roman"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5" w15:restartNumberingAfterBreak="0">
    <w:nsid w:val="2CAC7F68"/>
    <w:multiLevelType w:val="hybridMultilevel"/>
    <w:tmpl w:val="6B809DF2"/>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98" w15:restartNumberingAfterBreak="0">
    <w:nsid w:val="2DD50A89"/>
    <w:multiLevelType w:val="hybridMultilevel"/>
    <w:tmpl w:val="C466044C"/>
    <w:lvl w:ilvl="0" w:tplc="D882AC22">
      <w:start w:val="300"/>
      <w:numFmt w:val="bullet"/>
      <w:lvlText w:val="-"/>
      <w:lvlJc w:val="left"/>
      <w:pPr>
        <w:ind w:left="405" w:hanging="360"/>
      </w:pPr>
      <w:rPr>
        <w:rFonts w:ascii="Times New Roman" w:eastAsiaTheme="minorHAnsi" w:hAnsi="Times New Roman"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9" w15:restartNumberingAfterBreak="0">
    <w:nsid w:val="2E01084A"/>
    <w:multiLevelType w:val="hybridMultilevel"/>
    <w:tmpl w:val="53B835AE"/>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F2675AC"/>
    <w:multiLevelType w:val="hybridMultilevel"/>
    <w:tmpl w:val="21841F7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1" w15:restartNumberingAfterBreak="0">
    <w:nsid w:val="2F7B30D3"/>
    <w:multiLevelType w:val="hybridMultilevel"/>
    <w:tmpl w:val="764CD0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FA8721B"/>
    <w:multiLevelType w:val="hybridMultilevel"/>
    <w:tmpl w:val="005638E0"/>
    <w:lvl w:ilvl="0" w:tplc="18090019">
      <w:start w:val="1"/>
      <w:numFmt w:val="lowerLetter"/>
      <w:lvlText w:val="%1."/>
      <w:lvlJc w:val="left"/>
      <w:pPr>
        <w:ind w:left="360" w:hanging="360"/>
      </w:pPr>
    </w:lvl>
    <w:lvl w:ilvl="1" w:tplc="18090019" w:tentative="1">
      <w:start w:val="1"/>
      <w:numFmt w:val="lowerLetter"/>
      <w:lvlText w:val="%2."/>
      <w:lvlJc w:val="left"/>
      <w:pPr>
        <w:ind w:left="88" w:hanging="360"/>
      </w:pPr>
    </w:lvl>
    <w:lvl w:ilvl="2" w:tplc="1809001B" w:tentative="1">
      <w:start w:val="1"/>
      <w:numFmt w:val="lowerRoman"/>
      <w:lvlText w:val="%3."/>
      <w:lvlJc w:val="right"/>
      <w:pPr>
        <w:ind w:left="808" w:hanging="180"/>
      </w:pPr>
    </w:lvl>
    <w:lvl w:ilvl="3" w:tplc="1809000F" w:tentative="1">
      <w:start w:val="1"/>
      <w:numFmt w:val="decimal"/>
      <w:lvlText w:val="%4."/>
      <w:lvlJc w:val="left"/>
      <w:pPr>
        <w:ind w:left="1528" w:hanging="360"/>
      </w:pPr>
    </w:lvl>
    <w:lvl w:ilvl="4" w:tplc="18090019" w:tentative="1">
      <w:start w:val="1"/>
      <w:numFmt w:val="lowerLetter"/>
      <w:lvlText w:val="%5."/>
      <w:lvlJc w:val="left"/>
      <w:pPr>
        <w:ind w:left="2248" w:hanging="360"/>
      </w:pPr>
    </w:lvl>
    <w:lvl w:ilvl="5" w:tplc="1809001B" w:tentative="1">
      <w:start w:val="1"/>
      <w:numFmt w:val="lowerRoman"/>
      <w:lvlText w:val="%6."/>
      <w:lvlJc w:val="right"/>
      <w:pPr>
        <w:ind w:left="2968" w:hanging="180"/>
      </w:pPr>
    </w:lvl>
    <w:lvl w:ilvl="6" w:tplc="1809000F" w:tentative="1">
      <w:start w:val="1"/>
      <w:numFmt w:val="decimal"/>
      <w:lvlText w:val="%7."/>
      <w:lvlJc w:val="left"/>
      <w:pPr>
        <w:ind w:left="3688" w:hanging="360"/>
      </w:pPr>
    </w:lvl>
    <w:lvl w:ilvl="7" w:tplc="18090019" w:tentative="1">
      <w:start w:val="1"/>
      <w:numFmt w:val="lowerLetter"/>
      <w:lvlText w:val="%8."/>
      <w:lvlJc w:val="left"/>
      <w:pPr>
        <w:ind w:left="4408" w:hanging="360"/>
      </w:pPr>
    </w:lvl>
    <w:lvl w:ilvl="8" w:tplc="1809001B" w:tentative="1">
      <w:start w:val="1"/>
      <w:numFmt w:val="lowerRoman"/>
      <w:lvlText w:val="%9."/>
      <w:lvlJc w:val="right"/>
      <w:pPr>
        <w:ind w:left="5128" w:hanging="180"/>
      </w:pPr>
    </w:lvl>
  </w:abstractNum>
  <w:abstractNum w:abstractNumId="103" w15:restartNumberingAfterBreak="0">
    <w:nsid w:val="2FF6382F"/>
    <w:multiLevelType w:val="hybridMultilevel"/>
    <w:tmpl w:val="4FEA1C96"/>
    <w:lvl w:ilvl="0" w:tplc="18090001">
      <w:start w:val="1"/>
      <w:numFmt w:val="bullet"/>
      <w:lvlText w:val=""/>
      <w:lvlJc w:val="left"/>
      <w:pPr>
        <w:ind w:left="720" w:hanging="360"/>
      </w:pPr>
      <w:rPr>
        <w:rFonts w:ascii="Symbol" w:hAnsi="Symbol" w:hint="default"/>
      </w:rPr>
    </w:lvl>
    <w:lvl w:ilvl="1" w:tplc="447C9CFC">
      <w:start w:val="5"/>
      <w:numFmt w:val="bullet"/>
      <w:lvlText w:val="•"/>
      <w:lvlJc w:val="left"/>
      <w:pPr>
        <w:ind w:left="1665" w:hanging="58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00F25C4"/>
    <w:multiLevelType w:val="hybridMultilevel"/>
    <w:tmpl w:val="11A08124"/>
    <w:lvl w:ilvl="0" w:tplc="B6E4CF9A">
      <w:start w:val="1"/>
      <w:numFmt w:val="decimal"/>
      <w:lvlText w:val="%1."/>
      <w:lvlJc w:val="left"/>
      <w:pPr>
        <w:ind w:left="720" w:hanging="360"/>
      </w:pPr>
    </w:lvl>
    <w:lvl w:ilvl="1" w:tplc="D2186B0E">
      <w:start w:val="1"/>
      <w:numFmt w:val="lowerLetter"/>
      <w:lvlText w:val="%2."/>
      <w:lvlJc w:val="left"/>
      <w:pPr>
        <w:ind w:left="1440" w:hanging="360"/>
      </w:pPr>
    </w:lvl>
    <w:lvl w:ilvl="2" w:tplc="8A767700">
      <w:start w:val="1"/>
      <w:numFmt w:val="lowerRoman"/>
      <w:lvlText w:val="%3."/>
      <w:lvlJc w:val="right"/>
      <w:pPr>
        <w:ind w:left="2160" w:hanging="180"/>
      </w:pPr>
    </w:lvl>
    <w:lvl w:ilvl="3" w:tplc="A9A233E8">
      <w:start w:val="1"/>
      <w:numFmt w:val="decimal"/>
      <w:lvlText w:val="%4."/>
      <w:lvlJc w:val="left"/>
      <w:pPr>
        <w:ind w:left="2880" w:hanging="360"/>
      </w:pPr>
    </w:lvl>
    <w:lvl w:ilvl="4" w:tplc="AECEA32A">
      <w:start w:val="1"/>
      <w:numFmt w:val="lowerLetter"/>
      <w:lvlText w:val="%5."/>
      <w:lvlJc w:val="left"/>
      <w:pPr>
        <w:ind w:left="3600" w:hanging="360"/>
      </w:pPr>
    </w:lvl>
    <w:lvl w:ilvl="5" w:tplc="3086CD8A">
      <w:start w:val="1"/>
      <w:numFmt w:val="lowerRoman"/>
      <w:lvlText w:val="%6."/>
      <w:lvlJc w:val="right"/>
      <w:pPr>
        <w:ind w:left="4320" w:hanging="180"/>
      </w:pPr>
    </w:lvl>
    <w:lvl w:ilvl="6" w:tplc="BF92C99C">
      <w:start w:val="1"/>
      <w:numFmt w:val="decimal"/>
      <w:lvlText w:val="%7."/>
      <w:lvlJc w:val="left"/>
      <w:pPr>
        <w:ind w:left="5040" w:hanging="360"/>
      </w:pPr>
    </w:lvl>
    <w:lvl w:ilvl="7" w:tplc="EFEE1E9A">
      <w:start w:val="1"/>
      <w:numFmt w:val="lowerLetter"/>
      <w:lvlText w:val="%8."/>
      <w:lvlJc w:val="left"/>
      <w:pPr>
        <w:ind w:left="5760" w:hanging="360"/>
      </w:pPr>
    </w:lvl>
    <w:lvl w:ilvl="8" w:tplc="75BA04AA">
      <w:start w:val="1"/>
      <w:numFmt w:val="lowerRoman"/>
      <w:lvlText w:val="%9."/>
      <w:lvlJc w:val="right"/>
      <w:pPr>
        <w:ind w:left="6480" w:hanging="180"/>
      </w:pPr>
    </w:lvl>
  </w:abstractNum>
  <w:abstractNum w:abstractNumId="105" w15:restartNumberingAfterBreak="0">
    <w:nsid w:val="30403EC1"/>
    <w:multiLevelType w:val="multilevel"/>
    <w:tmpl w:val="4AF61FC8"/>
    <w:lvl w:ilvl="0">
      <w:start w:val="16"/>
      <w:numFmt w:val="upperLetter"/>
      <w:lvlText w:val="%1."/>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6" w15:restartNumberingAfterBreak="0">
    <w:nsid w:val="30584B31"/>
    <w:multiLevelType w:val="hybridMultilevel"/>
    <w:tmpl w:val="9B302928"/>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1C2B35"/>
    <w:multiLevelType w:val="hybridMultilevel"/>
    <w:tmpl w:val="ABCAE2E6"/>
    <w:lvl w:ilvl="0" w:tplc="AC629FEA">
      <w:start w:val="9"/>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6124AD"/>
    <w:multiLevelType w:val="hybridMultilevel"/>
    <w:tmpl w:val="F5E61D02"/>
    <w:lvl w:ilvl="0" w:tplc="D882AC22">
      <w:start w:val="300"/>
      <w:numFmt w:val="bullet"/>
      <w:lvlText w:val="-"/>
      <w:lvlJc w:val="left"/>
      <w:pPr>
        <w:ind w:left="720" w:hanging="360"/>
      </w:pPr>
      <w:rPr>
        <w:rFonts w:ascii="Times New Roman" w:eastAsiaTheme="minorHAnsi" w:hAnsi="Times New Roman" w:cs="Times New Roman" w:hint="default"/>
      </w:rPr>
    </w:lvl>
    <w:lvl w:ilvl="1" w:tplc="5FC22512">
      <w:start w:val="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1733CF7"/>
    <w:multiLevelType w:val="multilevel"/>
    <w:tmpl w:val="2A0C959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1E7303D"/>
    <w:multiLevelType w:val="hybridMultilevel"/>
    <w:tmpl w:val="A87665EC"/>
    <w:lvl w:ilvl="0" w:tplc="F3BCFAF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1" w15:restartNumberingAfterBreak="0">
    <w:nsid w:val="321D30A3"/>
    <w:multiLevelType w:val="hybridMultilevel"/>
    <w:tmpl w:val="1A40489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2AA6E9E"/>
    <w:multiLevelType w:val="hybridMultilevel"/>
    <w:tmpl w:val="F88E25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15:restartNumberingAfterBreak="0">
    <w:nsid w:val="333A6681"/>
    <w:multiLevelType w:val="hybridMultilevel"/>
    <w:tmpl w:val="412474C6"/>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337C5C61"/>
    <w:multiLevelType w:val="hybridMultilevel"/>
    <w:tmpl w:val="952E6D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4741063"/>
    <w:multiLevelType w:val="multilevel"/>
    <w:tmpl w:val="99C47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35C9236F"/>
    <w:multiLevelType w:val="hybridMultilevel"/>
    <w:tmpl w:val="D4D0B7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5E37283"/>
    <w:multiLevelType w:val="hybridMultilevel"/>
    <w:tmpl w:val="A5C61CD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7A15832"/>
    <w:multiLevelType w:val="hybridMultilevel"/>
    <w:tmpl w:val="71567F7E"/>
    <w:lvl w:ilvl="0" w:tplc="18090011">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9" w15:restartNumberingAfterBreak="0">
    <w:nsid w:val="39E11C77"/>
    <w:multiLevelType w:val="hybridMultilevel"/>
    <w:tmpl w:val="6A0240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0" w15:restartNumberingAfterBreak="0">
    <w:nsid w:val="3A59226C"/>
    <w:multiLevelType w:val="hybridMultilevel"/>
    <w:tmpl w:val="BC86D696"/>
    <w:lvl w:ilvl="0" w:tplc="F9689064">
      <w:start w:val="2"/>
      <w:numFmt w:val="decimal"/>
      <w:lvlText w:val="%1."/>
      <w:lvlJc w:val="left"/>
      <w:pPr>
        <w:ind w:left="720" w:hanging="360"/>
      </w:pPr>
    </w:lvl>
    <w:lvl w:ilvl="1" w:tplc="B93CD648">
      <w:start w:val="1"/>
      <w:numFmt w:val="lowerLetter"/>
      <w:lvlText w:val="%2."/>
      <w:lvlJc w:val="left"/>
      <w:pPr>
        <w:ind w:left="1440" w:hanging="360"/>
      </w:pPr>
    </w:lvl>
    <w:lvl w:ilvl="2" w:tplc="219CAE0A">
      <w:start w:val="1"/>
      <w:numFmt w:val="lowerRoman"/>
      <w:lvlText w:val="%3."/>
      <w:lvlJc w:val="right"/>
      <w:pPr>
        <w:ind w:left="2160" w:hanging="180"/>
      </w:pPr>
    </w:lvl>
    <w:lvl w:ilvl="3" w:tplc="4EAEDFCE">
      <w:start w:val="1"/>
      <w:numFmt w:val="decimal"/>
      <w:lvlText w:val="%4."/>
      <w:lvlJc w:val="left"/>
      <w:pPr>
        <w:ind w:left="2880" w:hanging="360"/>
      </w:pPr>
    </w:lvl>
    <w:lvl w:ilvl="4" w:tplc="7C26551E">
      <w:start w:val="1"/>
      <w:numFmt w:val="lowerLetter"/>
      <w:lvlText w:val="%5."/>
      <w:lvlJc w:val="left"/>
      <w:pPr>
        <w:ind w:left="3600" w:hanging="360"/>
      </w:pPr>
    </w:lvl>
    <w:lvl w:ilvl="5" w:tplc="CC7080B4">
      <w:start w:val="1"/>
      <w:numFmt w:val="lowerRoman"/>
      <w:lvlText w:val="%6."/>
      <w:lvlJc w:val="right"/>
      <w:pPr>
        <w:ind w:left="4320" w:hanging="180"/>
      </w:pPr>
    </w:lvl>
    <w:lvl w:ilvl="6" w:tplc="E5F2F9F2">
      <w:start w:val="1"/>
      <w:numFmt w:val="decimal"/>
      <w:lvlText w:val="%7."/>
      <w:lvlJc w:val="left"/>
      <w:pPr>
        <w:ind w:left="5040" w:hanging="360"/>
      </w:pPr>
    </w:lvl>
    <w:lvl w:ilvl="7" w:tplc="63FE9D58">
      <w:start w:val="1"/>
      <w:numFmt w:val="lowerLetter"/>
      <w:lvlText w:val="%8."/>
      <w:lvlJc w:val="left"/>
      <w:pPr>
        <w:ind w:left="5760" w:hanging="360"/>
      </w:pPr>
    </w:lvl>
    <w:lvl w:ilvl="8" w:tplc="9F1EE3D2">
      <w:start w:val="1"/>
      <w:numFmt w:val="lowerRoman"/>
      <w:lvlText w:val="%9."/>
      <w:lvlJc w:val="right"/>
      <w:pPr>
        <w:ind w:left="6480" w:hanging="180"/>
      </w:pPr>
    </w:lvl>
  </w:abstractNum>
  <w:abstractNum w:abstractNumId="121" w15:restartNumberingAfterBreak="0">
    <w:nsid w:val="3ACC5FAD"/>
    <w:multiLevelType w:val="hybridMultilevel"/>
    <w:tmpl w:val="9A703686"/>
    <w:lvl w:ilvl="0" w:tplc="0809000F">
      <w:start w:val="1"/>
      <w:numFmt w:val="decimal"/>
      <w:lvlText w:val="%1."/>
      <w:lvlJc w:val="left"/>
      <w:pPr>
        <w:ind w:left="1996" w:hanging="360"/>
      </w:pPr>
    </w:lvl>
    <w:lvl w:ilvl="1" w:tplc="13CE1B74">
      <w:start w:val="1"/>
      <w:numFmt w:val="upperLetter"/>
      <w:lvlText w:val="%2."/>
      <w:lvlJc w:val="left"/>
      <w:pPr>
        <w:ind w:left="3241" w:hanging="885"/>
      </w:pPr>
      <w:rPr>
        <w:rFonts w:hint="default"/>
      </w:r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22" w15:restartNumberingAfterBreak="0">
    <w:nsid w:val="3B766948"/>
    <w:multiLevelType w:val="hybridMultilevel"/>
    <w:tmpl w:val="77C66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BCC40D2"/>
    <w:multiLevelType w:val="multilevel"/>
    <w:tmpl w:val="4AF61FC8"/>
    <w:lvl w:ilvl="0">
      <w:start w:val="16"/>
      <w:numFmt w:val="upperLetter"/>
      <w:lvlText w:val="%1."/>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4" w15:restartNumberingAfterBreak="0">
    <w:nsid w:val="3BED2E0F"/>
    <w:multiLevelType w:val="multilevel"/>
    <w:tmpl w:val="40F0A5F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3C2D40A2"/>
    <w:multiLevelType w:val="hybridMultilevel"/>
    <w:tmpl w:val="F392E652"/>
    <w:lvl w:ilvl="0" w:tplc="2818A12E">
      <w:numFmt w:val="bullet"/>
      <w:lvlText w:val="-"/>
      <w:lvlJc w:val="left"/>
      <w:pPr>
        <w:ind w:left="1210" w:hanging="360"/>
      </w:pPr>
      <w:rPr>
        <w:rFonts w:ascii="Times New Roman" w:eastAsiaTheme="minorHAns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6" w15:restartNumberingAfterBreak="0">
    <w:nsid w:val="3C3F6EE3"/>
    <w:multiLevelType w:val="hybridMultilevel"/>
    <w:tmpl w:val="907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CBC1157"/>
    <w:multiLevelType w:val="hybridMultilevel"/>
    <w:tmpl w:val="FFFFFFFF"/>
    <w:lvl w:ilvl="0" w:tplc="C2E8C71C">
      <w:start w:val="1"/>
      <w:numFmt w:val="bullet"/>
      <w:lvlText w:val="-"/>
      <w:lvlJc w:val="left"/>
      <w:pPr>
        <w:ind w:left="360" w:hanging="360"/>
      </w:pPr>
      <w:rPr>
        <w:rFonts w:ascii="Calibri" w:hAnsi="Calibri" w:hint="default"/>
      </w:rPr>
    </w:lvl>
    <w:lvl w:ilvl="1" w:tplc="24BCA60A">
      <w:start w:val="1"/>
      <w:numFmt w:val="bullet"/>
      <w:lvlText w:val="o"/>
      <w:lvlJc w:val="left"/>
      <w:pPr>
        <w:ind w:left="1080" w:hanging="360"/>
      </w:pPr>
      <w:rPr>
        <w:rFonts w:ascii="Courier New" w:hAnsi="Courier New" w:hint="default"/>
      </w:rPr>
    </w:lvl>
    <w:lvl w:ilvl="2" w:tplc="5CD0E9A0">
      <w:start w:val="1"/>
      <w:numFmt w:val="bullet"/>
      <w:lvlText w:val=""/>
      <w:lvlJc w:val="left"/>
      <w:pPr>
        <w:ind w:left="1800" w:hanging="360"/>
      </w:pPr>
      <w:rPr>
        <w:rFonts w:ascii="Wingdings" w:hAnsi="Wingdings" w:hint="default"/>
      </w:rPr>
    </w:lvl>
    <w:lvl w:ilvl="3" w:tplc="30269984">
      <w:start w:val="1"/>
      <w:numFmt w:val="bullet"/>
      <w:lvlText w:val=""/>
      <w:lvlJc w:val="left"/>
      <w:pPr>
        <w:ind w:left="2520" w:hanging="360"/>
      </w:pPr>
      <w:rPr>
        <w:rFonts w:ascii="Symbol" w:hAnsi="Symbol" w:hint="default"/>
      </w:rPr>
    </w:lvl>
    <w:lvl w:ilvl="4" w:tplc="CCDE159C">
      <w:start w:val="1"/>
      <w:numFmt w:val="bullet"/>
      <w:lvlText w:val="o"/>
      <w:lvlJc w:val="left"/>
      <w:pPr>
        <w:ind w:left="3240" w:hanging="360"/>
      </w:pPr>
      <w:rPr>
        <w:rFonts w:ascii="Courier New" w:hAnsi="Courier New" w:hint="default"/>
      </w:rPr>
    </w:lvl>
    <w:lvl w:ilvl="5" w:tplc="4C64EFF4">
      <w:start w:val="1"/>
      <w:numFmt w:val="bullet"/>
      <w:lvlText w:val=""/>
      <w:lvlJc w:val="left"/>
      <w:pPr>
        <w:ind w:left="3960" w:hanging="360"/>
      </w:pPr>
      <w:rPr>
        <w:rFonts w:ascii="Wingdings" w:hAnsi="Wingdings" w:hint="default"/>
      </w:rPr>
    </w:lvl>
    <w:lvl w:ilvl="6" w:tplc="131C6CF0">
      <w:start w:val="1"/>
      <w:numFmt w:val="bullet"/>
      <w:lvlText w:val=""/>
      <w:lvlJc w:val="left"/>
      <w:pPr>
        <w:ind w:left="4680" w:hanging="360"/>
      </w:pPr>
      <w:rPr>
        <w:rFonts w:ascii="Symbol" w:hAnsi="Symbol" w:hint="default"/>
      </w:rPr>
    </w:lvl>
    <w:lvl w:ilvl="7" w:tplc="B4B86B38">
      <w:start w:val="1"/>
      <w:numFmt w:val="bullet"/>
      <w:lvlText w:val="o"/>
      <w:lvlJc w:val="left"/>
      <w:pPr>
        <w:ind w:left="5400" w:hanging="360"/>
      </w:pPr>
      <w:rPr>
        <w:rFonts w:ascii="Courier New" w:hAnsi="Courier New" w:hint="default"/>
      </w:rPr>
    </w:lvl>
    <w:lvl w:ilvl="8" w:tplc="BAD0657C">
      <w:start w:val="1"/>
      <w:numFmt w:val="bullet"/>
      <w:lvlText w:val=""/>
      <w:lvlJc w:val="left"/>
      <w:pPr>
        <w:ind w:left="6120" w:hanging="360"/>
      </w:pPr>
      <w:rPr>
        <w:rFonts w:ascii="Wingdings" w:hAnsi="Wingdings" w:hint="default"/>
      </w:rPr>
    </w:lvl>
  </w:abstractNum>
  <w:abstractNum w:abstractNumId="128" w15:restartNumberingAfterBreak="0">
    <w:nsid w:val="3D7C6DE6"/>
    <w:multiLevelType w:val="hybridMultilevel"/>
    <w:tmpl w:val="ABF421B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DAA5114"/>
    <w:multiLevelType w:val="hybridMultilevel"/>
    <w:tmpl w:val="620488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0" w15:restartNumberingAfterBreak="0">
    <w:nsid w:val="3EC422F4"/>
    <w:multiLevelType w:val="hybridMultilevel"/>
    <w:tmpl w:val="56EAA2AA"/>
    <w:lvl w:ilvl="0" w:tplc="59707350">
      <w:start w:val="100"/>
      <w:numFmt w:val="bullet"/>
      <w:lvlText w:val="-"/>
      <w:lvlJc w:val="left"/>
      <w:pPr>
        <w:ind w:left="720" w:hanging="360"/>
      </w:pPr>
      <w:rPr>
        <w:rFonts w:ascii="Calibri" w:eastAsiaTheme="minorHAnsi" w:hAnsi="Calibri" w:cs="Calibri" w:hint="default"/>
        <w:color w:val="006100"/>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1" w15:restartNumberingAfterBreak="0">
    <w:nsid w:val="403F73B8"/>
    <w:multiLevelType w:val="hybridMultilevel"/>
    <w:tmpl w:val="7616B04A"/>
    <w:lvl w:ilvl="0" w:tplc="9CC48B70">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404268B8"/>
    <w:multiLevelType w:val="hybridMultilevel"/>
    <w:tmpl w:val="6B18F6C6"/>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41233036"/>
    <w:multiLevelType w:val="hybridMultilevel"/>
    <w:tmpl w:val="A44C8334"/>
    <w:lvl w:ilvl="0" w:tplc="08806A88">
      <w:start w:val="1"/>
      <w:numFmt w:val="lowerRoman"/>
      <w:lvlText w:val="%1."/>
      <w:lvlJc w:val="left"/>
      <w:pPr>
        <w:ind w:left="720" w:hanging="360"/>
      </w:pPr>
    </w:lvl>
    <w:lvl w:ilvl="1" w:tplc="5D18B8C2">
      <w:start w:val="1"/>
      <w:numFmt w:val="lowerLetter"/>
      <w:lvlText w:val="%2."/>
      <w:lvlJc w:val="left"/>
      <w:pPr>
        <w:ind w:left="1440" w:hanging="360"/>
      </w:pPr>
    </w:lvl>
    <w:lvl w:ilvl="2" w:tplc="70145102">
      <w:start w:val="1"/>
      <w:numFmt w:val="lowerRoman"/>
      <w:lvlText w:val="%3."/>
      <w:lvlJc w:val="right"/>
      <w:pPr>
        <w:ind w:left="2160" w:hanging="180"/>
      </w:pPr>
    </w:lvl>
    <w:lvl w:ilvl="3" w:tplc="39B6492E">
      <w:start w:val="1"/>
      <w:numFmt w:val="decimal"/>
      <w:lvlText w:val="%4."/>
      <w:lvlJc w:val="left"/>
      <w:pPr>
        <w:ind w:left="2880" w:hanging="360"/>
      </w:pPr>
    </w:lvl>
    <w:lvl w:ilvl="4" w:tplc="CCC63F24">
      <w:start w:val="1"/>
      <w:numFmt w:val="lowerLetter"/>
      <w:lvlText w:val="%5."/>
      <w:lvlJc w:val="left"/>
      <w:pPr>
        <w:ind w:left="3600" w:hanging="360"/>
      </w:pPr>
    </w:lvl>
    <w:lvl w:ilvl="5" w:tplc="CE5AD4B0">
      <w:start w:val="1"/>
      <w:numFmt w:val="lowerRoman"/>
      <w:lvlText w:val="%6."/>
      <w:lvlJc w:val="right"/>
      <w:pPr>
        <w:ind w:left="4320" w:hanging="180"/>
      </w:pPr>
    </w:lvl>
    <w:lvl w:ilvl="6" w:tplc="0C7AE1B4">
      <w:start w:val="1"/>
      <w:numFmt w:val="decimal"/>
      <w:lvlText w:val="%7."/>
      <w:lvlJc w:val="left"/>
      <w:pPr>
        <w:ind w:left="5040" w:hanging="360"/>
      </w:pPr>
    </w:lvl>
    <w:lvl w:ilvl="7" w:tplc="64E86D2C">
      <w:start w:val="1"/>
      <w:numFmt w:val="lowerLetter"/>
      <w:lvlText w:val="%8."/>
      <w:lvlJc w:val="left"/>
      <w:pPr>
        <w:ind w:left="5760" w:hanging="360"/>
      </w:pPr>
    </w:lvl>
    <w:lvl w:ilvl="8" w:tplc="D2D61B44">
      <w:start w:val="1"/>
      <w:numFmt w:val="lowerRoman"/>
      <w:lvlText w:val="%9."/>
      <w:lvlJc w:val="right"/>
      <w:pPr>
        <w:ind w:left="6480" w:hanging="180"/>
      </w:pPr>
    </w:lvl>
  </w:abstractNum>
  <w:abstractNum w:abstractNumId="134" w15:restartNumberingAfterBreak="0">
    <w:nsid w:val="41A80D6E"/>
    <w:multiLevelType w:val="hybridMultilevel"/>
    <w:tmpl w:val="D968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1E654E1"/>
    <w:multiLevelType w:val="hybridMultilevel"/>
    <w:tmpl w:val="0CC08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2433CCD"/>
    <w:multiLevelType w:val="hybridMultilevel"/>
    <w:tmpl w:val="E4727DC8"/>
    <w:lvl w:ilvl="0" w:tplc="14F2F93A">
      <w:start w:val="25"/>
      <w:numFmt w:val="bullet"/>
      <w:lvlText w:val="-"/>
      <w:lvlJc w:val="left"/>
      <w:pPr>
        <w:ind w:left="720" w:hanging="360"/>
      </w:pPr>
      <w:rPr>
        <w:rFonts w:ascii="Liberation Serif" w:eastAsia="NSimSun" w:hAnsi="Liberation Serif" w:cs="Liberation Serif"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8" w15:restartNumberingAfterBreak="0">
    <w:nsid w:val="42A82F2A"/>
    <w:multiLevelType w:val="hybridMultilevel"/>
    <w:tmpl w:val="EA46FF0C"/>
    <w:lvl w:ilvl="0" w:tplc="FC18EE56">
      <w:start w:val="4"/>
      <w:numFmt w:val="lowerLetter"/>
      <w:lvlText w:val="%1."/>
      <w:lvlJc w:val="left"/>
      <w:pPr>
        <w:ind w:left="720" w:hanging="360"/>
      </w:pPr>
    </w:lvl>
    <w:lvl w:ilvl="1" w:tplc="1442A18E">
      <w:start w:val="1"/>
      <w:numFmt w:val="lowerLetter"/>
      <w:lvlText w:val="%2."/>
      <w:lvlJc w:val="left"/>
      <w:pPr>
        <w:ind w:left="1440" w:hanging="360"/>
      </w:pPr>
    </w:lvl>
    <w:lvl w:ilvl="2" w:tplc="333841A2">
      <w:start w:val="1"/>
      <w:numFmt w:val="lowerRoman"/>
      <w:lvlText w:val="%3."/>
      <w:lvlJc w:val="right"/>
      <w:pPr>
        <w:ind w:left="2160" w:hanging="180"/>
      </w:pPr>
    </w:lvl>
    <w:lvl w:ilvl="3" w:tplc="508C69EC">
      <w:start w:val="1"/>
      <w:numFmt w:val="decimal"/>
      <w:lvlText w:val="%4."/>
      <w:lvlJc w:val="left"/>
      <w:pPr>
        <w:ind w:left="2880" w:hanging="360"/>
      </w:pPr>
    </w:lvl>
    <w:lvl w:ilvl="4" w:tplc="1D6AEB02">
      <w:start w:val="1"/>
      <w:numFmt w:val="lowerLetter"/>
      <w:lvlText w:val="%5."/>
      <w:lvlJc w:val="left"/>
      <w:pPr>
        <w:ind w:left="3600" w:hanging="360"/>
      </w:pPr>
    </w:lvl>
    <w:lvl w:ilvl="5" w:tplc="37FADD88">
      <w:start w:val="1"/>
      <w:numFmt w:val="lowerRoman"/>
      <w:lvlText w:val="%6."/>
      <w:lvlJc w:val="right"/>
      <w:pPr>
        <w:ind w:left="4320" w:hanging="180"/>
      </w:pPr>
    </w:lvl>
    <w:lvl w:ilvl="6" w:tplc="3EFA8F94">
      <w:start w:val="1"/>
      <w:numFmt w:val="decimal"/>
      <w:lvlText w:val="%7."/>
      <w:lvlJc w:val="left"/>
      <w:pPr>
        <w:ind w:left="5040" w:hanging="360"/>
      </w:pPr>
    </w:lvl>
    <w:lvl w:ilvl="7" w:tplc="9D58A688">
      <w:start w:val="1"/>
      <w:numFmt w:val="lowerLetter"/>
      <w:lvlText w:val="%8."/>
      <w:lvlJc w:val="left"/>
      <w:pPr>
        <w:ind w:left="5760" w:hanging="360"/>
      </w:pPr>
    </w:lvl>
    <w:lvl w:ilvl="8" w:tplc="21D89E36">
      <w:start w:val="1"/>
      <w:numFmt w:val="lowerRoman"/>
      <w:lvlText w:val="%9."/>
      <w:lvlJc w:val="right"/>
      <w:pPr>
        <w:ind w:left="6480" w:hanging="180"/>
      </w:pPr>
    </w:lvl>
  </w:abstractNum>
  <w:abstractNum w:abstractNumId="13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0"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41" w15:restartNumberingAfterBreak="0">
    <w:nsid w:val="45D54291"/>
    <w:multiLevelType w:val="hybridMultilevel"/>
    <w:tmpl w:val="77800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6A44EE3"/>
    <w:multiLevelType w:val="hybridMultilevel"/>
    <w:tmpl w:val="32C40002"/>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89A0684"/>
    <w:multiLevelType w:val="hybridMultilevel"/>
    <w:tmpl w:val="59B4D158"/>
    <w:lvl w:ilvl="0" w:tplc="8F3A109C">
      <w:start w:val="13"/>
      <w:numFmt w:val="bullet"/>
      <w:lvlText w:val="-"/>
      <w:lvlJc w:val="left"/>
      <w:pPr>
        <w:ind w:left="720" w:hanging="360"/>
      </w:pPr>
      <w:rPr>
        <w:rFonts w:ascii="Calibri" w:eastAsiaTheme="minorHAnsi" w:hAnsi="Calibri" w:cs="Calibri"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48E8238F"/>
    <w:multiLevelType w:val="hybridMultilevel"/>
    <w:tmpl w:val="50DC7F48"/>
    <w:lvl w:ilvl="0" w:tplc="0BF4FD2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5" w15:restartNumberingAfterBreak="0">
    <w:nsid w:val="48F80BBA"/>
    <w:multiLevelType w:val="hybridMultilevel"/>
    <w:tmpl w:val="0AD4D7CA"/>
    <w:lvl w:ilvl="0" w:tplc="2ACC1B20">
      <w:start w:val="2"/>
      <w:numFmt w:val="bullet"/>
      <w:lvlText w:val="-"/>
      <w:lvlJc w:val="left"/>
      <w:pPr>
        <w:ind w:left="1031" w:hanging="360"/>
      </w:pPr>
      <w:rPr>
        <w:rFonts w:ascii="Calibri" w:eastAsia="Calibri" w:hAnsi="Calibri" w:cs="Calibri"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146" w15:restartNumberingAfterBreak="0">
    <w:nsid w:val="494F272B"/>
    <w:multiLevelType w:val="hybridMultilevel"/>
    <w:tmpl w:val="8A22D40A"/>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9865EAF"/>
    <w:multiLevelType w:val="hybridMultilevel"/>
    <w:tmpl w:val="74E4A9FA"/>
    <w:lvl w:ilvl="0" w:tplc="D74E5370">
      <w:start w:val="1"/>
      <w:numFmt w:val="bullet"/>
      <w:lvlText w:val="-"/>
      <w:lvlJc w:val="left"/>
      <w:pPr>
        <w:ind w:left="720" w:hanging="360"/>
      </w:pPr>
      <w:rPr>
        <w:rFonts w:ascii="&quot;Calibri&quot;,sans-serif" w:hAnsi="&quot;Calibri&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9F33E4F"/>
    <w:multiLevelType w:val="hybridMultilevel"/>
    <w:tmpl w:val="5DBC4D08"/>
    <w:lvl w:ilvl="0" w:tplc="F156255A">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15:restartNumberingAfterBreak="0">
    <w:nsid w:val="4A031E59"/>
    <w:multiLevelType w:val="hybridMultilevel"/>
    <w:tmpl w:val="D9E6E9C0"/>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50" w15:restartNumberingAfterBreak="0">
    <w:nsid w:val="4BC76841"/>
    <w:multiLevelType w:val="hybridMultilevel"/>
    <w:tmpl w:val="48205AA8"/>
    <w:lvl w:ilvl="0" w:tplc="D882AC22">
      <w:start w:val="300"/>
      <w:numFmt w:val="bullet"/>
      <w:lvlText w:val="-"/>
      <w:lvlJc w:val="left"/>
      <w:pPr>
        <w:ind w:left="720" w:hanging="360"/>
      </w:pPr>
      <w:rPr>
        <w:rFonts w:ascii="Times New Roman" w:eastAsiaTheme="minorHAnsi" w:hAnsi="Times New Roman" w:cs="Times New Roman" w:hint="default"/>
      </w:rPr>
    </w:lvl>
    <w:lvl w:ilvl="1" w:tplc="447C9CFC">
      <w:start w:val="5"/>
      <w:numFmt w:val="bullet"/>
      <w:lvlText w:val="•"/>
      <w:lvlJc w:val="left"/>
      <w:pPr>
        <w:ind w:left="1665" w:hanging="58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C8845D4"/>
    <w:multiLevelType w:val="multilevel"/>
    <w:tmpl w:val="230AC082"/>
    <w:lvl w:ilvl="0">
      <w:start w:val="1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4CEF3BB9"/>
    <w:multiLevelType w:val="hybridMultilevel"/>
    <w:tmpl w:val="74D6AAD8"/>
    <w:lvl w:ilvl="0" w:tplc="C9848BEC">
      <w:start w:val="1"/>
      <w:numFmt w:val="upperLetter"/>
      <w:lvlText w:val="%1."/>
      <w:lvlJc w:val="left"/>
      <w:pPr>
        <w:ind w:left="1275" w:hanging="420"/>
      </w:pPr>
      <w:rPr>
        <w:rFonts w:hint="default"/>
      </w:rPr>
    </w:lvl>
    <w:lvl w:ilvl="1" w:tplc="080C0019">
      <w:start w:val="1"/>
      <w:numFmt w:val="lowerLetter"/>
      <w:lvlText w:val="%2."/>
      <w:lvlJc w:val="left"/>
      <w:pPr>
        <w:ind w:left="1935" w:hanging="360"/>
      </w:pPr>
    </w:lvl>
    <w:lvl w:ilvl="2" w:tplc="080C001B" w:tentative="1">
      <w:start w:val="1"/>
      <w:numFmt w:val="lowerRoman"/>
      <w:lvlText w:val="%3."/>
      <w:lvlJc w:val="right"/>
      <w:pPr>
        <w:ind w:left="2655" w:hanging="180"/>
      </w:pPr>
    </w:lvl>
    <w:lvl w:ilvl="3" w:tplc="080C000F" w:tentative="1">
      <w:start w:val="1"/>
      <w:numFmt w:val="decimal"/>
      <w:lvlText w:val="%4."/>
      <w:lvlJc w:val="left"/>
      <w:pPr>
        <w:ind w:left="3375" w:hanging="360"/>
      </w:pPr>
    </w:lvl>
    <w:lvl w:ilvl="4" w:tplc="080C0019" w:tentative="1">
      <w:start w:val="1"/>
      <w:numFmt w:val="lowerLetter"/>
      <w:lvlText w:val="%5."/>
      <w:lvlJc w:val="left"/>
      <w:pPr>
        <w:ind w:left="4095" w:hanging="360"/>
      </w:pPr>
    </w:lvl>
    <w:lvl w:ilvl="5" w:tplc="080C001B" w:tentative="1">
      <w:start w:val="1"/>
      <w:numFmt w:val="lowerRoman"/>
      <w:lvlText w:val="%6."/>
      <w:lvlJc w:val="right"/>
      <w:pPr>
        <w:ind w:left="4815" w:hanging="180"/>
      </w:pPr>
    </w:lvl>
    <w:lvl w:ilvl="6" w:tplc="080C000F" w:tentative="1">
      <w:start w:val="1"/>
      <w:numFmt w:val="decimal"/>
      <w:lvlText w:val="%7."/>
      <w:lvlJc w:val="left"/>
      <w:pPr>
        <w:ind w:left="5535" w:hanging="360"/>
      </w:pPr>
    </w:lvl>
    <w:lvl w:ilvl="7" w:tplc="080C0019" w:tentative="1">
      <w:start w:val="1"/>
      <w:numFmt w:val="lowerLetter"/>
      <w:lvlText w:val="%8."/>
      <w:lvlJc w:val="left"/>
      <w:pPr>
        <w:ind w:left="6255" w:hanging="360"/>
      </w:pPr>
    </w:lvl>
    <w:lvl w:ilvl="8" w:tplc="080C001B" w:tentative="1">
      <w:start w:val="1"/>
      <w:numFmt w:val="lowerRoman"/>
      <w:lvlText w:val="%9."/>
      <w:lvlJc w:val="right"/>
      <w:pPr>
        <w:ind w:left="6975" w:hanging="180"/>
      </w:pPr>
    </w:lvl>
  </w:abstractNum>
  <w:abstractNum w:abstractNumId="153" w15:restartNumberingAfterBreak="0">
    <w:nsid w:val="4CF4041D"/>
    <w:multiLevelType w:val="hybridMultilevel"/>
    <w:tmpl w:val="EE8CFA4E"/>
    <w:lvl w:ilvl="0" w:tplc="58ECCFE6">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4D090EBB"/>
    <w:multiLevelType w:val="hybridMultilevel"/>
    <w:tmpl w:val="7C5A3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D7D01D3"/>
    <w:multiLevelType w:val="hybridMultilevel"/>
    <w:tmpl w:val="6132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C6765E"/>
    <w:multiLevelType w:val="hybridMultilevel"/>
    <w:tmpl w:val="9C3E6618"/>
    <w:lvl w:ilvl="0" w:tplc="5A945500">
      <w:start w:val="16"/>
      <w:numFmt w:val="upperLetter"/>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4E5D169D"/>
    <w:multiLevelType w:val="hybridMultilevel"/>
    <w:tmpl w:val="5670699E"/>
    <w:lvl w:ilvl="0" w:tplc="D882AC22">
      <w:start w:val="300"/>
      <w:numFmt w:val="bullet"/>
      <w:lvlText w:val="-"/>
      <w:lvlJc w:val="left"/>
      <w:pPr>
        <w:ind w:left="720" w:hanging="360"/>
      </w:pPr>
      <w:rPr>
        <w:rFonts w:ascii="Times New Roman" w:eastAsiaTheme="minorHAnsi" w:hAnsi="Times New Roman" w:cs="Times New Roman" w:hint="default"/>
      </w:rPr>
    </w:lvl>
    <w:lvl w:ilvl="1" w:tplc="D882AC22">
      <w:start w:val="300"/>
      <w:numFmt w:val="bullet"/>
      <w:lvlText w:val="-"/>
      <w:lvlJc w:val="left"/>
      <w:pPr>
        <w:ind w:left="1665" w:hanging="585"/>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ED913E3"/>
    <w:multiLevelType w:val="hybridMultilevel"/>
    <w:tmpl w:val="29FC1E48"/>
    <w:lvl w:ilvl="0" w:tplc="8F3A109C">
      <w:start w:val="13"/>
      <w:numFmt w:val="bullet"/>
      <w:lvlText w:val="-"/>
      <w:lvlJc w:val="left"/>
      <w:pPr>
        <w:ind w:left="1570" w:hanging="360"/>
      </w:pPr>
      <w:rPr>
        <w:rFonts w:ascii="Calibri" w:eastAsiaTheme="minorHAnsi" w:hAnsi="Calibri" w:cs="Calibri" w:hint="default"/>
        <w:sz w:val="16"/>
      </w:rPr>
    </w:lvl>
    <w:lvl w:ilvl="1" w:tplc="080C0003" w:tentative="1">
      <w:start w:val="1"/>
      <w:numFmt w:val="bullet"/>
      <w:lvlText w:val="o"/>
      <w:lvlJc w:val="left"/>
      <w:pPr>
        <w:ind w:left="2290" w:hanging="360"/>
      </w:pPr>
      <w:rPr>
        <w:rFonts w:ascii="Courier New" w:hAnsi="Courier New" w:cs="Courier New" w:hint="default"/>
      </w:rPr>
    </w:lvl>
    <w:lvl w:ilvl="2" w:tplc="080C0005" w:tentative="1">
      <w:start w:val="1"/>
      <w:numFmt w:val="bullet"/>
      <w:lvlText w:val=""/>
      <w:lvlJc w:val="left"/>
      <w:pPr>
        <w:ind w:left="3010" w:hanging="360"/>
      </w:pPr>
      <w:rPr>
        <w:rFonts w:ascii="Wingdings" w:hAnsi="Wingdings" w:hint="default"/>
      </w:rPr>
    </w:lvl>
    <w:lvl w:ilvl="3" w:tplc="080C0001" w:tentative="1">
      <w:start w:val="1"/>
      <w:numFmt w:val="bullet"/>
      <w:lvlText w:val=""/>
      <w:lvlJc w:val="left"/>
      <w:pPr>
        <w:ind w:left="3730" w:hanging="360"/>
      </w:pPr>
      <w:rPr>
        <w:rFonts w:ascii="Symbol" w:hAnsi="Symbol" w:hint="default"/>
      </w:rPr>
    </w:lvl>
    <w:lvl w:ilvl="4" w:tplc="080C0003" w:tentative="1">
      <w:start w:val="1"/>
      <w:numFmt w:val="bullet"/>
      <w:lvlText w:val="o"/>
      <w:lvlJc w:val="left"/>
      <w:pPr>
        <w:ind w:left="4450" w:hanging="360"/>
      </w:pPr>
      <w:rPr>
        <w:rFonts w:ascii="Courier New" w:hAnsi="Courier New" w:cs="Courier New" w:hint="default"/>
      </w:rPr>
    </w:lvl>
    <w:lvl w:ilvl="5" w:tplc="080C0005" w:tentative="1">
      <w:start w:val="1"/>
      <w:numFmt w:val="bullet"/>
      <w:lvlText w:val=""/>
      <w:lvlJc w:val="left"/>
      <w:pPr>
        <w:ind w:left="5170" w:hanging="360"/>
      </w:pPr>
      <w:rPr>
        <w:rFonts w:ascii="Wingdings" w:hAnsi="Wingdings" w:hint="default"/>
      </w:rPr>
    </w:lvl>
    <w:lvl w:ilvl="6" w:tplc="080C0001" w:tentative="1">
      <w:start w:val="1"/>
      <w:numFmt w:val="bullet"/>
      <w:lvlText w:val=""/>
      <w:lvlJc w:val="left"/>
      <w:pPr>
        <w:ind w:left="5890" w:hanging="360"/>
      </w:pPr>
      <w:rPr>
        <w:rFonts w:ascii="Symbol" w:hAnsi="Symbol" w:hint="default"/>
      </w:rPr>
    </w:lvl>
    <w:lvl w:ilvl="7" w:tplc="080C0003" w:tentative="1">
      <w:start w:val="1"/>
      <w:numFmt w:val="bullet"/>
      <w:lvlText w:val="o"/>
      <w:lvlJc w:val="left"/>
      <w:pPr>
        <w:ind w:left="6610" w:hanging="360"/>
      </w:pPr>
      <w:rPr>
        <w:rFonts w:ascii="Courier New" w:hAnsi="Courier New" w:cs="Courier New" w:hint="default"/>
      </w:rPr>
    </w:lvl>
    <w:lvl w:ilvl="8" w:tplc="080C0005" w:tentative="1">
      <w:start w:val="1"/>
      <w:numFmt w:val="bullet"/>
      <w:lvlText w:val=""/>
      <w:lvlJc w:val="left"/>
      <w:pPr>
        <w:ind w:left="7330" w:hanging="360"/>
      </w:pPr>
      <w:rPr>
        <w:rFonts w:ascii="Wingdings" w:hAnsi="Wingdings" w:hint="default"/>
      </w:rPr>
    </w:lvl>
  </w:abstractNum>
  <w:abstractNum w:abstractNumId="159" w15:restartNumberingAfterBreak="0">
    <w:nsid w:val="4EEB472B"/>
    <w:multiLevelType w:val="hybridMultilevel"/>
    <w:tmpl w:val="E9E81AFE"/>
    <w:lvl w:ilvl="0" w:tplc="D882AC22">
      <w:start w:val="3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083C737"/>
    <w:multiLevelType w:val="hybridMultilevel"/>
    <w:tmpl w:val="16DEB1D6"/>
    <w:lvl w:ilvl="0" w:tplc="D640E500">
      <w:start w:val="1"/>
      <w:numFmt w:val="bullet"/>
      <w:lvlText w:val="-"/>
      <w:lvlJc w:val="left"/>
      <w:pPr>
        <w:ind w:left="720" w:hanging="360"/>
      </w:pPr>
      <w:rPr>
        <w:rFonts w:ascii="&quot;Calibri&quot;,sans-serif" w:hAnsi="&quot;Calibri&quot;,sans-serif" w:hint="default"/>
      </w:rPr>
    </w:lvl>
    <w:lvl w:ilvl="1" w:tplc="DF06A51A">
      <w:start w:val="1"/>
      <w:numFmt w:val="bullet"/>
      <w:lvlText w:val="o"/>
      <w:lvlJc w:val="left"/>
      <w:pPr>
        <w:ind w:left="1440" w:hanging="360"/>
      </w:pPr>
      <w:rPr>
        <w:rFonts w:ascii="Courier New" w:hAnsi="Courier New" w:hint="default"/>
      </w:rPr>
    </w:lvl>
    <w:lvl w:ilvl="2" w:tplc="5EFC7A8A">
      <w:start w:val="1"/>
      <w:numFmt w:val="bullet"/>
      <w:lvlText w:val=""/>
      <w:lvlJc w:val="left"/>
      <w:pPr>
        <w:ind w:left="2160" w:hanging="360"/>
      </w:pPr>
      <w:rPr>
        <w:rFonts w:ascii="Wingdings" w:hAnsi="Wingdings" w:hint="default"/>
      </w:rPr>
    </w:lvl>
    <w:lvl w:ilvl="3" w:tplc="9EFE04BA">
      <w:start w:val="1"/>
      <w:numFmt w:val="bullet"/>
      <w:lvlText w:val=""/>
      <w:lvlJc w:val="left"/>
      <w:pPr>
        <w:ind w:left="2880" w:hanging="360"/>
      </w:pPr>
      <w:rPr>
        <w:rFonts w:ascii="Symbol" w:hAnsi="Symbol" w:hint="default"/>
      </w:rPr>
    </w:lvl>
    <w:lvl w:ilvl="4" w:tplc="D6B211DA">
      <w:start w:val="1"/>
      <w:numFmt w:val="bullet"/>
      <w:lvlText w:val="o"/>
      <w:lvlJc w:val="left"/>
      <w:pPr>
        <w:ind w:left="3600" w:hanging="360"/>
      </w:pPr>
      <w:rPr>
        <w:rFonts w:ascii="Courier New" w:hAnsi="Courier New" w:hint="default"/>
      </w:rPr>
    </w:lvl>
    <w:lvl w:ilvl="5" w:tplc="3334BEE2">
      <w:start w:val="1"/>
      <w:numFmt w:val="bullet"/>
      <w:lvlText w:val=""/>
      <w:lvlJc w:val="left"/>
      <w:pPr>
        <w:ind w:left="4320" w:hanging="360"/>
      </w:pPr>
      <w:rPr>
        <w:rFonts w:ascii="Wingdings" w:hAnsi="Wingdings" w:hint="default"/>
      </w:rPr>
    </w:lvl>
    <w:lvl w:ilvl="6" w:tplc="68EC9EE0">
      <w:start w:val="1"/>
      <w:numFmt w:val="bullet"/>
      <w:lvlText w:val=""/>
      <w:lvlJc w:val="left"/>
      <w:pPr>
        <w:ind w:left="5040" w:hanging="360"/>
      </w:pPr>
      <w:rPr>
        <w:rFonts w:ascii="Symbol" w:hAnsi="Symbol" w:hint="default"/>
      </w:rPr>
    </w:lvl>
    <w:lvl w:ilvl="7" w:tplc="78583A82">
      <w:start w:val="1"/>
      <w:numFmt w:val="bullet"/>
      <w:lvlText w:val="o"/>
      <w:lvlJc w:val="left"/>
      <w:pPr>
        <w:ind w:left="5760" w:hanging="360"/>
      </w:pPr>
      <w:rPr>
        <w:rFonts w:ascii="Courier New" w:hAnsi="Courier New" w:hint="default"/>
      </w:rPr>
    </w:lvl>
    <w:lvl w:ilvl="8" w:tplc="FFF035E8">
      <w:start w:val="1"/>
      <w:numFmt w:val="bullet"/>
      <w:lvlText w:val=""/>
      <w:lvlJc w:val="left"/>
      <w:pPr>
        <w:ind w:left="6480" w:hanging="360"/>
      </w:pPr>
      <w:rPr>
        <w:rFonts w:ascii="Wingdings" w:hAnsi="Wingdings" w:hint="default"/>
      </w:rPr>
    </w:lvl>
  </w:abstractNum>
  <w:abstractNum w:abstractNumId="161" w15:restartNumberingAfterBreak="0">
    <w:nsid w:val="50A099F3"/>
    <w:multiLevelType w:val="hybridMultilevel"/>
    <w:tmpl w:val="7F94BDB2"/>
    <w:lvl w:ilvl="0" w:tplc="E5E89F96">
      <w:start w:val="1"/>
      <w:numFmt w:val="bullet"/>
      <w:lvlText w:val="-"/>
      <w:lvlJc w:val="left"/>
      <w:pPr>
        <w:ind w:left="720" w:hanging="360"/>
      </w:pPr>
      <w:rPr>
        <w:rFonts w:ascii="&quot;Calibri&quot;,sans-serif" w:hAnsi="&quot;Calibri&quot;,sans-serif" w:hint="default"/>
      </w:rPr>
    </w:lvl>
    <w:lvl w:ilvl="1" w:tplc="C7324E22">
      <w:start w:val="1"/>
      <w:numFmt w:val="bullet"/>
      <w:lvlText w:val="o"/>
      <w:lvlJc w:val="left"/>
      <w:pPr>
        <w:ind w:left="1440" w:hanging="360"/>
      </w:pPr>
      <w:rPr>
        <w:rFonts w:ascii="Courier New" w:hAnsi="Courier New" w:hint="default"/>
      </w:rPr>
    </w:lvl>
    <w:lvl w:ilvl="2" w:tplc="017E9918">
      <w:start w:val="1"/>
      <w:numFmt w:val="bullet"/>
      <w:lvlText w:val=""/>
      <w:lvlJc w:val="left"/>
      <w:pPr>
        <w:ind w:left="2160" w:hanging="360"/>
      </w:pPr>
      <w:rPr>
        <w:rFonts w:ascii="Wingdings" w:hAnsi="Wingdings" w:hint="default"/>
      </w:rPr>
    </w:lvl>
    <w:lvl w:ilvl="3" w:tplc="AA62EF84">
      <w:start w:val="1"/>
      <w:numFmt w:val="bullet"/>
      <w:lvlText w:val=""/>
      <w:lvlJc w:val="left"/>
      <w:pPr>
        <w:ind w:left="2880" w:hanging="360"/>
      </w:pPr>
      <w:rPr>
        <w:rFonts w:ascii="Symbol" w:hAnsi="Symbol" w:hint="default"/>
      </w:rPr>
    </w:lvl>
    <w:lvl w:ilvl="4" w:tplc="4BFC7212">
      <w:start w:val="1"/>
      <w:numFmt w:val="bullet"/>
      <w:lvlText w:val="o"/>
      <w:lvlJc w:val="left"/>
      <w:pPr>
        <w:ind w:left="3600" w:hanging="360"/>
      </w:pPr>
      <w:rPr>
        <w:rFonts w:ascii="Courier New" w:hAnsi="Courier New" w:hint="default"/>
      </w:rPr>
    </w:lvl>
    <w:lvl w:ilvl="5" w:tplc="85408A6C">
      <w:start w:val="1"/>
      <w:numFmt w:val="bullet"/>
      <w:lvlText w:val=""/>
      <w:lvlJc w:val="left"/>
      <w:pPr>
        <w:ind w:left="4320" w:hanging="360"/>
      </w:pPr>
      <w:rPr>
        <w:rFonts w:ascii="Wingdings" w:hAnsi="Wingdings" w:hint="default"/>
      </w:rPr>
    </w:lvl>
    <w:lvl w:ilvl="6" w:tplc="C56671DA">
      <w:start w:val="1"/>
      <w:numFmt w:val="bullet"/>
      <w:lvlText w:val=""/>
      <w:lvlJc w:val="left"/>
      <w:pPr>
        <w:ind w:left="5040" w:hanging="360"/>
      </w:pPr>
      <w:rPr>
        <w:rFonts w:ascii="Symbol" w:hAnsi="Symbol" w:hint="default"/>
      </w:rPr>
    </w:lvl>
    <w:lvl w:ilvl="7" w:tplc="1360B63C">
      <w:start w:val="1"/>
      <w:numFmt w:val="bullet"/>
      <w:lvlText w:val="o"/>
      <w:lvlJc w:val="left"/>
      <w:pPr>
        <w:ind w:left="5760" w:hanging="360"/>
      </w:pPr>
      <w:rPr>
        <w:rFonts w:ascii="Courier New" w:hAnsi="Courier New" w:hint="default"/>
      </w:rPr>
    </w:lvl>
    <w:lvl w:ilvl="8" w:tplc="9A460160">
      <w:start w:val="1"/>
      <w:numFmt w:val="bullet"/>
      <w:lvlText w:val=""/>
      <w:lvlJc w:val="left"/>
      <w:pPr>
        <w:ind w:left="6480" w:hanging="360"/>
      </w:pPr>
      <w:rPr>
        <w:rFonts w:ascii="Wingdings" w:hAnsi="Wingdings" w:hint="default"/>
      </w:rPr>
    </w:lvl>
  </w:abstractNum>
  <w:abstractNum w:abstractNumId="162" w15:restartNumberingAfterBreak="0">
    <w:nsid w:val="50DF4857"/>
    <w:multiLevelType w:val="hybridMultilevel"/>
    <w:tmpl w:val="0172AA66"/>
    <w:lvl w:ilvl="0" w:tplc="A386FA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15B64EC"/>
    <w:multiLevelType w:val="hybridMultilevel"/>
    <w:tmpl w:val="5CC8F880"/>
    <w:lvl w:ilvl="0" w:tplc="18090019">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4" w15:restartNumberingAfterBreak="0">
    <w:nsid w:val="52E906F1"/>
    <w:multiLevelType w:val="hybridMultilevel"/>
    <w:tmpl w:val="664AA4C4"/>
    <w:lvl w:ilvl="0" w:tplc="B9C68348">
      <w:numFmt w:val="bullet"/>
      <w:lvlText w:val="-"/>
      <w:lvlJc w:val="left"/>
      <w:pPr>
        <w:ind w:left="1996" w:hanging="360"/>
      </w:pPr>
      <w:rPr>
        <w:rFonts w:ascii="Times New Roman" w:eastAsia="Times New Roman" w:hAnsi="Times New Roman" w:cs="Times New Roman"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5" w15:restartNumberingAfterBreak="0">
    <w:nsid w:val="53757E4C"/>
    <w:multiLevelType w:val="hybridMultilevel"/>
    <w:tmpl w:val="0AF2620C"/>
    <w:lvl w:ilvl="0" w:tplc="312A5F28">
      <w:start w:val="1"/>
      <w:numFmt w:val="bullet"/>
      <w:lvlText w:val="-"/>
      <w:lvlJc w:val="left"/>
      <w:pPr>
        <w:ind w:left="1996" w:hanging="360"/>
      </w:pPr>
      <w:rPr>
        <w:rFonts w:ascii="Calibri" w:eastAsiaTheme="minorHAnsi" w:hAnsi="Calibri" w:cs="Calibri" w:hint="default"/>
        <w:color w:val="7030A0"/>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6" w15:restartNumberingAfterBreak="0">
    <w:nsid w:val="54160674"/>
    <w:multiLevelType w:val="hybridMultilevel"/>
    <w:tmpl w:val="643CB73C"/>
    <w:lvl w:ilvl="0" w:tplc="CF54624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545210FD"/>
    <w:multiLevelType w:val="multilevel"/>
    <w:tmpl w:val="E162FDF2"/>
    <w:lvl w:ilvl="0">
      <w:start w:val="1"/>
      <w:numFmt w:val="decimal"/>
      <w:lvlRestart w:val="0"/>
      <w:lvlText w:val="%1."/>
      <w:lvlJc w:val="left"/>
      <w:pPr>
        <w:tabs>
          <w:tab w:val="num" w:pos="720"/>
        </w:tabs>
        <w:ind w:left="720" w:hanging="850"/>
      </w:pPr>
    </w:lvl>
    <w:lvl w:ilvl="1">
      <w:start w:val="1"/>
      <w:numFmt w:val="decimal"/>
      <w:lvlText w:val="%1.%2."/>
      <w:lvlJc w:val="left"/>
      <w:pPr>
        <w:tabs>
          <w:tab w:val="num" w:pos="720"/>
        </w:tabs>
        <w:ind w:left="720" w:hanging="850"/>
      </w:pPr>
    </w:lvl>
    <w:lvl w:ilvl="2">
      <w:start w:val="1"/>
      <w:numFmt w:val="lowerLetter"/>
      <w:lvlText w:val="%3."/>
      <w:lvlJc w:val="left"/>
      <w:pPr>
        <w:tabs>
          <w:tab w:val="num" w:pos="720"/>
        </w:tabs>
        <w:ind w:left="720" w:hanging="850"/>
      </w:pPr>
    </w:lvl>
    <w:lvl w:ilvl="3">
      <w:start w:val="1"/>
      <w:numFmt w:val="decimal"/>
      <w:lvlText w:val="%1.%2.%3.%4."/>
      <w:lvlJc w:val="left"/>
      <w:pPr>
        <w:tabs>
          <w:tab w:val="num" w:pos="720"/>
        </w:tabs>
        <w:ind w:left="720" w:hanging="850"/>
      </w:pPr>
    </w:lvl>
    <w:lvl w:ilvl="4">
      <w:start w:val="1"/>
      <w:numFmt w:val="lowerLetter"/>
      <w:lvlText w:val="(%5)"/>
      <w:lvlJc w:val="left"/>
      <w:pPr>
        <w:ind w:left="1670" w:hanging="360"/>
      </w:pPr>
    </w:lvl>
    <w:lvl w:ilvl="5">
      <w:start w:val="1"/>
      <w:numFmt w:val="lowerRoman"/>
      <w:lvlText w:val="(%6)"/>
      <w:lvlJc w:val="left"/>
      <w:pPr>
        <w:ind w:left="2030" w:hanging="360"/>
      </w:pPr>
    </w:lvl>
    <w:lvl w:ilvl="6">
      <w:start w:val="1"/>
      <w:numFmt w:val="decimal"/>
      <w:lvlText w:val="%7."/>
      <w:lvlJc w:val="left"/>
      <w:pPr>
        <w:ind w:left="2390" w:hanging="360"/>
      </w:pPr>
    </w:lvl>
    <w:lvl w:ilvl="7">
      <w:start w:val="1"/>
      <w:numFmt w:val="lowerLetter"/>
      <w:lvlText w:val="%8."/>
      <w:lvlJc w:val="left"/>
      <w:pPr>
        <w:ind w:left="2750" w:hanging="360"/>
      </w:pPr>
    </w:lvl>
    <w:lvl w:ilvl="8">
      <w:start w:val="1"/>
      <w:numFmt w:val="lowerRoman"/>
      <w:lvlText w:val="%9."/>
      <w:lvlJc w:val="left"/>
      <w:pPr>
        <w:ind w:left="3110" w:hanging="360"/>
      </w:pPr>
    </w:lvl>
  </w:abstractNum>
  <w:abstractNum w:abstractNumId="168" w15:restartNumberingAfterBreak="0">
    <w:nsid w:val="5477135F"/>
    <w:multiLevelType w:val="hybridMultilevel"/>
    <w:tmpl w:val="979A93EE"/>
    <w:lvl w:ilvl="0" w:tplc="C76CFAA8">
      <w:start w:val="1"/>
      <w:numFmt w:val="lowerRoman"/>
      <w:lvlText w:val="%1)"/>
      <w:lvlJc w:val="left"/>
      <w:pPr>
        <w:ind w:left="1571" w:hanging="360"/>
      </w:pPr>
      <w:rPr>
        <w:rFonts w:asciiTheme="minorHAnsi" w:hAnsiTheme="minorHAnsi" w:cstheme="minorHAnsi" w:hint="default"/>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9" w15:restartNumberingAfterBreak="0">
    <w:nsid w:val="552E1701"/>
    <w:multiLevelType w:val="hybridMultilevel"/>
    <w:tmpl w:val="6DD896FE"/>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71" w15:restartNumberingAfterBreak="0">
    <w:nsid w:val="5636121D"/>
    <w:multiLevelType w:val="hybridMultilevel"/>
    <w:tmpl w:val="9AF0931C"/>
    <w:lvl w:ilvl="0" w:tplc="1D82744A">
      <w:start w:val="53"/>
      <w:numFmt w:val="bullet"/>
      <w:lvlText w:val="-"/>
      <w:lvlJc w:val="left"/>
      <w:pPr>
        <w:ind w:left="1636" w:hanging="360"/>
      </w:pPr>
      <w:rPr>
        <w:rFonts w:ascii="Times New Roman" w:eastAsiaTheme="minorHAnsi" w:hAnsi="Times New Roman" w:cs="Times New Roman" w:hint="default"/>
        <w:sz w:val="22"/>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72" w15:restartNumberingAfterBreak="0">
    <w:nsid w:val="56FA6F1C"/>
    <w:multiLevelType w:val="hybridMultilevel"/>
    <w:tmpl w:val="B48E3568"/>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758100B"/>
    <w:multiLevelType w:val="hybridMultilevel"/>
    <w:tmpl w:val="2D74326C"/>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7ED755F"/>
    <w:multiLevelType w:val="hybridMultilevel"/>
    <w:tmpl w:val="8B8E680C"/>
    <w:lvl w:ilvl="0" w:tplc="D882AC22">
      <w:start w:val="300"/>
      <w:numFmt w:val="bullet"/>
      <w:lvlText w:val="-"/>
      <w:lvlJc w:val="left"/>
      <w:pPr>
        <w:ind w:left="720" w:hanging="360"/>
      </w:pPr>
      <w:rPr>
        <w:rFonts w:ascii="Times New Roman" w:eastAsiaTheme="minorHAnsi" w:hAnsi="Times New Roman" w:cs="Times New Roman" w:hint="default"/>
      </w:rPr>
    </w:lvl>
    <w:lvl w:ilvl="1" w:tplc="EDAEBDD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8C3067B"/>
    <w:multiLevelType w:val="hybridMultilevel"/>
    <w:tmpl w:val="63260CA6"/>
    <w:lvl w:ilvl="0" w:tplc="071E7442">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76" w15:restartNumberingAfterBreak="0">
    <w:nsid w:val="59EF74D5"/>
    <w:multiLevelType w:val="hybridMultilevel"/>
    <w:tmpl w:val="DE620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A9F5B21"/>
    <w:multiLevelType w:val="hybridMultilevel"/>
    <w:tmpl w:val="E860699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9" w15:restartNumberingAfterBreak="0">
    <w:nsid w:val="5B935A66"/>
    <w:multiLevelType w:val="hybridMultilevel"/>
    <w:tmpl w:val="96BC36F6"/>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1" w15:restartNumberingAfterBreak="0">
    <w:nsid w:val="5C1020B7"/>
    <w:multiLevelType w:val="hybridMultilevel"/>
    <w:tmpl w:val="6AACAEE8"/>
    <w:lvl w:ilvl="0" w:tplc="5D3A1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C277E2B"/>
    <w:multiLevelType w:val="hybridMultilevel"/>
    <w:tmpl w:val="FA8A0D56"/>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C364D20"/>
    <w:multiLevelType w:val="hybridMultilevel"/>
    <w:tmpl w:val="37AAE5DA"/>
    <w:lvl w:ilvl="0" w:tplc="1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C684C71"/>
    <w:multiLevelType w:val="hybridMultilevel"/>
    <w:tmpl w:val="94BEE072"/>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86" w15:restartNumberingAfterBreak="0">
    <w:nsid w:val="5FB55EED"/>
    <w:multiLevelType w:val="multilevel"/>
    <w:tmpl w:val="E162FDF2"/>
    <w:lvl w:ilvl="0">
      <w:start w:val="1"/>
      <w:numFmt w:val="decimal"/>
      <w:lvlRestart w:val="0"/>
      <w:lvlText w:val="%1."/>
      <w:lvlJc w:val="left"/>
      <w:pPr>
        <w:tabs>
          <w:tab w:val="num" w:pos="720"/>
        </w:tabs>
        <w:ind w:left="720" w:hanging="850"/>
      </w:pPr>
    </w:lvl>
    <w:lvl w:ilvl="1">
      <w:start w:val="1"/>
      <w:numFmt w:val="decimal"/>
      <w:lvlText w:val="%1.%2."/>
      <w:lvlJc w:val="left"/>
      <w:pPr>
        <w:tabs>
          <w:tab w:val="num" w:pos="720"/>
        </w:tabs>
        <w:ind w:left="720" w:hanging="850"/>
      </w:pPr>
    </w:lvl>
    <w:lvl w:ilvl="2">
      <w:start w:val="1"/>
      <w:numFmt w:val="lowerLetter"/>
      <w:lvlText w:val="%3."/>
      <w:lvlJc w:val="left"/>
      <w:pPr>
        <w:tabs>
          <w:tab w:val="num" w:pos="720"/>
        </w:tabs>
        <w:ind w:left="720" w:hanging="850"/>
      </w:pPr>
    </w:lvl>
    <w:lvl w:ilvl="3">
      <w:start w:val="1"/>
      <w:numFmt w:val="decimal"/>
      <w:lvlText w:val="%1.%2.%3.%4."/>
      <w:lvlJc w:val="left"/>
      <w:pPr>
        <w:tabs>
          <w:tab w:val="num" w:pos="720"/>
        </w:tabs>
        <w:ind w:left="720" w:hanging="850"/>
      </w:pPr>
    </w:lvl>
    <w:lvl w:ilvl="4">
      <w:start w:val="1"/>
      <w:numFmt w:val="lowerLetter"/>
      <w:lvlText w:val="(%5)"/>
      <w:lvlJc w:val="left"/>
      <w:pPr>
        <w:ind w:left="1670" w:hanging="360"/>
      </w:pPr>
    </w:lvl>
    <w:lvl w:ilvl="5">
      <w:start w:val="1"/>
      <w:numFmt w:val="lowerRoman"/>
      <w:lvlText w:val="(%6)"/>
      <w:lvlJc w:val="left"/>
      <w:pPr>
        <w:ind w:left="2030" w:hanging="360"/>
      </w:pPr>
    </w:lvl>
    <w:lvl w:ilvl="6">
      <w:start w:val="1"/>
      <w:numFmt w:val="decimal"/>
      <w:lvlText w:val="%7."/>
      <w:lvlJc w:val="left"/>
      <w:pPr>
        <w:ind w:left="2390" w:hanging="360"/>
      </w:pPr>
    </w:lvl>
    <w:lvl w:ilvl="7">
      <w:start w:val="1"/>
      <w:numFmt w:val="lowerLetter"/>
      <w:lvlText w:val="%8."/>
      <w:lvlJc w:val="left"/>
      <w:pPr>
        <w:ind w:left="2750" w:hanging="360"/>
      </w:pPr>
    </w:lvl>
    <w:lvl w:ilvl="8">
      <w:start w:val="1"/>
      <w:numFmt w:val="lowerRoman"/>
      <w:lvlText w:val="%9."/>
      <w:lvlJc w:val="left"/>
      <w:pPr>
        <w:ind w:left="3110" w:hanging="360"/>
      </w:pPr>
    </w:lvl>
  </w:abstractNum>
  <w:abstractNum w:abstractNumId="187" w15:restartNumberingAfterBreak="0">
    <w:nsid w:val="5FC14919"/>
    <w:multiLevelType w:val="hybridMultilevel"/>
    <w:tmpl w:val="CBC6F868"/>
    <w:lvl w:ilvl="0" w:tplc="F4E0D21A">
      <w:start w:val="1"/>
      <w:numFmt w:val="decimal"/>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60294CC6"/>
    <w:multiLevelType w:val="multilevel"/>
    <w:tmpl w:val="954AD3B4"/>
    <w:lvl w:ilvl="0">
      <w:start w:val="1"/>
      <w:numFmt w:val="decimal"/>
      <w:lvlRestart w:val="0"/>
      <w:lvlText w:val="%1."/>
      <w:lvlJc w:val="left"/>
      <w:pPr>
        <w:tabs>
          <w:tab w:val="num" w:pos="850"/>
        </w:tabs>
        <w:ind w:left="850" w:hanging="850"/>
      </w:pPr>
      <w:rPr>
        <w:color w:val="auto"/>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60A2739D"/>
    <w:multiLevelType w:val="hybridMultilevel"/>
    <w:tmpl w:val="43BE1CC4"/>
    <w:lvl w:ilvl="0" w:tplc="D882AC22">
      <w:start w:val="300"/>
      <w:numFmt w:val="bullet"/>
      <w:lvlText w:val="-"/>
      <w:lvlJc w:val="left"/>
      <w:pPr>
        <w:ind w:left="1210" w:hanging="360"/>
      </w:pPr>
      <w:rPr>
        <w:rFonts w:ascii="Times New Roman" w:eastAsiaTheme="minorHAnsi" w:hAnsi="Times New Roman" w:cs="Times New Roman" w:hint="default"/>
      </w:rPr>
    </w:lvl>
    <w:lvl w:ilvl="1" w:tplc="080C0003" w:tentative="1">
      <w:start w:val="1"/>
      <w:numFmt w:val="bullet"/>
      <w:lvlText w:val="o"/>
      <w:lvlJc w:val="left"/>
      <w:pPr>
        <w:ind w:left="1930" w:hanging="360"/>
      </w:pPr>
      <w:rPr>
        <w:rFonts w:ascii="Courier New" w:hAnsi="Courier New" w:cs="Courier New" w:hint="default"/>
      </w:rPr>
    </w:lvl>
    <w:lvl w:ilvl="2" w:tplc="080C0005" w:tentative="1">
      <w:start w:val="1"/>
      <w:numFmt w:val="bullet"/>
      <w:lvlText w:val=""/>
      <w:lvlJc w:val="left"/>
      <w:pPr>
        <w:ind w:left="2650" w:hanging="360"/>
      </w:pPr>
      <w:rPr>
        <w:rFonts w:ascii="Wingdings" w:hAnsi="Wingdings" w:hint="default"/>
      </w:rPr>
    </w:lvl>
    <w:lvl w:ilvl="3" w:tplc="080C0001" w:tentative="1">
      <w:start w:val="1"/>
      <w:numFmt w:val="bullet"/>
      <w:lvlText w:val=""/>
      <w:lvlJc w:val="left"/>
      <w:pPr>
        <w:ind w:left="3370" w:hanging="360"/>
      </w:pPr>
      <w:rPr>
        <w:rFonts w:ascii="Symbol" w:hAnsi="Symbol" w:hint="default"/>
      </w:rPr>
    </w:lvl>
    <w:lvl w:ilvl="4" w:tplc="080C0003" w:tentative="1">
      <w:start w:val="1"/>
      <w:numFmt w:val="bullet"/>
      <w:lvlText w:val="o"/>
      <w:lvlJc w:val="left"/>
      <w:pPr>
        <w:ind w:left="4090" w:hanging="360"/>
      </w:pPr>
      <w:rPr>
        <w:rFonts w:ascii="Courier New" w:hAnsi="Courier New" w:cs="Courier New" w:hint="default"/>
      </w:rPr>
    </w:lvl>
    <w:lvl w:ilvl="5" w:tplc="080C0005" w:tentative="1">
      <w:start w:val="1"/>
      <w:numFmt w:val="bullet"/>
      <w:lvlText w:val=""/>
      <w:lvlJc w:val="left"/>
      <w:pPr>
        <w:ind w:left="4810" w:hanging="360"/>
      </w:pPr>
      <w:rPr>
        <w:rFonts w:ascii="Wingdings" w:hAnsi="Wingdings" w:hint="default"/>
      </w:rPr>
    </w:lvl>
    <w:lvl w:ilvl="6" w:tplc="080C0001" w:tentative="1">
      <w:start w:val="1"/>
      <w:numFmt w:val="bullet"/>
      <w:lvlText w:val=""/>
      <w:lvlJc w:val="left"/>
      <w:pPr>
        <w:ind w:left="5530" w:hanging="360"/>
      </w:pPr>
      <w:rPr>
        <w:rFonts w:ascii="Symbol" w:hAnsi="Symbol" w:hint="default"/>
      </w:rPr>
    </w:lvl>
    <w:lvl w:ilvl="7" w:tplc="080C0003" w:tentative="1">
      <w:start w:val="1"/>
      <w:numFmt w:val="bullet"/>
      <w:lvlText w:val="o"/>
      <w:lvlJc w:val="left"/>
      <w:pPr>
        <w:ind w:left="6250" w:hanging="360"/>
      </w:pPr>
      <w:rPr>
        <w:rFonts w:ascii="Courier New" w:hAnsi="Courier New" w:cs="Courier New" w:hint="default"/>
      </w:rPr>
    </w:lvl>
    <w:lvl w:ilvl="8" w:tplc="080C0005" w:tentative="1">
      <w:start w:val="1"/>
      <w:numFmt w:val="bullet"/>
      <w:lvlText w:val=""/>
      <w:lvlJc w:val="left"/>
      <w:pPr>
        <w:ind w:left="6970" w:hanging="360"/>
      </w:pPr>
      <w:rPr>
        <w:rFonts w:ascii="Wingdings" w:hAnsi="Wingdings" w:hint="default"/>
      </w:rPr>
    </w:lvl>
  </w:abstractNum>
  <w:abstractNum w:abstractNumId="190" w15:restartNumberingAfterBreak="0">
    <w:nsid w:val="61746503"/>
    <w:multiLevelType w:val="hybridMultilevel"/>
    <w:tmpl w:val="CB340E60"/>
    <w:lvl w:ilvl="0" w:tplc="8F3A109C">
      <w:start w:val="13"/>
      <w:numFmt w:val="bullet"/>
      <w:lvlText w:val="-"/>
      <w:lvlJc w:val="left"/>
      <w:pPr>
        <w:ind w:left="1996" w:hanging="360"/>
      </w:pPr>
      <w:rPr>
        <w:rFonts w:ascii="Calibri" w:eastAsiaTheme="minorHAnsi" w:hAnsi="Calibri" w:cs="Calibri" w:hint="default"/>
        <w:sz w:val="16"/>
      </w:rPr>
    </w:lvl>
    <w:lvl w:ilvl="1" w:tplc="18090003">
      <w:start w:val="1"/>
      <w:numFmt w:val="bullet"/>
      <w:lvlText w:val="o"/>
      <w:lvlJc w:val="left"/>
      <w:pPr>
        <w:ind w:left="2716" w:hanging="360"/>
      </w:pPr>
      <w:rPr>
        <w:rFonts w:ascii="Courier New" w:hAnsi="Courier New" w:cs="Courier New" w:hint="default"/>
      </w:rPr>
    </w:lvl>
    <w:lvl w:ilvl="2" w:tplc="18090005">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191" w15:restartNumberingAfterBreak="0">
    <w:nsid w:val="61AE1EA1"/>
    <w:multiLevelType w:val="hybridMultilevel"/>
    <w:tmpl w:val="9EE08A40"/>
    <w:lvl w:ilvl="0" w:tplc="BA807564">
      <w:start w:val="289"/>
      <w:numFmt w:val="bullet"/>
      <w:lvlText w:val="-"/>
      <w:lvlJc w:val="left"/>
      <w:pPr>
        <w:ind w:left="720" w:hanging="360"/>
      </w:pPr>
      <w:rPr>
        <w:rFonts w:ascii="Calibri" w:eastAsiaTheme="minorHAnsi" w:hAnsi="Calibri" w:cs="Calibri"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3BE4ABD"/>
    <w:multiLevelType w:val="multilevel"/>
    <w:tmpl w:val="0C5C9640"/>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4561187"/>
    <w:multiLevelType w:val="multilevel"/>
    <w:tmpl w:val="3392EF0C"/>
    <w:lvl w:ilvl="0">
      <w:start w:val="1"/>
      <w:numFmt w:val="decimal"/>
      <w:lvlText w:val="%1"/>
      <w:lvlJc w:val="left"/>
      <w:pPr>
        <w:ind w:left="360" w:hanging="360"/>
      </w:pPr>
      <w:rPr>
        <w:rFonts w:hint="default"/>
        <w:i/>
      </w:rPr>
    </w:lvl>
    <w:lvl w:ilvl="1">
      <w:start w:val="1"/>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194" w15:restartNumberingAfterBreak="0">
    <w:nsid w:val="64A12FA4"/>
    <w:multiLevelType w:val="multilevel"/>
    <w:tmpl w:val="5D085882"/>
    <w:name w:val="Heading"/>
    <w:lvl w:ilvl="0">
      <w:start w:val="1"/>
      <w:numFmt w:val="decimal"/>
      <w:lvlRestart w:val="0"/>
      <w:pStyle w:val="Heading1"/>
      <w:lvlText w:val="%1."/>
      <w:lvlJc w:val="left"/>
      <w:pPr>
        <w:tabs>
          <w:tab w:val="num" w:pos="850"/>
        </w:tabs>
        <w:ind w:left="850" w:hanging="850"/>
      </w:pPr>
      <w:rPr>
        <w:b/>
        <w:bCs w:val="0"/>
      </w:r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1417"/>
        </w:tabs>
        <w:ind w:left="1417"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64B136AB"/>
    <w:multiLevelType w:val="hybridMultilevel"/>
    <w:tmpl w:val="FF0E4066"/>
    <w:lvl w:ilvl="0" w:tplc="D882AC22">
      <w:start w:val="3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5070D6C"/>
    <w:multiLevelType w:val="hybridMultilevel"/>
    <w:tmpl w:val="FFFFFFFF"/>
    <w:lvl w:ilvl="0" w:tplc="2D9062C0">
      <w:start w:val="1"/>
      <w:numFmt w:val="bullet"/>
      <w:lvlText w:val=""/>
      <w:lvlJc w:val="left"/>
      <w:pPr>
        <w:ind w:left="720" w:hanging="360"/>
      </w:pPr>
      <w:rPr>
        <w:rFonts w:ascii="Symbol" w:hAnsi="Symbol" w:hint="default"/>
      </w:rPr>
    </w:lvl>
    <w:lvl w:ilvl="1" w:tplc="E834C4FA">
      <w:start w:val="1"/>
      <w:numFmt w:val="bullet"/>
      <w:lvlText w:val="o"/>
      <w:lvlJc w:val="left"/>
      <w:pPr>
        <w:ind w:left="1440" w:hanging="360"/>
      </w:pPr>
      <w:rPr>
        <w:rFonts w:ascii="Courier New" w:hAnsi="Courier New" w:hint="default"/>
      </w:rPr>
    </w:lvl>
    <w:lvl w:ilvl="2" w:tplc="3F703D2C">
      <w:start w:val="1"/>
      <w:numFmt w:val="bullet"/>
      <w:lvlText w:val=""/>
      <w:lvlJc w:val="left"/>
      <w:pPr>
        <w:ind w:left="2160" w:hanging="360"/>
      </w:pPr>
      <w:rPr>
        <w:rFonts w:ascii="Wingdings" w:hAnsi="Wingdings" w:hint="default"/>
      </w:rPr>
    </w:lvl>
    <w:lvl w:ilvl="3" w:tplc="545A7D92">
      <w:start w:val="1"/>
      <w:numFmt w:val="bullet"/>
      <w:lvlText w:val=""/>
      <w:lvlJc w:val="left"/>
      <w:pPr>
        <w:ind w:left="2880" w:hanging="360"/>
      </w:pPr>
      <w:rPr>
        <w:rFonts w:ascii="Symbol" w:hAnsi="Symbol" w:hint="default"/>
      </w:rPr>
    </w:lvl>
    <w:lvl w:ilvl="4" w:tplc="AD4CBA16">
      <w:start w:val="1"/>
      <w:numFmt w:val="bullet"/>
      <w:lvlText w:val="o"/>
      <w:lvlJc w:val="left"/>
      <w:pPr>
        <w:ind w:left="3600" w:hanging="360"/>
      </w:pPr>
      <w:rPr>
        <w:rFonts w:ascii="Courier New" w:hAnsi="Courier New" w:hint="default"/>
      </w:rPr>
    </w:lvl>
    <w:lvl w:ilvl="5" w:tplc="6122DCE2">
      <w:start w:val="1"/>
      <w:numFmt w:val="bullet"/>
      <w:lvlText w:val=""/>
      <w:lvlJc w:val="left"/>
      <w:pPr>
        <w:ind w:left="4320" w:hanging="360"/>
      </w:pPr>
      <w:rPr>
        <w:rFonts w:ascii="Wingdings" w:hAnsi="Wingdings" w:hint="default"/>
      </w:rPr>
    </w:lvl>
    <w:lvl w:ilvl="6" w:tplc="85C68DDA">
      <w:start w:val="1"/>
      <w:numFmt w:val="bullet"/>
      <w:lvlText w:val=""/>
      <w:lvlJc w:val="left"/>
      <w:pPr>
        <w:ind w:left="5040" w:hanging="360"/>
      </w:pPr>
      <w:rPr>
        <w:rFonts w:ascii="Symbol" w:hAnsi="Symbol" w:hint="default"/>
      </w:rPr>
    </w:lvl>
    <w:lvl w:ilvl="7" w:tplc="6556EF1A">
      <w:start w:val="1"/>
      <w:numFmt w:val="bullet"/>
      <w:lvlText w:val="o"/>
      <w:lvlJc w:val="left"/>
      <w:pPr>
        <w:ind w:left="5760" w:hanging="360"/>
      </w:pPr>
      <w:rPr>
        <w:rFonts w:ascii="Courier New" w:hAnsi="Courier New" w:hint="default"/>
      </w:rPr>
    </w:lvl>
    <w:lvl w:ilvl="8" w:tplc="5FC478CE">
      <w:start w:val="1"/>
      <w:numFmt w:val="bullet"/>
      <w:lvlText w:val=""/>
      <w:lvlJc w:val="left"/>
      <w:pPr>
        <w:ind w:left="6480" w:hanging="360"/>
      </w:pPr>
      <w:rPr>
        <w:rFonts w:ascii="Wingdings" w:hAnsi="Wingdings" w:hint="default"/>
      </w:rPr>
    </w:lvl>
  </w:abstractNum>
  <w:abstractNum w:abstractNumId="197" w15:restartNumberingAfterBreak="0">
    <w:nsid w:val="656642AA"/>
    <w:multiLevelType w:val="hybridMultilevel"/>
    <w:tmpl w:val="519C1E6A"/>
    <w:lvl w:ilvl="0" w:tplc="5D3A1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6226580"/>
    <w:multiLevelType w:val="hybridMultilevel"/>
    <w:tmpl w:val="5488752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681258E"/>
    <w:multiLevelType w:val="hybridMultilevel"/>
    <w:tmpl w:val="78F838EE"/>
    <w:lvl w:ilvl="0" w:tplc="A33EFFAE">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0" w15:restartNumberingAfterBreak="0">
    <w:nsid w:val="677252DE"/>
    <w:multiLevelType w:val="hybridMultilevel"/>
    <w:tmpl w:val="A5CE6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02" w15:restartNumberingAfterBreak="0">
    <w:nsid w:val="67BD7B2A"/>
    <w:multiLevelType w:val="hybridMultilevel"/>
    <w:tmpl w:val="78B2E34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68072C4E"/>
    <w:multiLevelType w:val="hybridMultilevel"/>
    <w:tmpl w:val="AF887D7C"/>
    <w:lvl w:ilvl="0" w:tplc="9F62E47A">
      <w:start w:val="1"/>
      <w:numFmt w:val="bullet"/>
      <w:lvlText w:val=""/>
      <w:lvlJc w:val="left"/>
      <w:pPr>
        <w:ind w:left="720" w:hanging="360"/>
      </w:pPr>
      <w:rPr>
        <w:rFonts w:ascii="Symbol" w:hAnsi="Symbol" w:hint="default"/>
      </w:rPr>
    </w:lvl>
    <w:lvl w:ilvl="1" w:tplc="D92AAC04">
      <w:start w:val="1"/>
      <w:numFmt w:val="bullet"/>
      <w:lvlText w:val="o"/>
      <w:lvlJc w:val="left"/>
      <w:pPr>
        <w:ind w:left="1440" w:hanging="360"/>
      </w:pPr>
      <w:rPr>
        <w:rFonts w:ascii="Courier New" w:hAnsi="Courier New" w:hint="default"/>
      </w:rPr>
    </w:lvl>
    <w:lvl w:ilvl="2" w:tplc="80DE6266">
      <w:start w:val="1"/>
      <w:numFmt w:val="bullet"/>
      <w:lvlText w:val=""/>
      <w:lvlJc w:val="left"/>
      <w:pPr>
        <w:ind w:left="2160" w:hanging="360"/>
      </w:pPr>
      <w:rPr>
        <w:rFonts w:ascii="Wingdings" w:hAnsi="Wingdings" w:hint="default"/>
      </w:rPr>
    </w:lvl>
    <w:lvl w:ilvl="3" w:tplc="7FE2A260">
      <w:start w:val="1"/>
      <w:numFmt w:val="bullet"/>
      <w:lvlText w:val=""/>
      <w:lvlJc w:val="left"/>
      <w:pPr>
        <w:ind w:left="2880" w:hanging="360"/>
      </w:pPr>
      <w:rPr>
        <w:rFonts w:ascii="Symbol" w:hAnsi="Symbol" w:hint="default"/>
      </w:rPr>
    </w:lvl>
    <w:lvl w:ilvl="4" w:tplc="C68EC434">
      <w:start w:val="1"/>
      <w:numFmt w:val="bullet"/>
      <w:lvlText w:val="o"/>
      <w:lvlJc w:val="left"/>
      <w:pPr>
        <w:ind w:left="3600" w:hanging="360"/>
      </w:pPr>
      <w:rPr>
        <w:rFonts w:ascii="Courier New" w:hAnsi="Courier New" w:hint="default"/>
      </w:rPr>
    </w:lvl>
    <w:lvl w:ilvl="5" w:tplc="B5621F5A">
      <w:start w:val="1"/>
      <w:numFmt w:val="bullet"/>
      <w:lvlText w:val=""/>
      <w:lvlJc w:val="left"/>
      <w:pPr>
        <w:ind w:left="4320" w:hanging="360"/>
      </w:pPr>
      <w:rPr>
        <w:rFonts w:ascii="Wingdings" w:hAnsi="Wingdings" w:hint="default"/>
      </w:rPr>
    </w:lvl>
    <w:lvl w:ilvl="6" w:tplc="13DAEFE2">
      <w:start w:val="1"/>
      <w:numFmt w:val="bullet"/>
      <w:lvlText w:val=""/>
      <w:lvlJc w:val="left"/>
      <w:pPr>
        <w:ind w:left="5040" w:hanging="360"/>
      </w:pPr>
      <w:rPr>
        <w:rFonts w:ascii="Symbol" w:hAnsi="Symbol" w:hint="default"/>
      </w:rPr>
    </w:lvl>
    <w:lvl w:ilvl="7" w:tplc="39283856">
      <w:start w:val="1"/>
      <w:numFmt w:val="bullet"/>
      <w:lvlText w:val="o"/>
      <w:lvlJc w:val="left"/>
      <w:pPr>
        <w:ind w:left="5760" w:hanging="360"/>
      </w:pPr>
      <w:rPr>
        <w:rFonts w:ascii="Courier New" w:hAnsi="Courier New" w:hint="default"/>
      </w:rPr>
    </w:lvl>
    <w:lvl w:ilvl="8" w:tplc="C9B256E2">
      <w:start w:val="1"/>
      <w:numFmt w:val="bullet"/>
      <w:lvlText w:val=""/>
      <w:lvlJc w:val="left"/>
      <w:pPr>
        <w:ind w:left="6480" w:hanging="360"/>
      </w:pPr>
      <w:rPr>
        <w:rFonts w:ascii="Wingdings" w:hAnsi="Wingdings" w:hint="default"/>
      </w:rPr>
    </w:lvl>
  </w:abstractNum>
  <w:abstractNum w:abstractNumId="204" w15:restartNumberingAfterBreak="0">
    <w:nsid w:val="69024FF5"/>
    <w:multiLevelType w:val="hybridMultilevel"/>
    <w:tmpl w:val="48042B8C"/>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6A3E1952"/>
    <w:multiLevelType w:val="hybridMultilevel"/>
    <w:tmpl w:val="492C974E"/>
    <w:lvl w:ilvl="0" w:tplc="BA807564">
      <w:start w:val="289"/>
      <w:numFmt w:val="bullet"/>
      <w:lvlText w:val="-"/>
      <w:lvlJc w:val="left"/>
      <w:pPr>
        <w:ind w:left="720" w:hanging="360"/>
      </w:pPr>
      <w:rPr>
        <w:rFonts w:ascii="Calibri" w:eastAsiaTheme="minorHAnsi" w:hAnsi="Calibri" w:cs="Calibri"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AF63E32"/>
    <w:multiLevelType w:val="hybridMultilevel"/>
    <w:tmpl w:val="79D2FC32"/>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B684603"/>
    <w:multiLevelType w:val="hybridMultilevel"/>
    <w:tmpl w:val="2B6E8380"/>
    <w:lvl w:ilvl="0" w:tplc="FA1EEB40">
      <w:start w:val="6"/>
      <w:numFmt w:val="decimal"/>
      <w:lvlText w:val="%1)"/>
      <w:lvlJc w:val="left"/>
      <w:pPr>
        <w:ind w:left="360" w:hanging="360"/>
      </w:pPr>
      <w:rPr>
        <w:rFonts w:ascii="Times New Roman" w:eastAsiaTheme="minorEastAsia" w:hAnsi="Times New Roman" w:cstheme="minorBidi" w:hint="default"/>
        <w:sz w:val="16"/>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6CA120C7"/>
    <w:multiLevelType w:val="hybridMultilevel"/>
    <w:tmpl w:val="4E66F154"/>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E9C36C9"/>
    <w:multiLevelType w:val="hybridMultilevel"/>
    <w:tmpl w:val="EEEED190"/>
    <w:lvl w:ilvl="0" w:tplc="D882AC22">
      <w:start w:val="3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F06A276"/>
    <w:multiLevelType w:val="hybridMultilevel"/>
    <w:tmpl w:val="FA94C94E"/>
    <w:lvl w:ilvl="0" w:tplc="450EA26E">
      <w:start w:val="3"/>
      <w:numFmt w:val="lowerLetter"/>
      <w:lvlText w:val="%1."/>
      <w:lvlJc w:val="left"/>
      <w:pPr>
        <w:ind w:left="720" w:hanging="360"/>
      </w:pPr>
    </w:lvl>
    <w:lvl w:ilvl="1" w:tplc="D744FB24">
      <w:start w:val="1"/>
      <w:numFmt w:val="lowerLetter"/>
      <w:lvlText w:val="%2."/>
      <w:lvlJc w:val="left"/>
      <w:pPr>
        <w:ind w:left="1440" w:hanging="360"/>
      </w:pPr>
    </w:lvl>
    <w:lvl w:ilvl="2" w:tplc="5FF4918A">
      <w:start w:val="1"/>
      <w:numFmt w:val="lowerRoman"/>
      <w:lvlText w:val="%3."/>
      <w:lvlJc w:val="right"/>
      <w:pPr>
        <w:ind w:left="2160" w:hanging="180"/>
      </w:pPr>
    </w:lvl>
    <w:lvl w:ilvl="3" w:tplc="D97ACD72">
      <w:start w:val="1"/>
      <w:numFmt w:val="decimal"/>
      <w:lvlText w:val="%4."/>
      <w:lvlJc w:val="left"/>
      <w:pPr>
        <w:ind w:left="2880" w:hanging="360"/>
      </w:pPr>
    </w:lvl>
    <w:lvl w:ilvl="4" w:tplc="4804245E">
      <w:start w:val="1"/>
      <w:numFmt w:val="lowerLetter"/>
      <w:lvlText w:val="%5."/>
      <w:lvlJc w:val="left"/>
      <w:pPr>
        <w:ind w:left="3600" w:hanging="360"/>
      </w:pPr>
    </w:lvl>
    <w:lvl w:ilvl="5" w:tplc="7F0EBDCE">
      <w:start w:val="1"/>
      <w:numFmt w:val="lowerRoman"/>
      <w:lvlText w:val="%6."/>
      <w:lvlJc w:val="right"/>
      <w:pPr>
        <w:ind w:left="4320" w:hanging="180"/>
      </w:pPr>
    </w:lvl>
    <w:lvl w:ilvl="6" w:tplc="FC3E7A24">
      <w:start w:val="1"/>
      <w:numFmt w:val="decimal"/>
      <w:lvlText w:val="%7."/>
      <w:lvlJc w:val="left"/>
      <w:pPr>
        <w:ind w:left="5040" w:hanging="360"/>
      </w:pPr>
    </w:lvl>
    <w:lvl w:ilvl="7" w:tplc="1A2EB11C">
      <w:start w:val="1"/>
      <w:numFmt w:val="lowerLetter"/>
      <w:lvlText w:val="%8."/>
      <w:lvlJc w:val="left"/>
      <w:pPr>
        <w:ind w:left="5760" w:hanging="360"/>
      </w:pPr>
    </w:lvl>
    <w:lvl w:ilvl="8" w:tplc="06D8E372">
      <w:start w:val="1"/>
      <w:numFmt w:val="lowerRoman"/>
      <w:lvlText w:val="%9."/>
      <w:lvlJc w:val="right"/>
      <w:pPr>
        <w:ind w:left="6480" w:hanging="180"/>
      </w:pPr>
    </w:lvl>
  </w:abstractNum>
  <w:abstractNum w:abstractNumId="211" w15:restartNumberingAfterBreak="0">
    <w:nsid w:val="7219F2C3"/>
    <w:multiLevelType w:val="hybridMultilevel"/>
    <w:tmpl w:val="FFFFFFFF"/>
    <w:lvl w:ilvl="0" w:tplc="3550BC1E">
      <w:start w:val="1"/>
      <w:numFmt w:val="bullet"/>
      <w:lvlText w:val=""/>
      <w:lvlJc w:val="left"/>
      <w:pPr>
        <w:ind w:left="720" w:hanging="360"/>
      </w:pPr>
      <w:rPr>
        <w:rFonts w:ascii="Symbol" w:hAnsi="Symbol" w:hint="default"/>
      </w:rPr>
    </w:lvl>
    <w:lvl w:ilvl="1" w:tplc="56EC2924">
      <w:start w:val="1"/>
      <w:numFmt w:val="bullet"/>
      <w:lvlText w:val="o"/>
      <w:lvlJc w:val="left"/>
      <w:pPr>
        <w:ind w:left="1440" w:hanging="360"/>
      </w:pPr>
      <w:rPr>
        <w:rFonts w:ascii="Courier New" w:hAnsi="Courier New" w:hint="default"/>
      </w:rPr>
    </w:lvl>
    <w:lvl w:ilvl="2" w:tplc="D8943BE2">
      <w:start w:val="1"/>
      <w:numFmt w:val="bullet"/>
      <w:lvlText w:val=""/>
      <w:lvlJc w:val="left"/>
      <w:pPr>
        <w:ind w:left="2160" w:hanging="360"/>
      </w:pPr>
      <w:rPr>
        <w:rFonts w:ascii="Wingdings" w:hAnsi="Wingdings" w:hint="default"/>
      </w:rPr>
    </w:lvl>
    <w:lvl w:ilvl="3" w:tplc="AE9C4210">
      <w:start w:val="1"/>
      <w:numFmt w:val="bullet"/>
      <w:lvlText w:val=""/>
      <w:lvlJc w:val="left"/>
      <w:pPr>
        <w:ind w:left="2880" w:hanging="360"/>
      </w:pPr>
      <w:rPr>
        <w:rFonts w:ascii="Symbol" w:hAnsi="Symbol" w:hint="default"/>
      </w:rPr>
    </w:lvl>
    <w:lvl w:ilvl="4" w:tplc="D6B09A14">
      <w:start w:val="1"/>
      <w:numFmt w:val="bullet"/>
      <w:lvlText w:val="o"/>
      <w:lvlJc w:val="left"/>
      <w:pPr>
        <w:ind w:left="3600" w:hanging="360"/>
      </w:pPr>
      <w:rPr>
        <w:rFonts w:ascii="Courier New" w:hAnsi="Courier New" w:hint="default"/>
      </w:rPr>
    </w:lvl>
    <w:lvl w:ilvl="5" w:tplc="78B0833A">
      <w:start w:val="1"/>
      <w:numFmt w:val="bullet"/>
      <w:lvlText w:val=""/>
      <w:lvlJc w:val="left"/>
      <w:pPr>
        <w:ind w:left="4320" w:hanging="360"/>
      </w:pPr>
      <w:rPr>
        <w:rFonts w:ascii="Wingdings" w:hAnsi="Wingdings" w:hint="default"/>
      </w:rPr>
    </w:lvl>
    <w:lvl w:ilvl="6" w:tplc="BC6644C0">
      <w:start w:val="1"/>
      <w:numFmt w:val="bullet"/>
      <w:lvlText w:val=""/>
      <w:lvlJc w:val="left"/>
      <w:pPr>
        <w:ind w:left="5040" w:hanging="360"/>
      </w:pPr>
      <w:rPr>
        <w:rFonts w:ascii="Symbol" w:hAnsi="Symbol" w:hint="default"/>
      </w:rPr>
    </w:lvl>
    <w:lvl w:ilvl="7" w:tplc="024ED958">
      <w:start w:val="1"/>
      <w:numFmt w:val="bullet"/>
      <w:lvlText w:val="o"/>
      <w:lvlJc w:val="left"/>
      <w:pPr>
        <w:ind w:left="5760" w:hanging="360"/>
      </w:pPr>
      <w:rPr>
        <w:rFonts w:ascii="Courier New" w:hAnsi="Courier New" w:hint="default"/>
      </w:rPr>
    </w:lvl>
    <w:lvl w:ilvl="8" w:tplc="BBCC3906">
      <w:start w:val="1"/>
      <w:numFmt w:val="bullet"/>
      <w:lvlText w:val=""/>
      <w:lvlJc w:val="left"/>
      <w:pPr>
        <w:ind w:left="6480" w:hanging="360"/>
      </w:pPr>
      <w:rPr>
        <w:rFonts w:ascii="Wingdings" w:hAnsi="Wingdings" w:hint="default"/>
      </w:rPr>
    </w:lvl>
  </w:abstractNum>
  <w:abstractNum w:abstractNumId="212" w15:restartNumberingAfterBreak="0">
    <w:nsid w:val="72AA2C94"/>
    <w:multiLevelType w:val="multilevel"/>
    <w:tmpl w:val="E9363D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3" w15:restartNumberingAfterBreak="0">
    <w:nsid w:val="72B1525F"/>
    <w:multiLevelType w:val="hybridMultilevel"/>
    <w:tmpl w:val="D3D8C5EA"/>
    <w:lvl w:ilvl="0" w:tplc="5D3A17C2">
      <w:start w:val="3"/>
      <w:numFmt w:val="bullet"/>
      <w:lvlText w:val="-"/>
      <w:lvlJc w:val="left"/>
      <w:pPr>
        <w:ind w:left="360" w:hanging="360"/>
      </w:pPr>
      <w:rPr>
        <w:rFonts w:ascii="Calibri" w:eastAsiaTheme="minorHAnsi" w:hAnsi="Calibri" w:cs="Calibri"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72FF6569"/>
    <w:multiLevelType w:val="hybridMultilevel"/>
    <w:tmpl w:val="7E68EAA2"/>
    <w:lvl w:ilvl="0" w:tplc="8F3A109C">
      <w:start w:val="13"/>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4023C4F"/>
    <w:multiLevelType w:val="hybridMultilevel"/>
    <w:tmpl w:val="CA3E652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74C62FFB"/>
    <w:multiLevelType w:val="hybridMultilevel"/>
    <w:tmpl w:val="91086C7A"/>
    <w:lvl w:ilvl="0" w:tplc="0A6875FA">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7" w15:restartNumberingAfterBreak="0">
    <w:nsid w:val="756C025F"/>
    <w:multiLevelType w:val="hybridMultilevel"/>
    <w:tmpl w:val="65FC08B6"/>
    <w:lvl w:ilvl="0" w:tplc="0809001B">
      <w:start w:val="1"/>
      <w:numFmt w:val="lowerRoman"/>
      <w:lvlText w:val="%1."/>
      <w:lvlJc w:val="right"/>
      <w:pPr>
        <w:ind w:left="5351" w:hanging="360"/>
      </w:pPr>
    </w:lvl>
    <w:lvl w:ilvl="1" w:tplc="08090019" w:tentative="1">
      <w:start w:val="1"/>
      <w:numFmt w:val="lowerLetter"/>
      <w:lvlText w:val="%2."/>
      <w:lvlJc w:val="left"/>
      <w:pPr>
        <w:ind w:left="6071" w:hanging="360"/>
      </w:pPr>
    </w:lvl>
    <w:lvl w:ilvl="2" w:tplc="0809001B" w:tentative="1">
      <w:start w:val="1"/>
      <w:numFmt w:val="lowerRoman"/>
      <w:lvlText w:val="%3."/>
      <w:lvlJc w:val="right"/>
      <w:pPr>
        <w:ind w:left="6791" w:hanging="180"/>
      </w:pPr>
    </w:lvl>
    <w:lvl w:ilvl="3" w:tplc="0809000F" w:tentative="1">
      <w:start w:val="1"/>
      <w:numFmt w:val="decimal"/>
      <w:lvlText w:val="%4."/>
      <w:lvlJc w:val="left"/>
      <w:pPr>
        <w:ind w:left="7511" w:hanging="360"/>
      </w:pPr>
    </w:lvl>
    <w:lvl w:ilvl="4" w:tplc="08090019" w:tentative="1">
      <w:start w:val="1"/>
      <w:numFmt w:val="lowerLetter"/>
      <w:lvlText w:val="%5."/>
      <w:lvlJc w:val="left"/>
      <w:pPr>
        <w:ind w:left="8231" w:hanging="360"/>
      </w:pPr>
    </w:lvl>
    <w:lvl w:ilvl="5" w:tplc="0809001B" w:tentative="1">
      <w:start w:val="1"/>
      <w:numFmt w:val="lowerRoman"/>
      <w:lvlText w:val="%6."/>
      <w:lvlJc w:val="right"/>
      <w:pPr>
        <w:ind w:left="8951" w:hanging="180"/>
      </w:pPr>
    </w:lvl>
    <w:lvl w:ilvl="6" w:tplc="0809000F" w:tentative="1">
      <w:start w:val="1"/>
      <w:numFmt w:val="decimal"/>
      <w:lvlText w:val="%7."/>
      <w:lvlJc w:val="left"/>
      <w:pPr>
        <w:ind w:left="9671" w:hanging="360"/>
      </w:pPr>
    </w:lvl>
    <w:lvl w:ilvl="7" w:tplc="08090019" w:tentative="1">
      <w:start w:val="1"/>
      <w:numFmt w:val="lowerLetter"/>
      <w:lvlText w:val="%8."/>
      <w:lvlJc w:val="left"/>
      <w:pPr>
        <w:ind w:left="10391" w:hanging="360"/>
      </w:pPr>
    </w:lvl>
    <w:lvl w:ilvl="8" w:tplc="0809001B" w:tentative="1">
      <w:start w:val="1"/>
      <w:numFmt w:val="lowerRoman"/>
      <w:lvlText w:val="%9."/>
      <w:lvlJc w:val="right"/>
      <w:pPr>
        <w:ind w:left="11111" w:hanging="180"/>
      </w:pPr>
    </w:lvl>
  </w:abstractNum>
  <w:abstractNum w:abstractNumId="218" w15:restartNumberingAfterBreak="0">
    <w:nsid w:val="75784D81"/>
    <w:multiLevelType w:val="hybridMultilevel"/>
    <w:tmpl w:val="3E9C3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761A19DD"/>
    <w:multiLevelType w:val="hybridMultilevel"/>
    <w:tmpl w:val="B4E8BF7C"/>
    <w:lvl w:ilvl="0" w:tplc="8F3A109C">
      <w:start w:val="13"/>
      <w:numFmt w:val="bullet"/>
      <w:lvlText w:val="-"/>
      <w:lvlJc w:val="left"/>
      <w:pPr>
        <w:ind w:left="1570" w:hanging="360"/>
      </w:pPr>
      <w:rPr>
        <w:rFonts w:ascii="Calibri" w:eastAsiaTheme="minorHAnsi" w:hAnsi="Calibri" w:cs="Calibri" w:hint="default"/>
        <w:sz w:val="16"/>
      </w:rPr>
    </w:lvl>
    <w:lvl w:ilvl="1" w:tplc="18090003" w:tentative="1">
      <w:start w:val="1"/>
      <w:numFmt w:val="bullet"/>
      <w:lvlText w:val="o"/>
      <w:lvlJc w:val="left"/>
      <w:pPr>
        <w:ind w:left="2290" w:hanging="360"/>
      </w:pPr>
      <w:rPr>
        <w:rFonts w:ascii="Courier New" w:hAnsi="Courier New" w:cs="Courier New" w:hint="default"/>
      </w:rPr>
    </w:lvl>
    <w:lvl w:ilvl="2" w:tplc="18090005" w:tentative="1">
      <w:start w:val="1"/>
      <w:numFmt w:val="bullet"/>
      <w:lvlText w:val=""/>
      <w:lvlJc w:val="left"/>
      <w:pPr>
        <w:ind w:left="3010" w:hanging="360"/>
      </w:pPr>
      <w:rPr>
        <w:rFonts w:ascii="Wingdings" w:hAnsi="Wingdings" w:hint="default"/>
      </w:rPr>
    </w:lvl>
    <w:lvl w:ilvl="3" w:tplc="18090001" w:tentative="1">
      <w:start w:val="1"/>
      <w:numFmt w:val="bullet"/>
      <w:lvlText w:val=""/>
      <w:lvlJc w:val="left"/>
      <w:pPr>
        <w:ind w:left="3730" w:hanging="360"/>
      </w:pPr>
      <w:rPr>
        <w:rFonts w:ascii="Symbol" w:hAnsi="Symbol" w:hint="default"/>
      </w:rPr>
    </w:lvl>
    <w:lvl w:ilvl="4" w:tplc="18090003" w:tentative="1">
      <w:start w:val="1"/>
      <w:numFmt w:val="bullet"/>
      <w:lvlText w:val="o"/>
      <w:lvlJc w:val="left"/>
      <w:pPr>
        <w:ind w:left="4450" w:hanging="360"/>
      </w:pPr>
      <w:rPr>
        <w:rFonts w:ascii="Courier New" w:hAnsi="Courier New" w:cs="Courier New" w:hint="default"/>
      </w:rPr>
    </w:lvl>
    <w:lvl w:ilvl="5" w:tplc="18090005" w:tentative="1">
      <w:start w:val="1"/>
      <w:numFmt w:val="bullet"/>
      <w:lvlText w:val=""/>
      <w:lvlJc w:val="left"/>
      <w:pPr>
        <w:ind w:left="5170" w:hanging="360"/>
      </w:pPr>
      <w:rPr>
        <w:rFonts w:ascii="Wingdings" w:hAnsi="Wingdings" w:hint="default"/>
      </w:rPr>
    </w:lvl>
    <w:lvl w:ilvl="6" w:tplc="18090001" w:tentative="1">
      <w:start w:val="1"/>
      <w:numFmt w:val="bullet"/>
      <w:lvlText w:val=""/>
      <w:lvlJc w:val="left"/>
      <w:pPr>
        <w:ind w:left="5890" w:hanging="360"/>
      </w:pPr>
      <w:rPr>
        <w:rFonts w:ascii="Symbol" w:hAnsi="Symbol" w:hint="default"/>
      </w:rPr>
    </w:lvl>
    <w:lvl w:ilvl="7" w:tplc="18090003" w:tentative="1">
      <w:start w:val="1"/>
      <w:numFmt w:val="bullet"/>
      <w:lvlText w:val="o"/>
      <w:lvlJc w:val="left"/>
      <w:pPr>
        <w:ind w:left="6610" w:hanging="360"/>
      </w:pPr>
      <w:rPr>
        <w:rFonts w:ascii="Courier New" w:hAnsi="Courier New" w:cs="Courier New" w:hint="default"/>
      </w:rPr>
    </w:lvl>
    <w:lvl w:ilvl="8" w:tplc="18090005" w:tentative="1">
      <w:start w:val="1"/>
      <w:numFmt w:val="bullet"/>
      <w:lvlText w:val=""/>
      <w:lvlJc w:val="left"/>
      <w:pPr>
        <w:ind w:left="7330" w:hanging="360"/>
      </w:pPr>
      <w:rPr>
        <w:rFonts w:ascii="Wingdings" w:hAnsi="Wingdings" w:hint="default"/>
      </w:rPr>
    </w:lvl>
  </w:abstractNum>
  <w:abstractNum w:abstractNumId="220" w15:restartNumberingAfterBreak="0">
    <w:nsid w:val="778F7E2A"/>
    <w:multiLevelType w:val="hybridMultilevel"/>
    <w:tmpl w:val="D062C9FC"/>
    <w:lvl w:ilvl="0" w:tplc="312A5F28">
      <w:start w:val="1"/>
      <w:numFmt w:val="bullet"/>
      <w:lvlText w:val="-"/>
      <w:lvlJc w:val="left"/>
      <w:pPr>
        <w:ind w:left="2160" w:hanging="360"/>
      </w:pPr>
      <w:rPr>
        <w:rFonts w:ascii="Calibri" w:eastAsiaTheme="minorHAnsi" w:hAnsi="Calibri" w:cs="Calibri" w:hint="default"/>
        <w:color w:val="7030A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1" w15:restartNumberingAfterBreak="0">
    <w:nsid w:val="784E0AC6"/>
    <w:multiLevelType w:val="multilevel"/>
    <w:tmpl w:val="DF648038"/>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A170AF9"/>
    <w:multiLevelType w:val="hybridMultilevel"/>
    <w:tmpl w:val="643CB73C"/>
    <w:lvl w:ilvl="0" w:tplc="CF54624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7ACA593F"/>
    <w:multiLevelType w:val="hybridMultilevel"/>
    <w:tmpl w:val="54AE0644"/>
    <w:lvl w:ilvl="0" w:tplc="7612FEA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4" w15:restartNumberingAfterBreak="0">
    <w:nsid w:val="7B44282A"/>
    <w:multiLevelType w:val="hybridMultilevel"/>
    <w:tmpl w:val="783AD546"/>
    <w:lvl w:ilvl="0" w:tplc="F156255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B467FDB"/>
    <w:multiLevelType w:val="hybridMultilevel"/>
    <w:tmpl w:val="B3B4A660"/>
    <w:lvl w:ilvl="0" w:tplc="BA807564">
      <w:start w:val="289"/>
      <w:numFmt w:val="bullet"/>
      <w:lvlText w:val="-"/>
      <w:lvlJc w:val="left"/>
      <w:pPr>
        <w:ind w:left="720" w:hanging="360"/>
      </w:pPr>
      <w:rPr>
        <w:rFonts w:ascii="Calibri" w:eastAsiaTheme="minorHAnsi" w:hAnsi="Calibri" w:cs="Calibri"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B497586"/>
    <w:multiLevelType w:val="hybridMultilevel"/>
    <w:tmpl w:val="B1A0F714"/>
    <w:lvl w:ilvl="0" w:tplc="8F3A109C">
      <w:start w:val="13"/>
      <w:numFmt w:val="bullet"/>
      <w:lvlText w:val="-"/>
      <w:lvlJc w:val="left"/>
      <w:pPr>
        <w:ind w:left="720" w:hanging="360"/>
      </w:pPr>
      <w:rPr>
        <w:rFonts w:ascii="Calibri" w:eastAsiaTheme="minorHAnsi" w:hAnsi="Calibri" w:cs="Calibri" w:hint="default"/>
        <w:sz w:val="16"/>
      </w:rPr>
    </w:lvl>
    <w:lvl w:ilvl="1" w:tplc="E49CCB7E">
      <w:start w:val="1"/>
      <w:numFmt w:val="bullet"/>
      <w:lvlText w:val="o"/>
      <w:lvlJc w:val="left"/>
      <w:pPr>
        <w:ind w:left="1440" w:hanging="360"/>
      </w:pPr>
      <w:rPr>
        <w:rFonts w:ascii="Courier New" w:hAnsi="Courier New" w:hint="default"/>
      </w:rPr>
    </w:lvl>
    <w:lvl w:ilvl="2" w:tplc="32425FC0">
      <w:start w:val="1"/>
      <w:numFmt w:val="bullet"/>
      <w:lvlText w:val=""/>
      <w:lvlJc w:val="left"/>
      <w:pPr>
        <w:ind w:left="2160" w:hanging="360"/>
      </w:pPr>
      <w:rPr>
        <w:rFonts w:ascii="Wingdings" w:hAnsi="Wingdings" w:hint="default"/>
      </w:rPr>
    </w:lvl>
    <w:lvl w:ilvl="3" w:tplc="A6FA633C">
      <w:start w:val="1"/>
      <w:numFmt w:val="bullet"/>
      <w:lvlText w:val=""/>
      <w:lvlJc w:val="left"/>
      <w:pPr>
        <w:ind w:left="2880" w:hanging="360"/>
      </w:pPr>
      <w:rPr>
        <w:rFonts w:ascii="Symbol" w:hAnsi="Symbol" w:hint="default"/>
      </w:rPr>
    </w:lvl>
    <w:lvl w:ilvl="4" w:tplc="689A40DE">
      <w:start w:val="1"/>
      <w:numFmt w:val="bullet"/>
      <w:lvlText w:val="o"/>
      <w:lvlJc w:val="left"/>
      <w:pPr>
        <w:ind w:left="3600" w:hanging="360"/>
      </w:pPr>
      <w:rPr>
        <w:rFonts w:ascii="Courier New" w:hAnsi="Courier New" w:hint="default"/>
      </w:rPr>
    </w:lvl>
    <w:lvl w:ilvl="5" w:tplc="EC807EDC">
      <w:start w:val="1"/>
      <w:numFmt w:val="bullet"/>
      <w:lvlText w:val=""/>
      <w:lvlJc w:val="left"/>
      <w:pPr>
        <w:ind w:left="4320" w:hanging="360"/>
      </w:pPr>
      <w:rPr>
        <w:rFonts w:ascii="Wingdings" w:hAnsi="Wingdings" w:hint="default"/>
      </w:rPr>
    </w:lvl>
    <w:lvl w:ilvl="6" w:tplc="48BCD32C">
      <w:start w:val="1"/>
      <w:numFmt w:val="bullet"/>
      <w:lvlText w:val=""/>
      <w:lvlJc w:val="left"/>
      <w:pPr>
        <w:ind w:left="5040" w:hanging="360"/>
      </w:pPr>
      <w:rPr>
        <w:rFonts w:ascii="Symbol" w:hAnsi="Symbol" w:hint="default"/>
      </w:rPr>
    </w:lvl>
    <w:lvl w:ilvl="7" w:tplc="E8CECF1C">
      <w:start w:val="1"/>
      <w:numFmt w:val="bullet"/>
      <w:lvlText w:val="o"/>
      <w:lvlJc w:val="left"/>
      <w:pPr>
        <w:ind w:left="5760" w:hanging="360"/>
      </w:pPr>
      <w:rPr>
        <w:rFonts w:ascii="Courier New" w:hAnsi="Courier New" w:hint="default"/>
      </w:rPr>
    </w:lvl>
    <w:lvl w:ilvl="8" w:tplc="DC9E34F0">
      <w:start w:val="1"/>
      <w:numFmt w:val="bullet"/>
      <w:lvlText w:val=""/>
      <w:lvlJc w:val="left"/>
      <w:pPr>
        <w:ind w:left="6480" w:hanging="360"/>
      </w:pPr>
      <w:rPr>
        <w:rFonts w:ascii="Wingdings" w:hAnsi="Wingdings" w:hint="default"/>
      </w:rPr>
    </w:lvl>
  </w:abstractNum>
  <w:abstractNum w:abstractNumId="227" w15:restartNumberingAfterBreak="0">
    <w:nsid w:val="7B6F2FAD"/>
    <w:multiLevelType w:val="hybridMultilevel"/>
    <w:tmpl w:val="5F42B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7B76B7BF"/>
    <w:multiLevelType w:val="hybridMultilevel"/>
    <w:tmpl w:val="C6DEE678"/>
    <w:lvl w:ilvl="0" w:tplc="229074BE">
      <w:start w:val="1"/>
      <w:numFmt w:val="bullet"/>
      <w:lvlText w:val="-"/>
      <w:lvlJc w:val="left"/>
      <w:pPr>
        <w:ind w:left="720" w:hanging="360"/>
      </w:pPr>
      <w:rPr>
        <w:rFonts w:ascii="&quot;Calibri&quot;,sans-serif" w:hAnsi="&quot;Calibri&quot;,sans-serif" w:hint="default"/>
      </w:rPr>
    </w:lvl>
    <w:lvl w:ilvl="1" w:tplc="13365A1A">
      <w:start w:val="1"/>
      <w:numFmt w:val="bullet"/>
      <w:lvlText w:val="o"/>
      <w:lvlJc w:val="left"/>
      <w:pPr>
        <w:ind w:left="1440" w:hanging="360"/>
      </w:pPr>
      <w:rPr>
        <w:rFonts w:ascii="Courier New" w:hAnsi="Courier New" w:hint="default"/>
      </w:rPr>
    </w:lvl>
    <w:lvl w:ilvl="2" w:tplc="1EA87B0C">
      <w:start w:val="1"/>
      <w:numFmt w:val="bullet"/>
      <w:lvlText w:val=""/>
      <w:lvlJc w:val="left"/>
      <w:pPr>
        <w:ind w:left="2160" w:hanging="360"/>
      </w:pPr>
      <w:rPr>
        <w:rFonts w:ascii="Wingdings" w:hAnsi="Wingdings" w:hint="default"/>
      </w:rPr>
    </w:lvl>
    <w:lvl w:ilvl="3" w:tplc="DE1212FE">
      <w:start w:val="1"/>
      <w:numFmt w:val="bullet"/>
      <w:lvlText w:val=""/>
      <w:lvlJc w:val="left"/>
      <w:pPr>
        <w:ind w:left="2880" w:hanging="360"/>
      </w:pPr>
      <w:rPr>
        <w:rFonts w:ascii="Symbol" w:hAnsi="Symbol" w:hint="default"/>
      </w:rPr>
    </w:lvl>
    <w:lvl w:ilvl="4" w:tplc="E97A8062">
      <w:start w:val="1"/>
      <w:numFmt w:val="bullet"/>
      <w:lvlText w:val="o"/>
      <w:lvlJc w:val="left"/>
      <w:pPr>
        <w:ind w:left="3600" w:hanging="360"/>
      </w:pPr>
      <w:rPr>
        <w:rFonts w:ascii="Courier New" w:hAnsi="Courier New" w:hint="default"/>
      </w:rPr>
    </w:lvl>
    <w:lvl w:ilvl="5" w:tplc="97761FE0">
      <w:start w:val="1"/>
      <w:numFmt w:val="bullet"/>
      <w:lvlText w:val=""/>
      <w:lvlJc w:val="left"/>
      <w:pPr>
        <w:ind w:left="4320" w:hanging="360"/>
      </w:pPr>
      <w:rPr>
        <w:rFonts w:ascii="Wingdings" w:hAnsi="Wingdings" w:hint="default"/>
      </w:rPr>
    </w:lvl>
    <w:lvl w:ilvl="6" w:tplc="5E30B6AC">
      <w:start w:val="1"/>
      <w:numFmt w:val="bullet"/>
      <w:lvlText w:val=""/>
      <w:lvlJc w:val="left"/>
      <w:pPr>
        <w:ind w:left="5040" w:hanging="360"/>
      </w:pPr>
      <w:rPr>
        <w:rFonts w:ascii="Symbol" w:hAnsi="Symbol" w:hint="default"/>
      </w:rPr>
    </w:lvl>
    <w:lvl w:ilvl="7" w:tplc="5F744738">
      <w:start w:val="1"/>
      <w:numFmt w:val="bullet"/>
      <w:lvlText w:val="o"/>
      <w:lvlJc w:val="left"/>
      <w:pPr>
        <w:ind w:left="5760" w:hanging="360"/>
      </w:pPr>
      <w:rPr>
        <w:rFonts w:ascii="Courier New" w:hAnsi="Courier New" w:hint="default"/>
      </w:rPr>
    </w:lvl>
    <w:lvl w:ilvl="8" w:tplc="B03A1E5C">
      <w:start w:val="1"/>
      <w:numFmt w:val="bullet"/>
      <w:lvlText w:val=""/>
      <w:lvlJc w:val="left"/>
      <w:pPr>
        <w:ind w:left="6480" w:hanging="360"/>
      </w:pPr>
      <w:rPr>
        <w:rFonts w:ascii="Wingdings" w:hAnsi="Wingdings" w:hint="default"/>
      </w:rPr>
    </w:lvl>
  </w:abstractNum>
  <w:abstractNum w:abstractNumId="229" w15:restartNumberingAfterBreak="0">
    <w:nsid w:val="7C2435D5"/>
    <w:multiLevelType w:val="hybridMultilevel"/>
    <w:tmpl w:val="F3408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CBD3E72"/>
    <w:multiLevelType w:val="hybridMultilevel"/>
    <w:tmpl w:val="3D2AD55E"/>
    <w:lvl w:ilvl="0" w:tplc="39AC0976">
      <w:start w:val="4"/>
      <w:numFmt w:val="bullet"/>
      <w:lvlText w:val="-"/>
      <w:lvlJc w:val="left"/>
      <w:pPr>
        <w:ind w:left="1200" w:hanging="360"/>
      </w:pPr>
      <w:rPr>
        <w:rFonts w:ascii="Times New Roman" w:eastAsia="Times New Roman" w:hAnsi="Times New Roman" w:cs="Times New Roman" w:hint="default"/>
      </w:rPr>
    </w:lvl>
    <w:lvl w:ilvl="1" w:tplc="18090003" w:tentative="1">
      <w:start w:val="1"/>
      <w:numFmt w:val="bullet"/>
      <w:lvlText w:val="o"/>
      <w:lvlJc w:val="left"/>
      <w:pPr>
        <w:ind w:left="1920" w:hanging="360"/>
      </w:pPr>
      <w:rPr>
        <w:rFonts w:ascii="Courier New" w:hAnsi="Courier New" w:cs="Courier New" w:hint="default"/>
      </w:rPr>
    </w:lvl>
    <w:lvl w:ilvl="2" w:tplc="18090005" w:tentative="1">
      <w:start w:val="1"/>
      <w:numFmt w:val="bullet"/>
      <w:lvlText w:val=""/>
      <w:lvlJc w:val="left"/>
      <w:pPr>
        <w:ind w:left="2640" w:hanging="360"/>
      </w:pPr>
      <w:rPr>
        <w:rFonts w:ascii="Wingdings" w:hAnsi="Wingdings" w:hint="default"/>
      </w:rPr>
    </w:lvl>
    <w:lvl w:ilvl="3" w:tplc="18090001" w:tentative="1">
      <w:start w:val="1"/>
      <w:numFmt w:val="bullet"/>
      <w:lvlText w:val=""/>
      <w:lvlJc w:val="left"/>
      <w:pPr>
        <w:ind w:left="3360" w:hanging="360"/>
      </w:pPr>
      <w:rPr>
        <w:rFonts w:ascii="Symbol" w:hAnsi="Symbol" w:hint="default"/>
      </w:rPr>
    </w:lvl>
    <w:lvl w:ilvl="4" w:tplc="18090003" w:tentative="1">
      <w:start w:val="1"/>
      <w:numFmt w:val="bullet"/>
      <w:lvlText w:val="o"/>
      <w:lvlJc w:val="left"/>
      <w:pPr>
        <w:ind w:left="4080" w:hanging="360"/>
      </w:pPr>
      <w:rPr>
        <w:rFonts w:ascii="Courier New" w:hAnsi="Courier New" w:cs="Courier New" w:hint="default"/>
      </w:rPr>
    </w:lvl>
    <w:lvl w:ilvl="5" w:tplc="18090005" w:tentative="1">
      <w:start w:val="1"/>
      <w:numFmt w:val="bullet"/>
      <w:lvlText w:val=""/>
      <w:lvlJc w:val="left"/>
      <w:pPr>
        <w:ind w:left="4800" w:hanging="360"/>
      </w:pPr>
      <w:rPr>
        <w:rFonts w:ascii="Wingdings" w:hAnsi="Wingdings" w:hint="default"/>
      </w:rPr>
    </w:lvl>
    <w:lvl w:ilvl="6" w:tplc="18090001" w:tentative="1">
      <w:start w:val="1"/>
      <w:numFmt w:val="bullet"/>
      <w:lvlText w:val=""/>
      <w:lvlJc w:val="left"/>
      <w:pPr>
        <w:ind w:left="5520" w:hanging="360"/>
      </w:pPr>
      <w:rPr>
        <w:rFonts w:ascii="Symbol" w:hAnsi="Symbol" w:hint="default"/>
      </w:rPr>
    </w:lvl>
    <w:lvl w:ilvl="7" w:tplc="18090003" w:tentative="1">
      <w:start w:val="1"/>
      <w:numFmt w:val="bullet"/>
      <w:lvlText w:val="o"/>
      <w:lvlJc w:val="left"/>
      <w:pPr>
        <w:ind w:left="6240" w:hanging="360"/>
      </w:pPr>
      <w:rPr>
        <w:rFonts w:ascii="Courier New" w:hAnsi="Courier New" w:cs="Courier New" w:hint="default"/>
      </w:rPr>
    </w:lvl>
    <w:lvl w:ilvl="8" w:tplc="18090005" w:tentative="1">
      <w:start w:val="1"/>
      <w:numFmt w:val="bullet"/>
      <w:lvlText w:val=""/>
      <w:lvlJc w:val="left"/>
      <w:pPr>
        <w:ind w:left="6960" w:hanging="360"/>
      </w:pPr>
      <w:rPr>
        <w:rFonts w:ascii="Wingdings" w:hAnsi="Wingdings" w:hint="default"/>
      </w:rPr>
    </w:lvl>
  </w:abstractNum>
  <w:abstractNum w:abstractNumId="23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32" w15:restartNumberingAfterBreak="0">
    <w:nsid w:val="7D847C70"/>
    <w:multiLevelType w:val="hybridMultilevel"/>
    <w:tmpl w:val="32C4DBF6"/>
    <w:lvl w:ilvl="0" w:tplc="D882AC22">
      <w:start w:val="300"/>
      <w:numFmt w:val="bullet"/>
      <w:lvlText w:val="-"/>
      <w:lvlJc w:val="left"/>
      <w:pPr>
        <w:ind w:left="720" w:hanging="360"/>
      </w:pPr>
      <w:rPr>
        <w:rFonts w:ascii="Times New Roman" w:eastAsiaTheme="minorHAnsi" w:hAnsi="Times New Roman" w:cs="Times New Roman" w:hint="default"/>
      </w:rPr>
    </w:lvl>
    <w:lvl w:ilvl="1" w:tplc="D92AAC04">
      <w:start w:val="1"/>
      <w:numFmt w:val="bullet"/>
      <w:lvlText w:val="o"/>
      <w:lvlJc w:val="left"/>
      <w:pPr>
        <w:ind w:left="1440" w:hanging="360"/>
      </w:pPr>
      <w:rPr>
        <w:rFonts w:ascii="Courier New" w:hAnsi="Courier New" w:hint="default"/>
      </w:rPr>
    </w:lvl>
    <w:lvl w:ilvl="2" w:tplc="80DE6266">
      <w:start w:val="1"/>
      <w:numFmt w:val="bullet"/>
      <w:lvlText w:val=""/>
      <w:lvlJc w:val="left"/>
      <w:pPr>
        <w:ind w:left="2160" w:hanging="360"/>
      </w:pPr>
      <w:rPr>
        <w:rFonts w:ascii="Wingdings" w:hAnsi="Wingdings" w:hint="default"/>
      </w:rPr>
    </w:lvl>
    <w:lvl w:ilvl="3" w:tplc="7FE2A260">
      <w:start w:val="1"/>
      <w:numFmt w:val="bullet"/>
      <w:lvlText w:val=""/>
      <w:lvlJc w:val="left"/>
      <w:pPr>
        <w:ind w:left="2880" w:hanging="360"/>
      </w:pPr>
      <w:rPr>
        <w:rFonts w:ascii="Symbol" w:hAnsi="Symbol" w:hint="default"/>
      </w:rPr>
    </w:lvl>
    <w:lvl w:ilvl="4" w:tplc="C68EC434">
      <w:start w:val="1"/>
      <w:numFmt w:val="bullet"/>
      <w:lvlText w:val="o"/>
      <w:lvlJc w:val="left"/>
      <w:pPr>
        <w:ind w:left="3600" w:hanging="360"/>
      </w:pPr>
      <w:rPr>
        <w:rFonts w:ascii="Courier New" w:hAnsi="Courier New" w:hint="default"/>
      </w:rPr>
    </w:lvl>
    <w:lvl w:ilvl="5" w:tplc="B5621F5A">
      <w:start w:val="1"/>
      <w:numFmt w:val="bullet"/>
      <w:lvlText w:val=""/>
      <w:lvlJc w:val="left"/>
      <w:pPr>
        <w:ind w:left="4320" w:hanging="360"/>
      </w:pPr>
      <w:rPr>
        <w:rFonts w:ascii="Wingdings" w:hAnsi="Wingdings" w:hint="default"/>
      </w:rPr>
    </w:lvl>
    <w:lvl w:ilvl="6" w:tplc="13DAEFE2">
      <w:start w:val="1"/>
      <w:numFmt w:val="bullet"/>
      <w:lvlText w:val=""/>
      <w:lvlJc w:val="left"/>
      <w:pPr>
        <w:ind w:left="5040" w:hanging="360"/>
      </w:pPr>
      <w:rPr>
        <w:rFonts w:ascii="Symbol" w:hAnsi="Symbol" w:hint="default"/>
      </w:rPr>
    </w:lvl>
    <w:lvl w:ilvl="7" w:tplc="39283856">
      <w:start w:val="1"/>
      <w:numFmt w:val="bullet"/>
      <w:lvlText w:val="o"/>
      <w:lvlJc w:val="left"/>
      <w:pPr>
        <w:ind w:left="5760" w:hanging="360"/>
      </w:pPr>
      <w:rPr>
        <w:rFonts w:ascii="Courier New" w:hAnsi="Courier New" w:hint="default"/>
      </w:rPr>
    </w:lvl>
    <w:lvl w:ilvl="8" w:tplc="C9B256E2">
      <w:start w:val="1"/>
      <w:numFmt w:val="bullet"/>
      <w:lvlText w:val=""/>
      <w:lvlJc w:val="left"/>
      <w:pPr>
        <w:ind w:left="6480" w:hanging="360"/>
      </w:pPr>
      <w:rPr>
        <w:rFonts w:ascii="Wingdings" w:hAnsi="Wingdings" w:hint="default"/>
      </w:rPr>
    </w:lvl>
  </w:abstractNum>
  <w:abstractNum w:abstractNumId="233" w15:restartNumberingAfterBreak="0">
    <w:nsid w:val="7DF4564F"/>
    <w:multiLevelType w:val="hybridMultilevel"/>
    <w:tmpl w:val="DF682C34"/>
    <w:lvl w:ilvl="0" w:tplc="B9C683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E770119"/>
    <w:multiLevelType w:val="hybridMultilevel"/>
    <w:tmpl w:val="9E64CBA2"/>
    <w:lvl w:ilvl="0" w:tplc="080C0001">
      <w:start w:val="1"/>
      <w:numFmt w:val="bullet"/>
      <w:lvlText w:val=""/>
      <w:lvlJc w:val="left"/>
      <w:pPr>
        <w:ind w:left="1690" w:hanging="360"/>
      </w:pPr>
      <w:rPr>
        <w:rFonts w:ascii="Symbol" w:hAnsi="Symbol" w:hint="default"/>
      </w:rPr>
    </w:lvl>
    <w:lvl w:ilvl="1" w:tplc="080C0003" w:tentative="1">
      <w:start w:val="1"/>
      <w:numFmt w:val="bullet"/>
      <w:lvlText w:val="o"/>
      <w:lvlJc w:val="left"/>
      <w:pPr>
        <w:ind w:left="2410" w:hanging="360"/>
      </w:pPr>
      <w:rPr>
        <w:rFonts w:ascii="Courier New" w:hAnsi="Courier New" w:cs="Courier New" w:hint="default"/>
      </w:rPr>
    </w:lvl>
    <w:lvl w:ilvl="2" w:tplc="080C0005" w:tentative="1">
      <w:start w:val="1"/>
      <w:numFmt w:val="bullet"/>
      <w:lvlText w:val=""/>
      <w:lvlJc w:val="left"/>
      <w:pPr>
        <w:ind w:left="3130" w:hanging="360"/>
      </w:pPr>
      <w:rPr>
        <w:rFonts w:ascii="Wingdings" w:hAnsi="Wingdings" w:hint="default"/>
      </w:rPr>
    </w:lvl>
    <w:lvl w:ilvl="3" w:tplc="080C0001" w:tentative="1">
      <w:start w:val="1"/>
      <w:numFmt w:val="bullet"/>
      <w:lvlText w:val=""/>
      <w:lvlJc w:val="left"/>
      <w:pPr>
        <w:ind w:left="3850" w:hanging="360"/>
      </w:pPr>
      <w:rPr>
        <w:rFonts w:ascii="Symbol" w:hAnsi="Symbol" w:hint="default"/>
      </w:rPr>
    </w:lvl>
    <w:lvl w:ilvl="4" w:tplc="080C0003" w:tentative="1">
      <w:start w:val="1"/>
      <w:numFmt w:val="bullet"/>
      <w:lvlText w:val="o"/>
      <w:lvlJc w:val="left"/>
      <w:pPr>
        <w:ind w:left="4570" w:hanging="360"/>
      </w:pPr>
      <w:rPr>
        <w:rFonts w:ascii="Courier New" w:hAnsi="Courier New" w:cs="Courier New" w:hint="default"/>
      </w:rPr>
    </w:lvl>
    <w:lvl w:ilvl="5" w:tplc="080C0005" w:tentative="1">
      <w:start w:val="1"/>
      <w:numFmt w:val="bullet"/>
      <w:lvlText w:val=""/>
      <w:lvlJc w:val="left"/>
      <w:pPr>
        <w:ind w:left="5290" w:hanging="360"/>
      </w:pPr>
      <w:rPr>
        <w:rFonts w:ascii="Wingdings" w:hAnsi="Wingdings" w:hint="default"/>
      </w:rPr>
    </w:lvl>
    <w:lvl w:ilvl="6" w:tplc="080C0001" w:tentative="1">
      <w:start w:val="1"/>
      <w:numFmt w:val="bullet"/>
      <w:lvlText w:val=""/>
      <w:lvlJc w:val="left"/>
      <w:pPr>
        <w:ind w:left="6010" w:hanging="360"/>
      </w:pPr>
      <w:rPr>
        <w:rFonts w:ascii="Symbol" w:hAnsi="Symbol" w:hint="default"/>
      </w:rPr>
    </w:lvl>
    <w:lvl w:ilvl="7" w:tplc="080C0003" w:tentative="1">
      <w:start w:val="1"/>
      <w:numFmt w:val="bullet"/>
      <w:lvlText w:val="o"/>
      <w:lvlJc w:val="left"/>
      <w:pPr>
        <w:ind w:left="6730" w:hanging="360"/>
      </w:pPr>
      <w:rPr>
        <w:rFonts w:ascii="Courier New" w:hAnsi="Courier New" w:cs="Courier New" w:hint="default"/>
      </w:rPr>
    </w:lvl>
    <w:lvl w:ilvl="8" w:tplc="080C0005" w:tentative="1">
      <w:start w:val="1"/>
      <w:numFmt w:val="bullet"/>
      <w:lvlText w:val=""/>
      <w:lvlJc w:val="left"/>
      <w:pPr>
        <w:ind w:left="7450" w:hanging="360"/>
      </w:pPr>
      <w:rPr>
        <w:rFonts w:ascii="Wingdings" w:hAnsi="Wingdings" w:hint="default"/>
      </w:rPr>
    </w:lvl>
  </w:abstractNum>
  <w:abstractNum w:abstractNumId="235" w15:restartNumberingAfterBreak="0">
    <w:nsid w:val="7E8B3E8D"/>
    <w:multiLevelType w:val="hybridMultilevel"/>
    <w:tmpl w:val="EE249512"/>
    <w:lvl w:ilvl="0" w:tplc="81E8099C">
      <w:start w:val="1"/>
      <w:numFmt w:val="bullet"/>
      <w:lvlText w:val=""/>
      <w:lvlJc w:val="left"/>
      <w:pPr>
        <w:ind w:left="720" w:hanging="360"/>
      </w:pPr>
      <w:rPr>
        <w:rFonts w:ascii="Symbol" w:hAnsi="Symbol" w:hint="default"/>
      </w:rPr>
    </w:lvl>
    <w:lvl w:ilvl="1" w:tplc="29562A02">
      <w:start w:val="1"/>
      <w:numFmt w:val="bullet"/>
      <w:lvlText w:val="o"/>
      <w:lvlJc w:val="left"/>
      <w:pPr>
        <w:ind w:left="1440" w:hanging="360"/>
      </w:pPr>
      <w:rPr>
        <w:rFonts w:ascii="Courier New" w:hAnsi="Courier New" w:hint="default"/>
      </w:rPr>
    </w:lvl>
    <w:lvl w:ilvl="2" w:tplc="D4184A3C">
      <w:start w:val="1"/>
      <w:numFmt w:val="bullet"/>
      <w:lvlText w:val=""/>
      <w:lvlJc w:val="left"/>
      <w:pPr>
        <w:ind w:left="2160" w:hanging="360"/>
      </w:pPr>
      <w:rPr>
        <w:rFonts w:ascii="Wingdings" w:hAnsi="Wingdings" w:hint="default"/>
      </w:rPr>
    </w:lvl>
    <w:lvl w:ilvl="3" w:tplc="2F58B882">
      <w:start w:val="1"/>
      <w:numFmt w:val="bullet"/>
      <w:lvlText w:val=""/>
      <w:lvlJc w:val="left"/>
      <w:pPr>
        <w:ind w:left="2880" w:hanging="360"/>
      </w:pPr>
      <w:rPr>
        <w:rFonts w:ascii="Symbol" w:hAnsi="Symbol" w:hint="default"/>
      </w:rPr>
    </w:lvl>
    <w:lvl w:ilvl="4" w:tplc="F258C678">
      <w:start w:val="1"/>
      <w:numFmt w:val="bullet"/>
      <w:lvlText w:val="o"/>
      <w:lvlJc w:val="left"/>
      <w:pPr>
        <w:ind w:left="3600" w:hanging="360"/>
      </w:pPr>
      <w:rPr>
        <w:rFonts w:ascii="Courier New" w:hAnsi="Courier New" w:hint="default"/>
      </w:rPr>
    </w:lvl>
    <w:lvl w:ilvl="5" w:tplc="9BFE072A">
      <w:start w:val="1"/>
      <w:numFmt w:val="bullet"/>
      <w:lvlText w:val=""/>
      <w:lvlJc w:val="left"/>
      <w:pPr>
        <w:ind w:left="4320" w:hanging="360"/>
      </w:pPr>
      <w:rPr>
        <w:rFonts w:ascii="Wingdings" w:hAnsi="Wingdings" w:hint="default"/>
      </w:rPr>
    </w:lvl>
    <w:lvl w:ilvl="6" w:tplc="303CBB9A">
      <w:start w:val="1"/>
      <w:numFmt w:val="bullet"/>
      <w:lvlText w:val=""/>
      <w:lvlJc w:val="left"/>
      <w:pPr>
        <w:ind w:left="5040" w:hanging="360"/>
      </w:pPr>
      <w:rPr>
        <w:rFonts w:ascii="Symbol" w:hAnsi="Symbol" w:hint="default"/>
      </w:rPr>
    </w:lvl>
    <w:lvl w:ilvl="7" w:tplc="8A4AE152">
      <w:start w:val="1"/>
      <w:numFmt w:val="bullet"/>
      <w:lvlText w:val="o"/>
      <w:lvlJc w:val="left"/>
      <w:pPr>
        <w:ind w:left="5760" w:hanging="360"/>
      </w:pPr>
      <w:rPr>
        <w:rFonts w:ascii="Courier New" w:hAnsi="Courier New" w:hint="default"/>
      </w:rPr>
    </w:lvl>
    <w:lvl w:ilvl="8" w:tplc="831EA954">
      <w:start w:val="1"/>
      <w:numFmt w:val="bullet"/>
      <w:lvlText w:val=""/>
      <w:lvlJc w:val="left"/>
      <w:pPr>
        <w:ind w:left="6480" w:hanging="360"/>
      </w:pPr>
      <w:rPr>
        <w:rFonts w:ascii="Wingdings" w:hAnsi="Wingdings" w:hint="default"/>
      </w:rPr>
    </w:lvl>
  </w:abstractNum>
  <w:abstractNum w:abstractNumId="236" w15:restartNumberingAfterBreak="0">
    <w:nsid w:val="7E8C1A0B"/>
    <w:multiLevelType w:val="multilevel"/>
    <w:tmpl w:val="77A4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F606C80"/>
    <w:multiLevelType w:val="hybridMultilevel"/>
    <w:tmpl w:val="33EAE95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8" w15:restartNumberingAfterBreak="0">
    <w:nsid w:val="7F9A1E0A"/>
    <w:multiLevelType w:val="hybridMultilevel"/>
    <w:tmpl w:val="880E2464"/>
    <w:lvl w:ilvl="0" w:tplc="CFDA5974">
      <w:start w:val="11"/>
      <w:numFmt w:val="bullet"/>
      <w:lvlText w:val="-"/>
      <w:lvlJc w:val="left"/>
      <w:pPr>
        <w:ind w:left="3076" w:hanging="360"/>
      </w:pPr>
      <w:rPr>
        <w:rFonts w:ascii="Times New Roman" w:eastAsiaTheme="minorHAnsi" w:hAnsi="Times New Roman" w:cs="Times New Roman" w:hint="default"/>
      </w:rPr>
    </w:lvl>
    <w:lvl w:ilvl="1" w:tplc="08090003" w:tentative="1">
      <w:start w:val="1"/>
      <w:numFmt w:val="bullet"/>
      <w:lvlText w:val="o"/>
      <w:lvlJc w:val="left"/>
      <w:pPr>
        <w:ind w:left="3796" w:hanging="360"/>
      </w:pPr>
      <w:rPr>
        <w:rFonts w:ascii="Courier New" w:hAnsi="Courier New" w:cs="Courier New" w:hint="default"/>
      </w:rPr>
    </w:lvl>
    <w:lvl w:ilvl="2" w:tplc="08090005" w:tentative="1">
      <w:start w:val="1"/>
      <w:numFmt w:val="bullet"/>
      <w:lvlText w:val=""/>
      <w:lvlJc w:val="left"/>
      <w:pPr>
        <w:ind w:left="4516" w:hanging="360"/>
      </w:pPr>
      <w:rPr>
        <w:rFonts w:ascii="Wingdings" w:hAnsi="Wingdings" w:hint="default"/>
      </w:rPr>
    </w:lvl>
    <w:lvl w:ilvl="3" w:tplc="08090001" w:tentative="1">
      <w:start w:val="1"/>
      <w:numFmt w:val="bullet"/>
      <w:lvlText w:val=""/>
      <w:lvlJc w:val="left"/>
      <w:pPr>
        <w:ind w:left="5236" w:hanging="360"/>
      </w:pPr>
      <w:rPr>
        <w:rFonts w:ascii="Symbol" w:hAnsi="Symbol" w:hint="default"/>
      </w:rPr>
    </w:lvl>
    <w:lvl w:ilvl="4" w:tplc="08090003" w:tentative="1">
      <w:start w:val="1"/>
      <w:numFmt w:val="bullet"/>
      <w:lvlText w:val="o"/>
      <w:lvlJc w:val="left"/>
      <w:pPr>
        <w:ind w:left="5956" w:hanging="360"/>
      </w:pPr>
      <w:rPr>
        <w:rFonts w:ascii="Courier New" w:hAnsi="Courier New" w:cs="Courier New" w:hint="default"/>
      </w:rPr>
    </w:lvl>
    <w:lvl w:ilvl="5" w:tplc="08090005" w:tentative="1">
      <w:start w:val="1"/>
      <w:numFmt w:val="bullet"/>
      <w:lvlText w:val=""/>
      <w:lvlJc w:val="left"/>
      <w:pPr>
        <w:ind w:left="6676" w:hanging="360"/>
      </w:pPr>
      <w:rPr>
        <w:rFonts w:ascii="Wingdings" w:hAnsi="Wingdings" w:hint="default"/>
      </w:rPr>
    </w:lvl>
    <w:lvl w:ilvl="6" w:tplc="08090001" w:tentative="1">
      <w:start w:val="1"/>
      <w:numFmt w:val="bullet"/>
      <w:lvlText w:val=""/>
      <w:lvlJc w:val="left"/>
      <w:pPr>
        <w:ind w:left="7396" w:hanging="360"/>
      </w:pPr>
      <w:rPr>
        <w:rFonts w:ascii="Symbol" w:hAnsi="Symbol" w:hint="default"/>
      </w:rPr>
    </w:lvl>
    <w:lvl w:ilvl="7" w:tplc="08090003" w:tentative="1">
      <w:start w:val="1"/>
      <w:numFmt w:val="bullet"/>
      <w:lvlText w:val="o"/>
      <w:lvlJc w:val="left"/>
      <w:pPr>
        <w:ind w:left="8116" w:hanging="360"/>
      </w:pPr>
      <w:rPr>
        <w:rFonts w:ascii="Courier New" w:hAnsi="Courier New" w:cs="Courier New" w:hint="default"/>
      </w:rPr>
    </w:lvl>
    <w:lvl w:ilvl="8" w:tplc="08090005" w:tentative="1">
      <w:start w:val="1"/>
      <w:numFmt w:val="bullet"/>
      <w:lvlText w:val=""/>
      <w:lvlJc w:val="left"/>
      <w:pPr>
        <w:ind w:left="8836" w:hanging="360"/>
      </w:pPr>
      <w:rPr>
        <w:rFonts w:ascii="Wingdings" w:hAnsi="Wingdings" w:hint="default"/>
      </w:rPr>
    </w:lvl>
  </w:abstractNum>
  <w:abstractNum w:abstractNumId="239" w15:restartNumberingAfterBreak="0">
    <w:nsid w:val="7FC958C4"/>
    <w:multiLevelType w:val="hybridMultilevel"/>
    <w:tmpl w:val="A148B836"/>
    <w:lvl w:ilvl="0" w:tplc="98FECDB2">
      <w:start w:val="1"/>
      <w:numFmt w:val="lowerLetter"/>
      <w:lvlText w:val="%1."/>
      <w:lvlJc w:val="left"/>
      <w:pPr>
        <w:ind w:left="720" w:hanging="360"/>
      </w:pPr>
    </w:lvl>
    <w:lvl w:ilvl="1" w:tplc="BD0053B6">
      <w:start w:val="1"/>
      <w:numFmt w:val="lowerLetter"/>
      <w:lvlText w:val="%2."/>
      <w:lvlJc w:val="left"/>
      <w:pPr>
        <w:ind w:left="1440" w:hanging="360"/>
      </w:pPr>
    </w:lvl>
    <w:lvl w:ilvl="2" w:tplc="C9B83A8C">
      <w:start w:val="1"/>
      <w:numFmt w:val="lowerRoman"/>
      <w:lvlText w:val="%3."/>
      <w:lvlJc w:val="right"/>
      <w:pPr>
        <w:ind w:left="2160" w:hanging="180"/>
      </w:pPr>
    </w:lvl>
    <w:lvl w:ilvl="3" w:tplc="669E5AF8">
      <w:start w:val="1"/>
      <w:numFmt w:val="decimal"/>
      <w:lvlText w:val="%4."/>
      <w:lvlJc w:val="left"/>
      <w:pPr>
        <w:ind w:left="2880" w:hanging="360"/>
      </w:pPr>
    </w:lvl>
    <w:lvl w:ilvl="4" w:tplc="3C3421D8">
      <w:start w:val="1"/>
      <w:numFmt w:val="lowerLetter"/>
      <w:lvlText w:val="%5."/>
      <w:lvlJc w:val="left"/>
      <w:pPr>
        <w:ind w:left="3600" w:hanging="360"/>
      </w:pPr>
    </w:lvl>
    <w:lvl w:ilvl="5" w:tplc="BA049E60">
      <w:start w:val="1"/>
      <w:numFmt w:val="lowerRoman"/>
      <w:lvlText w:val="%6."/>
      <w:lvlJc w:val="right"/>
      <w:pPr>
        <w:ind w:left="4320" w:hanging="180"/>
      </w:pPr>
    </w:lvl>
    <w:lvl w:ilvl="6" w:tplc="4CFCD794">
      <w:start w:val="1"/>
      <w:numFmt w:val="decimal"/>
      <w:lvlText w:val="%7."/>
      <w:lvlJc w:val="left"/>
      <w:pPr>
        <w:ind w:left="5040" w:hanging="360"/>
      </w:pPr>
    </w:lvl>
    <w:lvl w:ilvl="7" w:tplc="D0AC10C6">
      <w:start w:val="1"/>
      <w:numFmt w:val="lowerLetter"/>
      <w:lvlText w:val="%8."/>
      <w:lvlJc w:val="left"/>
      <w:pPr>
        <w:ind w:left="5760" w:hanging="360"/>
      </w:pPr>
    </w:lvl>
    <w:lvl w:ilvl="8" w:tplc="D7D0D694">
      <w:start w:val="1"/>
      <w:numFmt w:val="lowerRoman"/>
      <w:lvlText w:val="%9."/>
      <w:lvlJc w:val="right"/>
      <w:pPr>
        <w:ind w:left="6480" w:hanging="180"/>
      </w:pPr>
    </w:lvl>
  </w:abstractNum>
  <w:num w:numId="1">
    <w:abstractNumId w:val="152"/>
  </w:num>
  <w:num w:numId="2">
    <w:abstractNumId w:val="189"/>
  </w:num>
  <w:num w:numId="3">
    <w:abstractNumId w:val="147"/>
  </w:num>
  <w:num w:numId="4">
    <w:abstractNumId w:val="194"/>
  </w:num>
  <w:num w:numId="5">
    <w:abstractNumId w:val="32"/>
  </w:num>
  <w:num w:numId="6">
    <w:abstractNumId w:val="198"/>
  </w:num>
  <w:num w:numId="7">
    <w:abstractNumId w:val="159"/>
  </w:num>
  <w:num w:numId="8">
    <w:abstractNumId w:val="77"/>
  </w:num>
  <w:num w:numId="9">
    <w:abstractNumId w:val="99"/>
  </w:num>
  <w:num w:numId="10">
    <w:abstractNumId w:val="50"/>
  </w:num>
  <w:num w:numId="11">
    <w:abstractNumId w:val="7"/>
  </w:num>
  <w:num w:numId="12">
    <w:abstractNumId w:val="5"/>
  </w:num>
  <w:num w:numId="13">
    <w:abstractNumId w:val="4"/>
  </w:num>
  <w:num w:numId="14">
    <w:abstractNumId w:val="3"/>
  </w:num>
  <w:num w:numId="15">
    <w:abstractNumId w:val="6"/>
  </w:num>
  <w:num w:numId="16">
    <w:abstractNumId w:val="2"/>
  </w:num>
  <w:num w:numId="17">
    <w:abstractNumId w:val="1"/>
  </w:num>
  <w:num w:numId="18">
    <w:abstractNumId w:val="0"/>
  </w:num>
  <w:num w:numId="19">
    <w:abstractNumId w:val="185"/>
  </w:num>
  <w:num w:numId="20">
    <w:abstractNumId w:val="137"/>
  </w:num>
  <w:num w:numId="21">
    <w:abstractNumId w:val="201"/>
  </w:num>
  <w:num w:numId="22">
    <w:abstractNumId w:val="97"/>
  </w:num>
  <w:num w:numId="23">
    <w:abstractNumId w:val="139"/>
  </w:num>
  <w:num w:numId="24">
    <w:abstractNumId w:val="53"/>
  </w:num>
  <w:num w:numId="25">
    <w:abstractNumId w:val="140"/>
  </w:num>
  <w:num w:numId="26">
    <w:abstractNumId w:val="178"/>
  </w:num>
  <w:num w:numId="27">
    <w:abstractNumId w:val="180"/>
  </w:num>
  <w:num w:numId="28">
    <w:abstractNumId w:val="96"/>
  </w:num>
  <w:num w:numId="29">
    <w:abstractNumId w:val="170"/>
  </w:num>
  <w:num w:numId="30">
    <w:abstractNumId w:val="231"/>
  </w:num>
  <w:num w:numId="31">
    <w:abstractNumId w:val="36"/>
  </w:num>
  <w:num w:numId="32">
    <w:abstractNumId w:val="206"/>
  </w:num>
  <w:num w:numId="33">
    <w:abstractNumId w:val="150"/>
  </w:num>
  <w:num w:numId="34">
    <w:abstractNumId w:val="66"/>
  </w:num>
  <w:num w:numId="35">
    <w:abstractNumId w:val="126"/>
  </w:num>
  <w:num w:numId="36">
    <w:abstractNumId w:val="108"/>
  </w:num>
  <w:num w:numId="37">
    <w:abstractNumId w:val="202"/>
  </w:num>
  <w:num w:numId="38">
    <w:abstractNumId w:val="9"/>
  </w:num>
  <w:num w:numId="39">
    <w:abstractNumId w:val="84"/>
  </w:num>
  <w:num w:numId="40">
    <w:abstractNumId w:val="209"/>
  </w:num>
  <w:num w:numId="41">
    <w:abstractNumId w:val="134"/>
  </w:num>
  <w:num w:numId="42">
    <w:abstractNumId w:val="103"/>
  </w:num>
  <w:num w:numId="43">
    <w:abstractNumId w:val="158"/>
  </w:num>
  <w:num w:numId="44">
    <w:abstractNumId w:val="214"/>
  </w:num>
  <w:num w:numId="45">
    <w:abstractNumId w:val="35"/>
  </w:num>
  <w:num w:numId="46">
    <w:abstractNumId w:val="111"/>
  </w:num>
  <w:num w:numId="47">
    <w:abstractNumId w:val="128"/>
  </w:num>
  <w:num w:numId="48">
    <w:abstractNumId w:val="86"/>
  </w:num>
  <w:num w:numId="49">
    <w:abstractNumId w:val="95"/>
  </w:num>
  <w:num w:numId="50">
    <w:abstractNumId w:val="22"/>
  </w:num>
  <w:num w:numId="51">
    <w:abstractNumId w:val="153"/>
  </w:num>
  <w:num w:numId="52">
    <w:abstractNumId w:val="174"/>
  </w:num>
  <w:num w:numId="53">
    <w:abstractNumId w:val="45"/>
  </w:num>
  <w:num w:numId="54">
    <w:abstractNumId w:val="21"/>
  </w:num>
  <w:num w:numId="55">
    <w:abstractNumId w:val="14"/>
  </w:num>
  <w:num w:numId="56">
    <w:abstractNumId w:val="98"/>
  </w:num>
  <w:num w:numId="57">
    <w:abstractNumId w:val="172"/>
  </w:num>
  <w:num w:numId="58">
    <w:abstractNumId w:val="85"/>
  </w:num>
  <w:num w:numId="59">
    <w:abstractNumId w:val="89"/>
  </w:num>
  <w:num w:numId="60">
    <w:abstractNumId w:val="52"/>
  </w:num>
  <w:num w:numId="61">
    <w:abstractNumId w:val="122"/>
  </w:num>
  <w:num w:numId="62">
    <w:abstractNumId w:val="162"/>
  </w:num>
  <w:num w:numId="63">
    <w:abstractNumId w:val="8"/>
  </w:num>
  <w:num w:numId="64">
    <w:abstractNumId w:val="183"/>
  </w:num>
  <w:num w:numId="65">
    <w:abstractNumId w:val="62"/>
  </w:num>
  <w:num w:numId="66">
    <w:abstractNumId w:val="78"/>
  </w:num>
  <w:num w:numId="67">
    <w:abstractNumId w:val="146"/>
  </w:num>
  <w:num w:numId="68">
    <w:abstractNumId w:val="117"/>
  </w:num>
  <w:num w:numId="69">
    <w:abstractNumId w:val="186"/>
  </w:num>
  <w:num w:numId="70">
    <w:abstractNumId w:val="223"/>
  </w:num>
  <w:num w:numId="71">
    <w:abstractNumId w:val="107"/>
  </w:num>
  <w:num w:numId="7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7"/>
  </w:num>
  <w:num w:numId="74">
    <w:abstractNumId w:val="31"/>
  </w:num>
  <w:num w:numId="75">
    <w:abstractNumId w:val="37"/>
  </w:num>
  <w:num w:numId="76">
    <w:abstractNumId w:val="232"/>
  </w:num>
  <w:num w:numId="77">
    <w:abstractNumId w:val="18"/>
  </w:num>
  <w:num w:numId="78">
    <w:abstractNumId w:val="215"/>
  </w:num>
  <w:num w:numId="79">
    <w:abstractNumId w:val="114"/>
  </w:num>
  <w:num w:numId="80">
    <w:abstractNumId w:val="101"/>
  </w:num>
  <w:num w:numId="81">
    <w:abstractNumId w:val="151"/>
  </w:num>
  <w:num w:numId="82">
    <w:abstractNumId w:val="94"/>
  </w:num>
  <w:num w:numId="83">
    <w:abstractNumId w:val="30"/>
  </w:num>
  <w:num w:numId="84">
    <w:abstractNumId w:val="58"/>
  </w:num>
  <w:num w:numId="85">
    <w:abstractNumId w:val="191"/>
  </w:num>
  <w:num w:numId="86">
    <w:abstractNumId w:val="83"/>
  </w:num>
  <w:num w:numId="87">
    <w:abstractNumId w:val="225"/>
  </w:num>
  <w:num w:numId="88">
    <w:abstractNumId w:val="34"/>
  </w:num>
  <w:num w:numId="89">
    <w:abstractNumId w:val="205"/>
  </w:num>
  <w:num w:numId="90">
    <w:abstractNumId w:val="64"/>
  </w:num>
  <w:num w:numId="91">
    <w:abstractNumId w:val="175"/>
  </w:num>
  <w:num w:numId="92">
    <w:abstractNumId w:val="143"/>
  </w:num>
  <w:num w:numId="93">
    <w:abstractNumId w:val="124"/>
  </w:num>
  <w:num w:numId="94">
    <w:abstractNumId w:val="72"/>
  </w:num>
  <w:num w:numId="95">
    <w:abstractNumId w:val="130"/>
  </w:num>
  <w:num w:numId="96">
    <w:abstractNumId w:val="226"/>
  </w:num>
  <w:num w:numId="97">
    <w:abstractNumId w:val="26"/>
  </w:num>
  <w:num w:numId="98">
    <w:abstractNumId w:val="82"/>
  </w:num>
  <w:num w:numId="99">
    <w:abstractNumId w:val="28"/>
  </w:num>
  <w:num w:numId="100">
    <w:abstractNumId w:val="148"/>
  </w:num>
  <w:num w:numId="101">
    <w:abstractNumId w:val="113"/>
  </w:num>
  <w:num w:numId="102">
    <w:abstractNumId w:val="179"/>
  </w:num>
  <w:num w:numId="103">
    <w:abstractNumId w:val="29"/>
  </w:num>
  <w:num w:numId="104">
    <w:abstractNumId w:val="168"/>
  </w:num>
  <w:num w:numId="105">
    <w:abstractNumId w:val="20"/>
  </w:num>
  <w:num w:numId="106">
    <w:abstractNumId w:val="74"/>
  </w:num>
  <w:num w:numId="107">
    <w:abstractNumId w:val="121"/>
  </w:num>
  <w:num w:numId="108">
    <w:abstractNumId w:val="69"/>
  </w:num>
  <w:num w:numId="109">
    <w:abstractNumId w:val="149"/>
  </w:num>
  <w:num w:numId="110">
    <w:abstractNumId w:val="238"/>
  </w:num>
  <w:num w:numId="111">
    <w:abstractNumId w:val="165"/>
  </w:num>
  <w:num w:numId="112">
    <w:abstractNumId w:val="49"/>
  </w:num>
  <w:num w:numId="113">
    <w:abstractNumId w:val="220"/>
  </w:num>
  <w:num w:numId="114">
    <w:abstractNumId w:val="13"/>
  </w:num>
  <w:num w:numId="115">
    <w:abstractNumId w:val="184"/>
  </w:num>
  <w:num w:numId="116">
    <w:abstractNumId w:val="106"/>
  </w:num>
  <w:num w:numId="117">
    <w:abstractNumId w:val="41"/>
  </w:num>
  <w:num w:numId="118">
    <w:abstractNumId w:val="224"/>
  </w:num>
  <w:num w:numId="119">
    <w:abstractNumId w:val="47"/>
  </w:num>
  <w:num w:numId="120">
    <w:abstractNumId w:val="93"/>
  </w:num>
  <w:num w:numId="121">
    <w:abstractNumId w:val="233"/>
  </w:num>
  <w:num w:numId="122">
    <w:abstractNumId w:val="88"/>
  </w:num>
  <w:num w:numId="123">
    <w:abstractNumId w:val="145"/>
  </w:num>
  <w:num w:numId="124">
    <w:abstractNumId w:val="33"/>
  </w:num>
  <w:num w:numId="125">
    <w:abstractNumId w:val="40"/>
  </w:num>
  <w:num w:numId="126">
    <w:abstractNumId w:val="39"/>
  </w:num>
  <w:num w:numId="127">
    <w:abstractNumId w:val="60"/>
  </w:num>
  <w:num w:numId="128">
    <w:abstractNumId w:val="127"/>
  </w:num>
  <w:num w:numId="129">
    <w:abstractNumId w:val="10"/>
  </w:num>
  <w:num w:numId="130">
    <w:abstractNumId w:val="123"/>
  </w:num>
  <w:num w:numId="131">
    <w:abstractNumId w:val="132"/>
  </w:num>
  <w:num w:numId="132">
    <w:abstractNumId w:val="46"/>
  </w:num>
  <w:num w:numId="133">
    <w:abstractNumId w:val="207"/>
  </w:num>
  <w:num w:numId="134">
    <w:abstractNumId w:val="217"/>
  </w:num>
  <w:num w:numId="135">
    <w:abstractNumId w:val="196"/>
  </w:num>
  <w:num w:numId="136">
    <w:abstractNumId w:val="235"/>
  </w:num>
  <w:num w:numId="137">
    <w:abstractNumId w:val="138"/>
  </w:num>
  <w:num w:numId="138">
    <w:abstractNumId w:val="210"/>
  </w:num>
  <w:num w:numId="139">
    <w:abstractNumId w:val="91"/>
  </w:num>
  <w:num w:numId="140">
    <w:abstractNumId w:val="239"/>
  </w:num>
  <w:num w:numId="141">
    <w:abstractNumId w:val="51"/>
  </w:num>
  <w:num w:numId="142">
    <w:abstractNumId w:val="80"/>
  </w:num>
  <w:num w:numId="143">
    <w:abstractNumId w:val="67"/>
  </w:num>
  <w:num w:numId="144">
    <w:abstractNumId w:val="65"/>
  </w:num>
  <w:num w:numId="145">
    <w:abstractNumId w:val="120"/>
  </w:num>
  <w:num w:numId="146">
    <w:abstractNumId w:val="104"/>
  </w:num>
  <w:num w:numId="147">
    <w:abstractNumId w:val="48"/>
  </w:num>
  <w:num w:numId="148">
    <w:abstractNumId w:val="160"/>
  </w:num>
  <w:num w:numId="149">
    <w:abstractNumId w:val="228"/>
  </w:num>
  <w:num w:numId="150">
    <w:abstractNumId w:val="161"/>
  </w:num>
  <w:num w:numId="151">
    <w:abstractNumId w:val="71"/>
  </w:num>
  <w:num w:numId="152">
    <w:abstractNumId w:val="199"/>
  </w:num>
  <w:num w:numId="153">
    <w:abstractNumId w:val="110"/>
  </w:num>
  <w:num w:numId="154">
    <w:abstractNumId w:val="44"/>
  </w:num>
  <w:num w:numId="155">
    <w:abstractNumId w:val="211"/>
  </w:num>
  <w:num w:numId="156">
    <w:abstractNumId w:val="102"/>
  </w:num>
  <w:num w:numId="157">
    <w:abstractNumId w:val="237"/>
  </w:num>
  <w:num w:numId="158">
    <w:abstractNumId w:val="163"/>
  </w:num>
  <w:num w:numId="159">
    <w:abstractNumId w:val="24"/>
  </w:num>
  <w:num w:numId="160">
    <w:abstractNumId w:val="73"/>
  </w:num>
  <w:num w:numId="161">
    <w:abstractNumId w:val="56"/>
  </w:num>
  <w:num w:numId="162">
    <w:abstractNumId w:val="156"/>
  </w:num>
  <w:num w:numId="163">
    <w:abstractNumId w:val="105"/>
  </w:num>
  <w:num w:numId="164">
    <w:abstractNumId w:val="118"/>
  </w:num>
  <w:num w:numId="1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6"/>
  </w:num>
  <w:num w:numId="168">
    <w:abstractNumId w:val="68"/>
  </w:num>
  <w:num w:numId="169">
    <w:abstractNumId w:val="55"/>
  </w:num>
  <w:num w:numId="170">
    <w:abstractNumId w:val="154"/>
  </w:num>
  <w:num w:numId="171">
    <w:abstractNumId w:val="92"/>
  </w:num>
  <w:num w:numId="172">
    <w:abstractNumId w:val="229"/>
  </w:num>
  <w:num w:numId="173">
    <w:abstractNumId w:val="219"/>
  </w:num>
  <w:num w:numId="174">
    <w:abstractNumId w:val="176"/>
  </w:num>
  <w:num w:numId="175">
    <w:abstractNumId w:val="100"/>
  </w:num>
  <w:num w:numId="176">
    <w:abstractNumId w:val="230"/>
  </w:num>
  <w:num w:numId="177">
    <w:abstractNumId w:val="16"/>
  </w:num>
  <w:num w:numId="178">
    <w:abstractNumId w:val="131"/>
  </w:num>
  <w:num w:numId="179">
    <w:abstractNumId w:val="109"/>
  </w:num>
  <w:num w:numId="180">
    <w:abstractNumId w:val="192"/>
  </w:num>
  <w:num w:numId="181">
    <w:abstractNumId w:val="221"/>
  </w:num>
  <w:num w:numId="182">
    <w:abstractNumId w:val="17"/>
  </w:num>
  <w:num w:numId="183">
    <w:abstractNumId w:val="234"/>
  </w:num>
  <w:num w:numId="184">
    <w:abstractNumId w:val="164"/>
  </w:num>
  <w:num w:numId="185">
    <w:abstractNumId w:val="171"/>
  </w:num>
  <w:num w:numId="186">
    <w:abstractNumId w:val="190"/>
  </w:num>
  <w:num w:numId="187">
    <w:abstractNumId w:val="136"/>
  </w:num>
  <w:num w:numId="188">
    <w:abstractNumId w:val="79"/>
  </w:num>
  <w:num w:numId="189">
    <w:abstractNumId w:val="115"/>
  </w:num>
  <w:num w:numId="190">
    <w:abstractNumId w:val="119"/>
  </w:num>
  <w:num w:numId="191">
    <w:abstractNumId w:val="203"/>
  </w:num>
  <w:num w:numId="192">
    <w:abstractNumId w:val="144"/>
  </w:num>
  <w:num w:numId="193">
    <w:abstractNumId w:val="90"/>
  </w:num>
  <w:num w:numId="194">
    <w:abstractNumId w:val="135"/>
  </w:num>
  <w:num w:numId="195">
    <w:abstractNumId w:val="218"/>
  </w:num>
  <w:num w:numId="196">
    <w:abstractNumId w:val="43"/>
  </w:num>
  <w:num w:numId="197">
    <w:abstractNumId w:val="19"/>
  </w:num>
  <w:num w:numId="198">
    <w:abstractNumId w:val="188"/>
  </w:num>
  <w:num w:numId="199">
    <w:abstractNumId w:val="63"/>
  </w:num>
  <w:num w:numId="200">
    <w:abstractNumId w:val="42"/>
  </w:num>
  <w:num w:numId="201">
    <w:abstractNumId w:val="125"/>
  </w:num>
  <w:num w:numId="202">
    <w:abstractNumId w:val="212"/>
  </w:num>
  <w:num w:numId="203">
    <w:abstractNumId w:val="57"/>
  </w:num>
  <w:num w:numId="204">
    <w:abstractNumId w:val="87"/>
  </w:num>
  <w:num w:numId="205">
    <w:abstractNumId w:val="193"/>
  </w:num>
  <w:num w:numId="206">
    <w:abstractNumId w:val="155"/>
  </w:num>
  <w:num w:numId="207">
    <w:abstractNumId w:val="25"/>
  </w:num>
  <w:num w:numId="208">
    <w:abstractNumId w:val="116"/>
  </w:num>
  <w:num w:numId="209">
    <w:abstractNumId w:val="142"/>
  </w:num>
  <w:num w:numId="210">
    <w:abstractNumId w:val="11"/>
  </w:num>
  <w:num w:numId="211">
    <w:abstractNumId w:val="216"/>
  </w:num>
  <w:num w:numId="212">
    <w:abstractNumId w:val="173"/>
  </w:num>
  <w:num w:numId="213">
    <w:abstractNumId w:val="169"/>
  </w:num>
  <w:num w:numId="214">
    <w:abstractNumId w:val="27"/>
  </w:num>
  <w:num w:numId="215">
    <w:abstractNumId w:val="38"/>
  </w:num>
  <w:num w:numId="216">
    <w:abstractNumId w:val="200"/>
  </w:num>
  <w:num w:numId="217">
    <w:abstractNumId w:val="195"/>
  </w:num>
  <w:num w:numId="218">
    <w:abstractNumId w:val="166"/>
  </w:num>
  <w:num w:numId="219">
    <w:abstractNumId w:val="187"/>
  </w:num>
  <w:num w:numId="220">
    <w:abstractNumId w:val="222"/>
  </w:num>
  <w:num w:numId="221">
    <w:abstractNumId w:val="167"/>
  </w:num>
  <w:num w:numId="222">
    <w:abstractNumId w:val="141"/>
  </w:num>
  <w:num w:numId="223">
    <w:abstractNumId w:val="70"/>
  </w:num>
  <w:num w:numId="224">
    <w:abstractNumId w:val="204"/>
  </w:num>
  <w:num w:numId="225">
    <w:abstractNumId w:val="61"/>
  </w:num>
  <w:num w:numId="226">
    <w:abstractNumId w:val="182"/>
  </w:num>
  <w:num w:numId="227">
    <w:abstractNumId w:val="157"/>
  </w:num>
  <w:num w:numId="228">
    <w:abstractNumId w:val="15"/>
  </w:num>
  <w:num w:numId="229">
    <w:abstractNumId w:val="81"/>
  </w:num>
  <w:num w:numId="230">
    <w:abstractNumId w:val="208"/>
  </w:num>
  <w:num w:numId="231">
    <w:abstractNumId w:val="54"/>
  </w:num>
  <w:num w:numId="23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2"/>
  </w:num>
  <w:num w:numId="235">
    <w:abstractNumId w:val="177"/>
  </w:num>
  <w:num w:numId="236">
    <w:abstractNumId w:val="236"/>
  </w:num>
  <w:num w:numId="237">
    <w:abstractNumId w:val="23"/>
  </w:num>
  <w:num w:numId="238">
    <w:abstractNumId w:val="181"/>
  </w:num>
  <w:num w:numId="239">
    <w:abstractNumId w:val="197"/>
  </w:num>
  <w:num w:numId="240">
    <w:abstractNumId w:val="12"/>
  </w:num>
  <w:num w:numId="241">
    <w:abstractNumId w:val="213"/>
  </w:num>
  <w:num w:numId="242">
    <w:abstractNumId w:val="59"/>
  </w:num>
  <w:num w:numId="243">
    <w:abstractNumId w:val="75"/>
  </w:num>
  <w:num w:numId="244">
    <w:abstractNumId w:val="194"/>
  </w:num>
  <w:num w:numId="245">
    <w:abstractNumId w:val="194"/>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la"/>
    <w:docVar w:name="LW_ANNEX_NBR_FIRST" w:val="1"/>
    <w:docVar w:name="LW_ANNEX_NBR_LAST" w:val="1"/>
    <w:docVar w:name="LW_ANNEX_UNIQUE" w:val="1"/>
    <w:docVar w:name="LW_CORRIGENDUM" w:val="&lt;UNUSED&gt;"/>
    <w:docVar w:name="LW_COVERPAGE_EXISTS" w:val="True"/>
    <w:docVar w:name="LW_COVERPAGE_GUID" w:val="1033FDBF-6EAF-4D43-AD8D-7CC97DF1912B"/>
    <w:docVar w:name="LW_COVERPAGE_TYPE" w:val="1"/>
    <w:docVar w:name="LW_CROSSREFERENCE" w:val="{SWD(2023) 382 final}"/>
    <w:docVar w:name="LW_DocType" w:val="NORMAL"/>
    <w:docVar w:name="LW_EMISSION" w:val="21.11.2023"/>
    <w:docVar w:name="LW_EMISSION_ISODATE" w:val="2023-11-21"/>
    <w:docVar w:name="LW_EMISSION_LOCATION" w:val="BRX"/>
    <w:docVar w:name="LW_EMISSION_PREFIX" w:val="Bruxelles, "/>
    <w:docVar w:name="LW_EMISSION_SUFFIX" w:val=" "/>
    <w:docVar w:name="LW_ID_DOCTYPE_NONLW" w:val="CP-036"/>
    <w:docVar w:name="LW_LANGUE" w:val="RO"/>
    <w:docVar w:name="LW_LEVEL_OF_SENSITIVITY" w:val="Standard treatment"/>
    <w:docVar w:name="LW_NOM.INST" w:val="COMISIA EUROPEAN\u258?"/>
    <w:docVar w:name="LW_NOM.INST_JOINTDOC" w:val="&lt;EMPTY&gt;"/>
    <w:docVar w:name="LW_OBJETACTEPRINCIPAL.CP" w:val="de modificare a Deciziei de punere în aplicare (UE) (ST 12319/2021, ST 12319/2021 ADD 1) din 29 octombrie 2021 de aprobare a evaluării planului de redresare și reziliență al României"/>
    <w:docVar w:name="LW_PART_NBR" w:val="1"/>
    <w:docVar w:name="LW_PART_NBR_TOTAL" w:val="1"/>
    <w:docVar w:name="LW_REF.INST.NEW" w:val="COM"/>
    <w:docVar w:name="LW_REF.INST.NEW_ADOPTED" w:val="final"/>
    <w:docVar w:name="LW_REF.INST.NEW_TEXT" w:val="(2023) 7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EXĂ_x000b_"/>
    <w:docVar w:name="LW_TYPEACTEPRINCIPAL.CP" w:val="Propunerea de DECIZIE DE PUNERE ÎN APLICARE A CONSILIULUI"/>
    <w:docVar w:name="LwApiVersions" w:val="LW4CoDe 1.23.2.0; LW 8.0, Build 20211117"/>
  </w:docVars>
  <w:rsids>
    <w:rsidRoot w:val="007B1C1A"/>
    <w:rsid w:val="000001BD"/>
    <w:rsid w:val="00000948"/>
    <w:rsid w:val="00003BE1"/>
    <w:rsid w:val="00003D5F"/>
    <w:rsid w:val="000048C5"/>
    <w:rsid w:val="00005722"/>
    <w:rsid w:val="00007AD3"/>
    <w:rsid w:val="00007D2F"/>
    <w:rsid w:val="00010697"/>
    <w:rsid w:val="000144B9"/>
    <w:rsid w:val="000151C7"/>
    <w:rsid w:val="000158C0"/>
    <w:rsid w:val="00015A6B"/>
    <w:rsid w:val="0001690D"/>
    <w:rsid w:val="00016D88"/>
    <w:rsid w:val="00017966"/>
    <w:rsid w:val="00020085"/>
    <w:rsid w:val="00020AE8"/>
    <w:rsid w:val="000252B4"/>
    <w:rsid w:val="0002593D"/>
    <w:rsid w:val="000267B8"/>
    <w:rsid w:val="00030132"/>
    <w:rsid w:val="00030D18"/>
    <w:rsid w:val="00031234"/>
    <w:rsid w:val="000327FA"/>
    <w:rsid w:val="00032BD7"/>
    <w:rsid w:val="00033499"/>
    <w:rsid w:val="00033DE4"/>
    <w:rsid w:val="00034674"/>
    <w:rsid w:val="00035625"/>
    <w:rsid w:val="00037780"/>
    <w:rsid w:val="00037B95"/>
    <w:rsid w:val="00040E70"/>
    <w:rsid w:val="00041300"/>
    <w:rsid w:val="00042ADA"/>
    <w:rsid w:val="00042FE3"/>
    <w:rsid w:val="00043383"/>
    <w:rsid w:val="000440D3"/>
    <w:rsid w:val="000440E8"/>
    <w:rsid w:val="00044DA5"/>
    <w:rsid w:val="00046763"/>
    <w:rsid w:val="00046C20"/>
    <w:rsid w:val="00047D56"/>
    <w:rsid w:val="00050212"/>
    <w:rsid w:val="000504FB"/>
    <w:rsid w:val="00050D33"/>
    <w:rsid w:val="00051D7D"/>
    <w:rsid w:val="000526CF"/>
    <w:rsid w:val="00052A83"/>
    <w:rsid w:val="0005402B"/>
    <w:rsid w:val="00054D80"/>
    <w:rsid w:val="00054E19"/>
    <w:rsid w:val="0005508F"/>
    <w:rsid w:val="0005566B"/>
    <w:rsid w:val="00056579"/>
    <w:rsid w:val="0006008C"/>
    <w:rsid w:val="000605E8"/>
    <w:rsid w:val="00060B2D"/>
    <w:rsid w:val="00061060"/>
    <w:rsid w:val="00061CC7"/>
    <w:rsid w:val="00061E3F"/>
    <w:rsid w:val="000621F9"/>
    <w:rsid w:val="00062622"/>
    <w:rsid w:val="0006268E"/>
    <w:rsid w:val="00062EFB"/>
    <w:rsid w:val="000643F4"/>
    <w:rsid w:val="000652B8"/>
    <w:rsid w:val="00065E0D"/>
    <w:rsid w:val="00067D3B"/>
    <w:rsid w:val="000706B3"/>
    <w:rsid w:val="00070A3F"/>
    <w:rsid w:val="0007200A"/>
    <w:rsid w:val="00074995"/>
    <w:rsid w:val="0007594E"/>
    <w:rsid w:val="00075DC5"/>
    <w:rsid w:val="00076880"/>
    <w:rsid w:val="000772BF"/>
    <w:rsid w:val="00080267"/>
    <w:rsid w:val="00080502"/>
    <w:rsid w:val="0008097B"/>
    <w:rsid w:val="00080D54"/>
    <w:rsid w:val="00082FA2"/>
    <w:rsid w:val="0008329B"/>
    <w:rsid w:val="00083B13"/>
    <w:rsid w:val="00083EC6"/>
    <w:rsid w:val="000846B6"/>
    <w:rsid w:val="00085202"/>
    <w:rsid w:val="0008521A"/>
    <w:rsid w:val="00086685"/>
    <w:rsid w:val="00087264"/>
    <w:rsid w:val="00090036"/>
    <w:rsid w:val="00090810"/>
    <w:rsid w:val="0009095E"/>
    <w:rsid w:val="00092501"/>
    <w:rsid w:val="00093B2E"/>
    <w:rsid w:val="000944FD"/>
    <w:rsid w:val="00094DC0"/>
    <w:rsid w:val="00094EBB"/>
    <w:rsid w:val="00096061"/>
    <w:rsid w:val="000963F6"/>
    <w:rsid w:val="00097D33"/>
    <w:rsid w:val="00097DC1"/>
    <w:rsid w:val="00097E09"/>
    <w:rsid w:val="000A0989"/>
    <w:rsid w:val="000A20C7"/>
    <w:rsid w:val="000A27B3"/>
    <w:rsid w:val="000A2A6F"/>
    <w:rsid w:val="000A3ABC"/>
    <w:rsid w:val="000A5351"/>
    <w:rsid w:val="000A564F"/>
    <w:rsid w:val="000A5F95"/>
    <w:rsid w:val="000A6F5E"/>
    <w:rsid w:val="000A7218"/>
    <w:rsid w:val="000A7481"/>
    <w:rsid w:val="000A7967"/>
    <w:rsid w:val="000A7980"/>
    <w:rsid w:val="000A7E2A"/>
    <w:rsid w:val="000B07B7"/>
    <w:rsid w:val="000B1655"/>
    <w:rsid w:val="000B43A8"/>
    <w:rsid w:val="000B6C23"/>
    <w:rsid w:val="000B7784"/>
    <w:rsid w:val="000B7E1A"/>
    <w:rsid w:val="000C081D"/>
    <w:rsid w:val="000C0A49"/>
    <w:rsid w:val="000C13A2"/>
    <w:rsid w:val="000C1772"/>
    <w:rsid w:val="000C210E"/>
    <w:rsid w:val="000C2BE7"/>
    <w:rsid w:val="000C32EC"/>
    <w:rsid w:val="000C353F"/>
    <w:rsid w:val="000C3629"/>
    <w:rsid w:val="000C3AC3"/>
    <w:rsid w:val="000C5E18"/>
    <w:rsid w:val="000D0A74"/>
    <w:rsid w:val="000D15BF"/>
    <w:rsid w:val="000D1A77"/>
    <w:rsid w:val="000D1EF5"/>
    <w:rsid w:val="000D4EE2"/>
    <w:rsid w:val="000D581F"/>
    <w:rsid w:val="000D5A37"/>
    <w:rsid w:val="000D60AB"/>
    <w:rsid w:val="000E090A"/>
    <w:rsid w:val="000E1039"/>
    <w:rsid w:val="000E2B73"/>
    <w:rsid w:val="000E35DA"/>
    <w:rsid w:val="000E39C4"/>
    <w:rsid w:val="000E5C19"/>
    <w:rsid w:val="000E5D9A"/>
    <w:rsid w:val="000E5FA2"/>
    <w:rsid w:val="000E6BA7"/>
    <w:rsid w:val="000E6BCF"/>
    <w:rsid w:val="000E75D0"/>
    <w:rsid w:val="000F0CC7"/>
    <w:rsid w:val="000F0E82"/>
    <w:rsid w:val="000F1841"/>
    <w:rsid w:val="000F1E2C"/>
    <w:rsid w:val="000F27AF"/>
    <w:rsid w:val="000F308B"/>
    <w:rsid w:val="000F3686"/>
    <w:rsid w:val="000F4119"/>
    <w:rsid w:val="000F59CD"/>
    <w:rsid w:val="000F7A68"/>
    <w:rsid w:val="00100975"/>
    <w:rsid w:val="00102344"/>
    <w:rsid w:val="00102475"/>
    <w:rsid w:val="00102A45"/>
    <w:rsid w:val="00103556"/>
    <w:rsid w:val="00104CC2"/>
    <w:rsid w:val="00107348"/>
    <w:rsid w:val="00107DAF"/>
    <w:rsid w:val="00107F48"/>
    <w:rsid w:val="00110C26"/>
    <w:rsid w:val="00111197"/>
    <w:rsid w:val="00111762"/>
    <w:rsid w:val="0011187E"/>
    <w:rsid w:val="0011194D"/>
    <w:rsid w:val="001133C1"/>
    <w:rsid w:val="00115000"/>
    <w:rsid w:val="00116C84"/>
    <w:rsid w:val="00117F08"/>
    <w:rsid w:val="0012161A"/>
    <w:rsid w:val="00121A30"/>
    <w:rsid w:val="00121C92"/>
    <w:rsid w:val="00121D46"/>
    <w:rsid w:val="0012215C"/>
    <w:rsid w:val="00122D6D"/>
    <w:rsid w:val="0012380D"/>
    <w:rsid w:val="00124CD2"/>
    <w:rsid w:val="00125040"/>
    <w:rsid w:val="00125721"/>
    <w:rsid w:val="001262B0"/>
    <w:rsid w:val="00126467"/>
    <w:rsid w:val="00130427"/>
    <w:rsid w:val="00131FB1"/>
    <w:rsid w:val="001320E2"/>
    <w:rsid w:val="00132BCB"/>
    <w:rsid w:val="001346C2"/>
    <w:rsid w:val="00135D2A"/>
    <w:rsid w:val="00136684"/>
    <w:rsid w:val="00137017"/>
    <w:rsid w:val="0013757B"/>
    <w:rsid w:val="00140583"/>
    <w:rsid w:val="00140CD4"/>
    <w:rsid w:val="0014178F"/>
    <w:rsid w:val="00141F05"/>
    <w:rsid w:val="00142E94"/>
    <w:rsid w:val="001445D8"/>
    <w:rsid w:val="00144E20"/>
    <w:rsid w:val="001459AD"/>
    <w:rsid w:val="00146685"/>
    <w:rsid w:val="001470F2"/>
    <w:rsid w:val="00147C43"/>
    <w:rsid w:val="00151654"/>
    <w:rsid w:val="0015262C"/>
    <w:rsid w:val="0015393F"/>
    <w:rsid w:val="00153B84"/>
    <w:rsid w:val="00154DF2"/>
    <w:rsid w:val="00155587"/>
    <w:rsid w:val="00156386"/>
    <w:rsid w:val="00156B52"/>
    <w:rsid w:val="00156C4F"/>
    <w:rsid w:val="00160BAC"/>
    <w:rsid w:val="00161D9B"/>
    <w:rsid w:val="001660C3"/>
    <w:rsid w:val="00166165"/>
    <w:rsid w:val="00166183"/>
    <w:rsid w:val="001665AC"/>
    <w:rsid w:val="00166814"/>
    <w:rsid w:val="00167FF1"/>
    <w:rsid w:val="0017118E"/>
    <w:rsid w:val="00171193"/>
    <w:rsid w:val="0017122D"/>
    <w:rsid w:val="0017309B"/>
    <w:rsid w:val="00174990"/>
    <w:rsid w:val="00175B1B"/>
    <w:rsid w:val="00175F8E"/>
    <w:rsid w:val="0017694D"/>
    <w:rsid w:val="00180DC9"/>
    <w:rsid w:val="00181D63"/>
    <w:rsid w:val="00181E3E"/>
    <w:rsid w:val="00182052"/>
    <w:rsid w:val="00182A3A"/>
    <w:rsid w:val="00182E65"/>
    <w:rsid w:val="00183909"/>
    <w:rsid w:val="0018609A"/>
    <w:rsid w:val="00186F53"/>
    <w:rsid w:val="00192F91"/>
    <w:rsid w:val="00193014"/>
    <w:rsid w:val="00193D90"/>
    <w:rsid w:val="00194763"/>
    <w:rsid w:val="001947FB"/>
    <w:rsid w:val="00194903"/>
    <w:rsid w:val="00194CFE"/>
    <w:rsid w:val="00196A83"/>
    <w:rsid w:val="001970FA"/>
    <w:rsid w:val="001A05B1"/>
    <w:rsid w:val="001A31BE"/>
    <w:rsid w:val="001A3B87"/>
    <w:rsid w:val="001A3EE7"/>
    <w:rsid w:val="001A42A3"/>
    <w:rsid w:val="001A4411"/>
    <w:rsid w:val="001A489C"/>
    <w:rsid w:val="001A5CBC"/>
    <w:rsid w:val="001A6996"/>
    <w:rsid w:val="001A6FD8"/>
    <w:rsid w:val="001A78E4"/>
    <w:rsid w:val="001A7D88"/>
    <w:rsid w:val="001B0875"/>
    <w:rsid w:val="001B09E7"/>
    <w:rsid w:val="001B0C71"/>
    <w:rsid w:val="001B1512"/>
    <w:rsid w:val="001B1BCE"/>
    <w:rsid w:val="001B2A46"/>
    <w:rsid w:val="001B3739"/>
    <w:rsid w:val="001B3E85"/>
    <w:rsid w:val="001B40BA"/>
    <w:rsid w:val="001B4380"/>
    <w:rsid w:val="001B4D32"/>
    <w:rsid w:val="001B79F3"/>
    <w:rsid w:val="001B7C50"/>
    <w:rsid w:val="001C1122"/>
    <w:rsid w:val="001C1395"/>
    <w:rsid w:val="001C1AC6"/>
    <w:rsid w:val="001C234D"/>
    <w:rsid w:val="001C2803"/>
    <w:rsid w:val="001C30BF"/>
    <w:rsid w:val="001C314F"/>
    <w:rsid w:val="001C3165"/>
    <w:rsid w:val="001C3182"/>
    <w:rsid w:val="001C33F0"/>
    <w:rsid w:val="001C40C4"/>
    <w:rsid w:val="001D1231"/>
    <w:rsid w:val="001D13D0"/>
    <w:rsid w:val="001D158C"/>
    <w:rsid w:val="001D22F3"/>
    <w:rsid w:val="001D247A"/>
    <w:rsid w:val="001D2651"/>
    <w:rsid w:val="001D2C55"/>
    <w:rsid w:val="001D33B3"/>
    <w:rsid w:val="001D3C10"/>
    <w:rsid w:val="001D519B"/>
    <w:rsid w:val="001D5DAF"/>
    <w:rsid w:val="001D6BFD"/>
    <w:rsid w:val="001E08A9"/>
    <w:rsid w:val="001E0FE5"/>
    <w:rsid w:val="001E3010"/>
    <w:rsid w:val="001E3F63"/>
    <w:rsid w:val="001E4096"/>
    <w:rsid w:val="001E4775"/>
    <w:rsid w:val="001E56E0"/>
    <w:rsid w:val="001E6442"/>
    <w:rsid w:val="001E7057"/>
    <w:rsid w:val="001F0FC8"/>
    <w:rsid w:val="001F1FA0"/>
    <w:rsid w:val="001F2525"/>
    <w:rsid w:val="001F2A79"/>
    <w:rsid w:val="001F33B4"/>
    <w:rsid w:val="001F3BF9"/>
    <w:rsid w:val="001F3E2C"/>
    <w:rsid w:val="001F458C"/>
    <w:rsid w:val="001F4BBB"/>
    <w:rsid w:val="001F4E70"/>
    <w:rsid w:val="002011A5"/>
    <w:rsid w:val="00201454"/>
    <w:rsid w:val="002018E0"/>
    <w:rsid w:val="002020B5"/>
    <w:rsid w:val="002023A9"/>
    <w:rsid w:val="00203284"/>
    <w:rsid w:val="002041FA"/>
    <w:rsid w:val="00205540"/>
    <w:rsid w:val="00205889"/>
    <w:rsid w:val="00205D0C"/>
    <w:rsid w:val="00205EFF"/>
    <w:rsid w:val="0020637F"/>
    <w:rsid w:val="002064BE"/>
    <w:rsid w:val="00207080"/>
    <w:rsid w:val="00207F6C"/>
    <w:rsid w:val="0021085E"/>
    <w:rsid w:val="00210983"/>
    <w:rsid w:val="00211E10"/>
    <w:rsid w:val="002122B1"/>
    <w:rsid w:val="002128A2"/>
    <w:rsid w:val="0021438D"/>
    <w:rsid w:val="00214F56"/>
    <w:rsid w:val="00216AFF"/>
    <w:rsid w:val="00216BF8"/>
    <w:rsid w:val="0022020C"/>
    <w:rsid w:val="0022038B"/>
    <w:rsid w:val="002216BF"/>
    <w:rsid w:val="0022187E"/>
    <w:rsid w:val="00222AFC"/>
    <w:rsid w:val="00223497"/>
    <w:rsid w:val="00224C06"/>
    <w:rsid w:val="002260EF"/>
    <w:rsid w:val="00226518"/>
    <w:rsid w:val="00226AA7"/>
    <w:rsid w:val="00227D4B"/>
    <w:rsid w:val="00230DF4"/>
    <w:rsid w:val="002314B6"/>
    <w:rsid w:val="0023176D"/>
    <w:rsid w:val="00231927"/>
    <w:rsid w:val="002325B9"/>
    <w:rsid w:val="00235B11"/>
    <w:rsid w:val="00235C70"/>
    <w:rsid w:val="002361DE"/>
    <w:rsid w:val="002365C0"/>
    <w:rsid w:val="002401D7"/>
    <w:rsid w:val="002416A0"/>
    <w:rsid w:val="00242777"/>
    <w:rsid w:val="00245C82"/>
    <w:rsid w:val="00247934"/>
    <w:rsid w:val="00247C21"/>
    <w:rsid w:val="00250EF4"/>
    <w:rsid w:val="00253214"/>
    <w:rsid w:val="002538CE"/>
    <w:rsid w:val="0025446F"/>
    <w:rsid w:val="00255AD0"/>
    <w:rsid w:val="00255E15"/>
    <w:rsid w:val="002561E1"/>
    <w:rsid w:val="002574E1"/>
    <w:rsid w:val="00260B77"/>
    <w:rsid w:val="002614EB"/>
    <w:rsid w:val="002627D3"/>
    <w:rsid w:val="002633BD"/>
    <w:rsid w:val="00263B66"/>
    <w:rsid w:val="002661E4"/>
    <w:rsid w:val="00267A45"/>
    <w:rsid w:val="00270321"/>
    <w:rsid w:val="00270A00"/>
    <w:rsid w:val="00270D76"/>
    <w:rsid w:val="00271C36"/>
    <w:rsid w:val="00271EF8"/>
    <w:rsid w:val="00272171"/>
    <w:rsid w:val="0027259F"/>
    <w:rsid w:val="00273670"/>
    <w:rsid w:val="002822E3"/>
    <w:rsid w:val="0028320A"/>
    <w:rsid w:val="00283A97"/>
    <w:rsid w:val="00284E7D"/>
    <w:rsid w:val="00285044"/>
    <w:rsid w:val="0028580D"/>
    <w:rsid w:val="00285DC9"/>
    <w:rsid w:val="00291753"/>
    <w:rsid w:val="0029179F"/>
    <w:rsid w:val="00293DFE"/>
    <w:rsid w:val="0029565B"/>
    <w:rsid w:val="00295981"/>
    <w:rsid w:val="002970A1"/>
    <w:rsid w:val="002A01CB"/>
    <w:rsid w:val="002A06CA"/>
    <w:rsid w:val="002A0FD8"/>
    <w:rsid w:val="002A2564"/>
    <w:rsid w:val="002A3CAA"/>
    <w:rsid w:val="002A5D76"/>
    <w:rsid w:val="002A5F4C"/>
    <w:rsid w:val="002A6829"/>
    <w:rsid w:val="002A70F2"/>
    <w:rsid w:val="002A71C7"/>
    <w:rsid w:val="002A7C06"/>
    <w:rsid w:val="002B0B4E"/>
    <w:rsid w:val="002B1133"/>
    <w:rsid w:val="002B1C89"/>
    <w:rsid w:val="002B3853"/>
    <w:rsid w:val="002B6AA6"/>
    <w:rsid w:val="002B6BBE"/>
    <w:rsid w:val="002C0E28"/>
    <w:rsid w:val="002C21CA"/>
    <w:rsid w:val="002C28D6"/>
    <w:rsid w:val="002C40A2"/>
    <w:rsid w:val="002C51F1"/>
    <w:rsid w:val="002C7225"/>
    <w:rsid w:val="002D1EC7"/>
    <w:rsid w:val="002D31C2"/>
    <w:rsid w:val="002D3420"/>
    <w:rsid w:val="002D3F70"/>
    <w:rsid w:val="002D45BD"/>
    <w:rsid w:val="002D480A"/>
    <w:rsid w:val="002D6064"/>
    <w:rsid w:val="002D7CC9"/>
    <w:rsid w:val="002E37AE"/>
    <w:rsid w:val="002E430C"/>
    <w:rsid w:val="002E5FF1"/>
    <w:rsid w:val="002E7267"/>
    <w:rsid w:val="002F1E37"/>
    <w:rsid w:val="002F313A"/>
    <w:rsid w:val="002F33D4"/>
    <w:rsid w:val="002F56A2"/>
    <w:rsid w:val="002F6B4D"/>
    <w:rsid w:val="002F75CB"/>
    <w:rsid w:val="002F7CFA"/>
    <w:rsid w:val="00300412"/>
    <w:rsid w:val="0030095E"/>
    <w:rsid w:val="00301A04"/>
    <w:rsid w:val="00304157"/>
    <w:rsid w:val="00304D5B"/>
    <w:rsid w:val="003060F3"/>
    <w:rsid w:val="003061B6"/>
    <w:rsid w:val="003078F3"/>
    <w:rsid w:val="00307BCD"/>
    <w:rsid w:val="00310DDF"/>
    <w:rsid w:val="0031146F"/>
    <w:rsid w:val="00311E0B"/>
    <w:rsid w:val="003143CB"/>
    <w:rsid w:val="00315D21"/>
    <w:rsid w:val="00315EEE"/>
    <w:rsid w:val="00317824"/>
    <w:rsid w:val="00317B1D"/>
    <w:rsid w:val="00317DCB"/>
    <w:rsid w:val="00317F53"/>
    <w:rsid w:val="0032055A"/>
    <w:rsid w:val="00320D92"/>
    <w:rsid w:val="00321341"/>
    <w:rsid w:val="00322259"/>
    <w:rsid w:val="003239C0"/>
    <w:rsid w:val="00324766"/>
    <w:rsid w:val="00325E14"/>
    <w:rsid w:val="00326321"/>
    <w:rsid w:val="003268F6"/>
    <w:rsid w:val="003300BC"/>
    <w:rsid w:val="00330418"/>
    <w:rsid w:val="003307DD"/>
    <w:rsid w:val="00330FE6"/>
    <w:rsid w:val="003315D3"/>
    <w:rsid w:val="0033252F"/>
    <w:rsid w:val="0033495E"/>
    <w:rsid w:val="0033632C"/>
    <w:rsid w:val="00337344"/>
    <w:rsid w:val="00337466"/>
    <w:rsid w:val="003376E1"/>
    <w:rsid w:val="003401E1"/>
    <w:rsid w:val="003403FA"/>
    <w:rsid w:val="00340C47"/>
    <w:rsid w:val="00340F30"/>
    <w:rsid w:val="00341D22"/>
    <w:rsid w:val="00346A91"/>
    <w:rsid w:val="00347A81"/>
    <w:rsid w:val="00350931"/>
    <w:rsid w:val="0035093F"/>
    <w:rsid w:val="00351996"/>
    <w:rsid w:val="00353CCE"/>
    <w:rsid w:val="0035555B"/>
    <w:rsid w:val="00356188"/>
    <w:rsid w:val="003571DB"/>
    <w:rsid w:val="00357C9F"/>
    <w:rsid w:val="00360610"/>
    <w:rsid w:val="00360D96"/>
    <w:rsid w:val="00360D98"/>
    <w:rsid w:val="00361377"/>
    <w:rsid w:val="00361C6F"/>
    <w:rsid w:val="00361DF2"/>
    <w:rsid w:val="00363381"/>
    <w:rsid w:val="00363841"/>
    <w:rsid w:val="00365936"/>
    <w:rsid w:val="00365CA9"/>
    <w:rsid w:val="00366461"/>
    <w:rsid w:val="003668DD"/>
    <w:rsid w:val="00367464"/>
    <w:rsid w:val="0037086C"/>
    <w:rsid w:val="00371AE6"/>
    <w:rsid w:val="0037365E"/>
    <w:rsid w:val="00373793"/>
    <w:rsid w:val="00374C7C"/>
    <w:rsid w:val="003750B5"/>
    <w:rsid w:val="00375BA7"/>
    <w:rsid w:val="00375EEC"/>
    <w:rsid w:val="00375FA8"/>
    <w:rsid w:val="0037614B"/>
    <w:rsid w:val="00376CCC"/>
    <w:rsid w:val="00377360"/>
    <w:rsid w:val="0037758A"/>
    <w:rsid w:val="00381CFE"/>
    <w:rsid w:val="00381EAD"/>
    <w:rsid w:val="00383346"/>
    <w:rsid w:val="00385210"/>
    <w:rsid w:val="00386408"/>
    <w:rsid w:val="00387636"/>
    <w:rsid w:val="00387D45"/>
    <w:rsid w:val="00391159"/>
    <w:rsid w:val="003924E2"/>
    <w:rsid w:val="003A1E45"/>
    <w:rsid w:val="003A2455"/>
    <w:rsid w:val="003A2B46"/>
    <w:rsid w:val="003A35DA"/>
    <w:rsid w:val="003A3AE3"/>
    <w:rsid w:val="003A40EC"/>
    <w:rsid w:val="003A5335"/>
    <w:rsid w:val="003A6480"/>
    <w:rsid w:val="003A70F6"/>
    <w:rsid w:val="003B032F"/>
    <w:rsid w:val="003B09DE"/>
    <w:rsid w:val="003B1787"/>
    <w:rsid w:val="003B1EFB"/>
    <w:rsid w:val="003B20C6"/>
    <w:rsid w:val="003B300E"/>
    <w:rsid w:val="003B4AA9"/>
    <w:rsid w:val="003B6C99"/>
    <w:rsid w:val="003B6CF3"/>
    <w:rsid w:val="003C0AA7"/>
    <w:rsid w:val="003C1DBE"/>
    <w:rsid w:val="003C2DF1"/>
    <w:rsid w:val="003C2FD9"/>
    <w:rsid w:val="003C346D"/>
    <w:rsid w:val="003C3BE7"/>
    <w:rsid w:val="003C40B1"/>
    <w:rsid w:val="003C457F"/>
    <w:rsid w:val="003C4896"/>
    <w:rsid w:val="003C4AFA"/>
    <w:rsid w:val="003C5FDB"/>
    <w:rsid w:val="003C6975"/>
    <w:rsid w:val="003D0118"/>
    <w:rsid w:val="003D06C5"/>
    <w:rsid w:val="003D0E1F"/>
    <w:rsid w:val="003D33A6"/>
    <w:rsid w:val="003D4136"/>
    <w:rsid w:val="003D41D4"/>
    <w:rsid w:val="003D4EC4"/>
    <w:rsid w:val="003D5C96"/>
    <w:rsid w:val="003D631B"/>
    <w:rsid w:val="003D769A"/>
    <w:rsid w:val="003E0361"/>
    <w:rsid w:val="003E0BCE"/>
    <w:rsid w:val="003E0FC3"/>
    <w:rsid w:val="003E32AE"/>
    <w:rsid w:val="003E3335"/>
    <w:rsid w:val="003E3B42"/>
    <w:rsid w:val="003E5B89"/>
    <w:rsid w:val="003E78C6"/>
    <w:rsid w:val="003E7B90"/>
    <w:rsid w:val="003F13FD"/>
    <w:rsid w:val="003F1A66"/>
    <w:rsid w:val="003F2ED6"/>
    <w:rsid w:val="003F47C2"/>
    <w:rsid w:val="003F4BA4"/>
    <w:rsid w:val="003F5B7D"/>
    <w:rsid w:val="003F6A75"/>
    <w:rsid w:val="003F71E4"/>
    <w:rsid w:val="00401237"/>
    <w:rsid w:val="00402661"/>
    <w:rsid w:val="00403253"/>
    <w:rsid w:val="004046F1"/>
    <w:rsid w:val="00404D24"/>
    <w:rsid w:val="0040591D"/>
    <w:rsid w:val="00407424"/>
    <w:rsid w:val="004077FD"/>
    <w:rsid w:val="00410068"/>
    <w:rsid w:val="0041135F"/>
    <w:rsid w:val="00411DE6"/>
    <w:rsid w:val="00413967"/>
    <w:rsid w:val="00413A9D"/>
    <w:rsid w:val="004146E7"/>
    <w:rsid w:val="0041490D"/>
    <w:rsid w:val="004150F8"/>
    <w:rsid w:val="0041702C"/>
    <w:rsid w:val="0041722D"/>
    <w:rsid w:val="004174B4"/>
    <w:rsid w:val="00417F0E"/>
    <w:rsid w:val="00422347"/>
    <w:rsid w:val="00422B17"/>
    <w:rsid w:val="00422B68"/>
    <w:rsid w:val="00422CE5"/>
    <w:rsid w:val="00422EF6"/>
    <w:rsid w:val="00423690"/>
    <w:rsid w:val="00423B09"/>
    <w:rsid w:val="00424A61"/>
    <w:rsid w:val="00425BDD"/>
    <w:rsid w:val="00426721"/>
    <w:rsid w:val="004303DD"/>
    <w:rsid w:val="0043044B"/>
    <w:rsid w:val="004304CD"/>
    <w:rsid w:val="00431609"/>
    <w:rsid w:val="004327B3"/>
    <w:rsid w:val="0043345C"/>
    <w:rsid w:val="00433A35"/>
    <w:rsid w:val="00433BA2"/>
    <w:rsid w:val="00433D5C"/>
    <w:rsid w:val="0043638B"/>
    <w:rsid w:val="00436878"/>
    <w:rsid w:val="00437155"/>
    <w:rsid w:val="004375BF"/>
    <w:rsid w:val="0044136C"/>
    <w:rsid w:val="00441E3D"/>
    <w:rsid w:val="00442375"/>
    <w:rsid w:val="004424E9"/>
    <w:rsid w:val="00442E01"/>
    <w:rsid w:val="00442FC2"/>
    <w:rsid w:val="00444432"/>
    <w:rsid w:val="004444F6"/>
    <w:rsid w:val="00445841"/>
    <w:rsid w:val="00446A45"/>
    <w:rsid w:val="00447162"/>
    <w:rsid w:val="004509BA"/>
    <w:rsid w:val="00451082"/>
    <w:rsid w:val="00452312"/>
    <w:rsid w:val="004568D4"/>
    <w:rsid w:val="004602B8"/>
    <w:rsid w:val="004602E8"/>
    <w:rsid w:val="00461A45"/>
    <w:rsid w:val="0046279A"/>
    <w:rsid w:val="00463267"/>
    <w:rsid w:val="00463873"/>
    <w:rsid w:val="0046448A"/>
    <w:rsid w:val="00464FD4"/>
    <w:rsid w:val="00464FDA"/>
    <w:rsid w:val="00465603"/>
    <w:rsid w:val="0046690D"/>
    <w:rsid w:val="00467C5F"/>
    <w:rsid w:val="00471415"/>
    <w:rsid w:val="004723CD"/>
    <w:rsid w:val="00472735"/>
    <w:rsid w:val="00472BB3"/>
    <w:rsid w:val="004737FF"/>
    <w:rsid w:val="00473AD5"/>
    <w:rsid w:val="0047503D"/>
    <w:rsid w:val="00475190"/>
    <w:rsid w:val="0047525F"/>
    <w:rsid w:val="00475D09"/>
    <w:rsid w:val="004761C1"/>
    <w:rsid w:val="00476D26"/>
    <w:rsid w:val="00480C55"/>
    <w:rsid w:val="0048157A"/>
    <w:rsid w:val="00481717"/>
    <w:rsid w:val="004818DA"/>
    <w:rsid w:val="00484330"/>
    <w:rsid w:val="0048471E"/>
    <w:rsid w:val="00484ECA"/>
    <w:rsid w:val="004852CC"/>
    <w:rsid w:val="00485C73"/>
    <w:rsid w:val="00486456"/>
    <w:rsid w:val="0048693D"/>
    <w:rsid w:val="00486E5D"/>
    <w:rsid w:val="00487BD3"/>
    <w:rsid w:val="00491EF7"/>
    <w:rsid w:val="00492470"/>
    <w:rsid w:val="00492576"/>
    <w:rsid w:val="00492A9B"/>
    <w:rsid w:val="00493974"/>
    <w:rsid w:val="004942E4"/>
    <w:rsid w:val="00496438"/>
    <w:rsid w:val="00496800"/>
    <w:rsid w:val="00496AC2"/>
    <w:rsid w:val="004973F1"/>
    <w:rsid w:val="004978C8"/>
    <w:rsid w:val="00497BCA"/>
    <w:rsid w:val="004A0DFE"/>
    <w:rsid w:val="004A2671"/>
    <w:rsid w:val="004A4272"/>
    <w:rsid w:val="004A4AFE"/>
    <w:rsid w:val="004A51B0"/>
    <w:rsid w:val="004A6B64"/>
    <w:rsid w:val="004A7967"/>
    <w:rsid w:val="004B0D3F"/>
    <w:rsid w:val="004B1969"/>
    <w:rsid w:val="004B3C82"/>
    <w:rsid w:val="004B4402"/>
    <w:rsid w:val="004B4F7D"/>
    <w:rsid w:val="004B51E9"/>
    <w:rsid w:val="004B6AFE"/>
    <w:rsid w:val="004B785B"/>
    <w:rsid w:val="004B7A46"/>
    <w:rsid w:val="004C1457"/>
    <w:rsid w:val="004C14ED"/>
    <w:rsid w:val="004C1BD9"/>
    <w:rsid w:val="004C1CE1"/>
    <w:rsid w:val="004C1FEC"/>
    <w:rsid w:val="004C2A18"/>
    <w:rsid w:val="004C3B88"/>
    <w:rsid w:val="004C4342"/>
    <w:rsid w:val="004C435A"/>
    <w:rsid w:val="004C4C72"/>
    <w:rsid w:val="004C65C9"/>
    <w:rsid w:val="004C7212"/>
    <w:rsid w:val="004C73E9"/>
    <w:rsid w:val="004D04C9"/>
    <w:rsid w:val="004D1AF4"/>
    <w:rsid w:val="004D2C82"/>
    <w:rsid w:val="004D356E"/>
    <w:rsid w:val="004D41E6"/>
    <w:rsid w:val="004D6193"/>
    <w:rsid w:val="004D7A9E"/>
    <w:rsid w:val="004E01FC"/>
    <w:rsid w:val="004E0BA7"/>
    <w:rsid w:val="004E2529"/>
    <w:rsid w:val="004E2C46"/>
    <w:rsid w:val="004E3536"/>
    <w:rsid w:val="004E4CCB"/>
    <w:rsid w:val="004F13B0"/>
    <w:rsid w:val="004F295D"/>
    <w:rsid w:val="004F413B"/>
    <w:rsid w:val="004F41E6"/>
    <w:rsid w:val="004F4744"/>
    <w:rsid w:val="004F4CFE"/>
    <w:rsid w:val="004F52A0"/>
    <w:rsid w:val="004F5FDA"/>
    <w:rsid w:val="004F6233"/>
    <w:rsid w:val="004F6CEA"/>
    <w:rsid w:val="0050026D"/>
    <w:rsid w:val="0050097D"/>
    <w:rsid w:val="00500CF9"/>
    <w:rsid w:val="00500FB6"/>
    <w:rsid w:val="00501A9A"/>
    <w:rsid w:val="00501B13"/>
    <w:rsid w:val="0050212C"/>
    <w:rsid w:val="005023EC"/>
    <w:rsid w:val="0050381D"/>
    <w:rsid w:val="00504466"/>
    <w:rsid w:val="00505788"/>
    <w:rsid w:val="00505C71"/>
    <w:rsid w:val="005063F8"/>
    <w:rsid w:val="00506D0A"/>
    <w:rsid w:val="00506E69"/>
    <w:rsid w:val="005072A0"/>
    <w:rsid w:val="00507974"/>
    <w:rsid w:val="0051014C"/>
    <w:rsid w:val="00510679"/>
    <w:rsid w:val="00510A2E"/>
    <w:rsid w:val="00512110"/>
    <w:rsid w:val="00513768"/>
    <w:rsid w:val="00514053"/>
    <w:rsid w:val="0051417A"/>
    <w:rsid w:val="005149AF"/>
    <w:rsid w:val="005154E4"/>
    <w:rsid w:val="00517651"/>
    <w:rsid w:val="005209CD"/>
    <w:rsid w:val="0052272E"/>
    <w:rsid w:val="005256F6"/>
    <w:rsid w:val="00525A61"/>
    <w:rsid w:val="00525ACD"/>
    <w:rsid w:val="005265E7"/>
    <w:rsid w:val="00526BC6"/>
    <w:rsid w:val="00526D6E"/>
    <w:rsid w:val="00527079"/>
    <w:rsid w:val="00527C4B"/>
    <w:rsid w:val="00527E86"/>
    <w:rsid w:val="00527F8B"/>
    <w:rsid w:val="005317FA"/>
    <w:rsid w:val="005331BF"/>
    <w:rsid w:val="00533A17"/>
    <w:rsid w:val="005340C3"/>
    <w:rsid w:val="00534E57"/>
    <w:rsid w:val="00535E3C"/>
    <w:rsid w:val="005361A9"/>
    <w:rsid w:val="00536A67"/>
    <w:rsid w:val="00536D7C"/>
    <w:rsid w:val="00536FC1"/>
    <w:rsid w:val="00537659"/>
    <w:rsid w:val="00537E6C"/>
    <w:rsid w:val="00540336"/>
    <w:rsid w:val="00540876"/>
    <w:rsid w:val="00541911"/>
    <w:rsid w:val="005419AA"/>
    <w:rsid w:val="00541E07"/>
    <w:rsid w:val="00542576"/>
    <w:rsid w:val="00543171"/>
    <w:rsid w:val="00543648"/>
    <w:rsid w:val="00545CFE"/>
    <w:rsid w:val="00546663"/>
    <w:rsid w:val="005475B5"/>
    <w:rsid w:val="005475CD"/>
    <w:rsid w:val="00550AA2"/>
    <w:rsid w:val="00550D85"/>
    <w:rsid w:val="00552193"/>
    <w:rsid w:val="00552896"/>
    <w:rsid w:val="00554538"/>
    <w:rsid w:val="00554B47"/>
    <w:rsid w:val="005550BE"/>
    <w:rsid w:val="005565A8"/>
    <w:rsid w:val="00556FB8"/>
    <w:rsid w:val="00557213"/>
    <w:rsid w:val="0055788C"/>
    <w:rsid w:val="00561B0F"/>
    <w:rsid w:val="00562E26"/>
    <w:rsid w:val="00563ECF"/>
    <w:rsid w:val="005640B8"/>
    <w:rsid w:val="0056553D"/>
    <w:rsid w:val="00565F27"/>
    <w:rsid w:val="00566C39"/>
    <w:rsid w:val="00566DE2"/>
    <w:rsid w:val="005673FF"/>
    <w:rsid w:val="00567690"/>
    <w:rsid w:val="00567B56"/>
    <w:rsid w:val="00567FB3"/>
    <w:rsid w:val="00571356"/>
    <w:rsid w:val="00572692"/>
    <w:rsid w:val="00575626"/>
    <w:rsid w:val="005760E1"/>
    <w:rsid w:val="005768F4"/>
    <w:rsid w:val="005769A1"/>
    <w:rsid w:val="00581795"/>
    <w:rsid w:val="00581EF0"/>
    <w:rsid w:val="00585254"/>
    <w:rsid w:val="00585578"/>
    <w:rsid w:val="005859EC"/>
    <w:rsid w:val="00586396"/>
    <w:rsid w:val="0058661D"/>
    <w:rsid w:val="00586FED"/>
    <w:rsid w:val="0058708A"/>
    <w:rsid w:val="00587207"/>
    <w:rsid w:val="00587B3B"/>
    <w:rsid w:val="005909BD"/>
    <w:rsid w:val="00590C79"/>
    <w:rsid w:val="00591D39"/>
    <w:rsid w:val="00591F73"/>
    <w:rsid w:val="00592A96"/>
    <w:rsid w:val="00592E7D"/>
    <w:rsid w:val="00593308"/>
    <w:rsid w:val="0059597E"/>
    <w:rsid w:val="00595D88"/>
    <w:rsid w:val="00595EBE"/>
    <w:rsid w:val="00596300"/>
    <w:rsid w:val="00597149"/>
    <w:rsid w:val="005A192D"/>
    <w:rsid w:val="005A1955"/>
    <w:rsid w:val="005A1A05"/>
    <w:rsid w:val="005A277B"/>
    <w:rsid w:val="005A2AA6"/>
    <w:rsid w:val="005A2B44"/>
    <w:rsid w:val="005A441F"/>
    <w:rsid w:val="005A6318"/>
    <w:rsid w:val="005B1269"/>
    <w:rsid w:val="005B13F5"/>
    <w:rsid w:val="005B27F0"/>
    <w:rsid w:val="005B28A9"/>
    <w:rsid w:val="005B5BD9"/>
    <w:rsid w:val="005B60AC"/>
    <w:rsid w:val="005B69C4"/>
    <w:rsid w:val="005B6FA7"/>
    <w:rsid w:val="005B78EA"/>
    <w:rsid w:val="005C073E"/>
    <w:rsid w:val="005C16EE"/>
    <w:rsid w:val="005C1D2E"/>
    <w:rsid w:val="005C3127"/>
    <w:rsid w:val="005C3557"/>
    <w:rsid w:val="005C5D21"/>
    <w:rsid w:val="005C6754"/>
    <w:rsid w:val="005C6A3E"/>
    <w:rsid w:val="005C71A0"/>
    <w:rsid w:val="005C754C"/>
    <w:rsid w:val="005C7EB9"/>
    <w:rsid w:val="005D01AD"/>
    <w:rsid w:val="005D084C"/>
    <w:rsid w:val="005D0ECD"/>
    <w:rsid w:val="005D1CCA"/>
    <w:rsid w:val="005D20F9"/>
    <w:rsid w:val="005D40FC"/>
    <w:rsid w:val="005D493B"/>
    <w:rsid w:val="005D51D3"/>
    <w:rsid w:val="005D64D4"/>
    <w:rsid w:val="005D7A9D"/>
    <w:rsid w:val="005E0337"/>
    <w:rsid w:val="005E1057"/>
    <w:rsid w:val="005E15E2"/>
    <w:rsid w:val="005E1830"/>
    <w:rsid w:val="005E1A2A"/>
    <w:rsid w:val="005E1A86"/>
    <w:rsid w:val="005E1D5C"/>
    <w:rsid w:val="005E231D"/>
    <w:rsid w:val="005E3145"/>
    <w:rsid w:val="005E3CB2"/>
    <w:rsid w:val="005E4097"/>
    <w:rsid w:val="005E643D"/>
    <w:rsid w:val="005E65CF"/>
    <w:rsid w:val="005E65D3"/>
    <w:rsid w:val="005E6A13"/>
    <w:rsid w:val="005E6C66"/>
    <w:rsid w:val="005E72CA"/>
    <w:rsid w:val="005F02FC"/>
    <w:rsid w:val="005F06B9"/>
    <w:rsid w:val="005F0B97"/>
    <w:rsid w:val="005F0E01"/>
    <w:rsid w:val="005F172B"/>
    <w:rsid w:val="005F182E"/>
    <w:rsid w:val="005F3130"/>
    <w:rsid w:val="005F31DD"/>
    <w:rsid w:val="005F4A9A"/>
    <w:rsid w:val="005F5139"/>
    <w:rsid w:val="005F597C"/>
    <w:rsid w:val="005F5B0F"/>
    <w:rsid w:val="005F5D95"/>
    <w:rsid w:val="005F6313"/>
    <w:rsid w:val="005F6DA2"/>
    <w:rsid w:val="005F751E"/>
    <w:rsid w:val="005F7874"/>
    <w:rsid w:val="0060142C"/>
    <w:rsid w:val="00601491"/>
    <w:rsid w:val="00602BA7"/>
    <w:rsid w:val="00602E74"/>
    <w:rsid w:val="006036CD"/>
    <w:rsid w:val="00603FB1"/>
    <w:rsid w:val="00603FFF"/>
    <w:rsid w:val="006047BA"/>
    <w:rsid w:val="006056B9"/>
    <w:rsid w:val="00607804"/>
    <w:rsid w:val="0061034F"/>
    <w:rsid w:val="00610FAD"/>
    <w:rsid w:val="006113F9"/>
    <w:rsid w:val="00612DE0"/>
    <w:rsid w:val="0061311F"/>
    <w:rsid w:val="006134AF"/>
    <w:rsid w:val="00613C3D"/>
    <w:rsid w:val="0061549B"/>
    <w:rsid w:val="006155BA"/>
    <w:rsid w:val="00615FCE"/>
    <w:rsid w:val="0061606F"/>
    <w:rsid w:val="00616263"/>
    <w:rsid w:val="006171BB"/>
    <w:rsid w:val="00617276"/>
    <w:rsid w:val="00617993"/>
    <w:rsid w:val="0062088D"/>
    <w:rsid w:val="0062124D"/>
    <w:rsid w:val="00621712"/>
    <w:rsid w:val="00621923"/>
    <w:rsid w:val="00625D34"/>
    <w:rsid w:val="00627168"/>
    <w:rsid w:val="006272BD"/>
    <w:rsid w:val="0063066F"/>
    <w:rsid w:val="00631C71"/>
    <w:rsid w:val="006353EA"/>
    <w:rsid w:val="00636F96"/>
    <w:rsid w:val="00637C69"/>
    <w:rsid w:val="0064085B"/>
    <w:rsid w:val="00641A78"/>
    <w:rsid w:val="00641C16"/>
    <w:rsid w:val="00643FE9"/>
    <w:rsid w:val="00645182"/>
    <w:rsid w:val="006466A2"/>
    <w:rsid w:val="00647750"/>
    <w:rsid w:val="00647F09"/>
    <w:rsid w:val="00647F7D"/>
    <w:rsid w:val="00650FD2"/>
    <w:rsid w:val="006526DF"/>
    <w:rsid w:val="00654F2C"/>
    <w:rsid w:val="0066050C"/>
    <w:rsid w:val="006643F7"/>
    <w:rsid w:val="00665B38"/>
    <w:rsid w:val="006662C7"/>
    <w:rsid w:val="00666372"/>
    <w:rsid w:val="00667209"/>
    <w:rsid w:val="00670C28"/>
    <w:rsid w:val="00671537"/>
    <w:rsid w:val="00671D43"/>
    <w:rsid w:val="006722E7"/>
    <w:rsid w:val="006744F6"/>
    <w:rsid w:val="00675215"/>
    <w:rsid w:val="00677EB6"/>
    <w:rsid w:val="00680028"/>
    <w:rsid w:val="006819C8"/>
    <w:rsid w:val="006831EF"/>
    <w:rsid w:val="00685C09"/>
    <w:rsid w:val="00685D42"/>
    <w:rsid w:val="0068691B"/>
    <w:rsid w:val="00687073"/>
    <w:rsid w:val="006870B0"/>
    <w:rsid w:val="006903EA"/>
    <w:rsid w:val="00690F85"/>
    <w:rsid w:val="00691672"/>
    <w:rsid w:val="00692720"/>
    <w:rsid w:val="00693440"/>
    <w:rsid w:val="00693A78"/>
    <w:rsid w:val="00696809"/>
    <w:rsid w:val="00696D14"/>
    <w:rsid w:val="00696F89"/>
    <w:rsid w:val="00697932"/>
    <w:rsid w:val="006A03AD"/>
    <w:rsid w:val="006A0F38"/>
    <w:rsid w:val="006A1016"/>
    <w:rsid w:val="006A145C"/>
    <w:rsid w:val="006A164F"/>
    <w:rsid w:val="006A1D13"/>
    <w:rsid w:val="006A453C"/>
    <w:rsid w:val="006A523A"/>
    <w:rsid w:val="006A5D5F"/>
    <w:rsid w:val="006A5EBA"/>
    <w:rsid w:val="006A67E9"/>
    <w:rsid w:val="006A758F"/>
    <w:rsid w:val="006B0B1F"/>
    <w:rsid w:val="006B1ED0"/>
    <w:rsid w:val="006B3989"/>
    <w:rsid w:val="006B3B93"/>
    <w:rsid w:val="006B52CF"/>
    <w:rsid w:val="006B5309"/>
    <w:rsid w:val="006B5DE7"/>
    <w:rsid w:val="006B6785"/>
    <w:rsid w:val="006B6D9F"/>
    <w:rsid w:val="006B7188"/>
    <w:rsid w:val="006C0C94"/>
    <w:rsid w:val="006C1481"/>
    <w:rsid w:val="006C1A60"/>
    <w:rsid w:val="006C1E33"/>
    <w:rsid w:val="006C24BC"/>
    <w:rsid w:val="006C290F"/>
    <w:rsid w:val="006C34B1"/>
    <w:rsid w:val="006C452B"/>
    <w:rsid w:val="006C4668"/>
    <w:rsid w:val="006C4F82"/>
    <w:rsid w:val="006C54D0"/>
    <w:rsid w:val="006C693A"/>
    <w:rsid w:val="006D0552"/>
    <w:rsid w:val="006D177F"/>
    <w:rsid w:val="006D1E8A"/>
    <w:rsid w:val="006D2861"/>
    <w:rsid w:val="006D29C6"/>
    <w:rsid w:val="006D42D6"/>
    <w:rsid w:val="006D55B0"/>
    <w:rsid w:val="006D5899"/>
    <w:rsid w:val="006D5F08"/>
    <w:rsid w:val="006D671E"/>
    <w:rsid w:val="006D69F7"/>
    <w:rsid w:val="006D6A68"/>
    <w:rsid w:val="006D6F19"/>
    <w:rsid w:val="006E018C"/>
    <w:rsid w:val="006E029E"/>
    <w:rsid w:val="006E0A6C"/>
    <w:rsid w:val="006E1304"/>
    <w:rsid w:val="006E1A06"/>
    <w:rsid w:val="006E25D4"/>
    <w:rsid w:val="006E5C0E"/>
    <w:rsid w:val="006E611A"/>
    <w:rsid w:val="006E6C1E"/>
    <w:rsid w:val="006E6F33"/>
    <w:rsid w:val="006F0646"/>
    <w:rsid w:val="006F1C8A"/>
    <w:rsid w:val="006F2129"/>
    <w:rsid w:val="006F26C5"/>
    <w:rsid w:val="006F3581"/>
    <w:rsid w:val="006F3660"/>
    <w:rsid w:val="006F3EAC"/>
    <w:rsid w:val="006F41AC"/>
    <w:rsid w:val="006F435A"/>
    <w:rsid w:val="006F457C"/>
    <w:rsid w:val="006F4CBF"/>
    <w:rsid w:val="006F4E3B"/>
    <w:rsid w:val="006F4EBA"/>
    <w:rsid w:val="006F59D2"/>
    <w:rsid w:val="006F6728"/>
    <w:rsid w:val="0070075D"/>
    <w:rsid w:val="00700D03"/>
    <w:rsid w:val="00700FAC"/>
    <w:rsid w:val="007010AB"/>
    <w:rsid w:val="007027BF"/>
    <w:rsid w:val="00702EE9"/>
    <w:rsid w:val="007030F0"/>
    <w:rsid w:val="00703C09"/>
    <w:rsid w:val="00705A2D"/>
    <w:rsid w:val="00705BAB"/>
    <w:rsid w:val="00705D13"/>
    <w:rsid w:val="00705DD1"/>
    <w:rsid w:val="00705FF0"/>
    <w:rsid w:val="0070667E"/>
    <w:rsid w:val="00706AFE"/>
    <w:rsid w:val="007076B3"/>
    <w:rsid w:val="00710151"/>
    <w:rsid w:val="0071016A"/>
    <w:rsid w:val="00710A9B"/>
    <w:rsid w:val="00711D4F"/>
    <w:rsid w:val="00712321"/>
    <w:rsid w:val="00712FBA"/>
    <w:rsid w:val="007132BB"/>
    <w:rsid w:val="00713EBF"/>
    <w:rsid w:val="00714203"/>
    <w:rsid w:val="00714D52"/>
    <w:rsid w:val="00716039"/>
    <w:rsid w:val="00716D2B"/>
    <w:rsid w:val="00717C52"/>
    <w:rsid w:val="00720420"/>
    <w:rsid w:val="00720731"/>
    <w:rsid w:val="007217A4"/>
    <w:rsid w:val="0072258B"/>
    <w:rsid w:val="007228D3"/>
    <w:rsid w:val="00722F39"/>
    <w:rsid w:val="00723909"/>
    <w:rsid w:val="00723C25"/>
    <w:rsid w:val="007248E6"/>
    <w:rsid w:val="00726CA4"/>
    <w:rsid w:val="007308F6"/>
    <w:rsid w:val="00730ACF"/>
    <w:rsid w:val="007316B7"/>
    <w:rsid w:val="00731931"/>
    <w:rsid w:val="00731BD8"/>
    <w:rsid w:val="0073272C"/>
    <w:rsid w:val="0073290F"/>
    <w:rsid w:val="00732972"/>
    <w:rsid w:val="007350F0"/>
    <w:rsid w:val="00735544"/>
    <w:rsid w:val="00736233"/>
    <w:rsid w:val="0073644C"/>
    <w:rsid w:val="0074026D"/>
    <w:rsid w:val="00740C88"/>
    <w:rsid w:val="0074111C"/>
    <w:rsid w:val="00741409"/>
    <w:rsid w:val="00741939"/>
    <w:rsid w:val="00742068"/>
    <w:rsid w:val="0074342B"/>
    <w:rsid w:val="0074440E"/>
    <w:rsid w:val="0074688B"/>
    <w:rsid w:val="00747CB7"/>
    <w:rsid w:val="00750511"/>
    <w:rsid w:val="00750A7A"/>
    <w:rsid w:val="00752212"/>
    <w:rsid w:val="00752E1D"/>
    <w:rsid w:val="007539DE"/>
    <w:rsid w:val="007541DA"/>
    <w:rsid w:val="00754E13"/>
    <w:rsid w:val="00754F18"/>
    <w:rsid w:val="00755A32"/>
    <w:rsid w:val="007560A6"/>
    <w:rsid w:val="00756D25"/>
    <w:rsid w:val="007573B8"/>
    <w:rsid w:val="007604DC"/>
    <w:rsid w:val="0076052B"/>
    <w:rsid w:val="00760630"/>
    <w:rsid w:val="0076123A"/>
    <w:rsid w:val="007617DA"/>
    <w:rsid w:val="00761A87"/>
    <w:rsid w:val="007635A4"/>
    <w:rsid w:val="007641B5"/>
    <w:rsid w:val="007651E0"/>
    <w:rsid w:val="007656F8"/>
    <w:rsid w:val="007657D7"/>
    <w:rsid w:val="007658C1"/>
    <w:rsid w:val="007661BE"/>
    <w:rsid w:val="00767BC2"/>
    <w:rsid w:val="00767DA2"/>
    <w:rsid w:val="00770A5B"/>
    <w:rsid w:val="00772CFD"/>
    <w:rsid w:val="0077768E"/>
    <w:rsid w:val="00780B3E"/>
    <w:rsid w:val="00783D71"/>
    <w:rsid w:val="007862C6"/>
    <w:rsid w:val="007873BE"/>
    <w:rsid w:val="00790138"/>
    <w:rsid w:val="00790EFF"/>
    <w:rsid w:val="007912E5"/>
    <w:rsid w:val="007936ED"/>
    <w:rsid w:val="007956CB"/>
    <w:rsid w:val="00797917"/>
    <w:rsid w:val="00797E84"/>
    <w:rsid w:val="00797ECE"/>
    <w:rsid w:val="007A01D6"/>
    <w:rsid w:val="007A1D45"/>
    <w:rsid w:val="007A24FB"/>
    <w:rsid w:val="007A27CF"/>
    <w:rsid w:val="007A3668"/>
    <w:rsid w:val="007A49D1"/>
    <w:rsid w:val="007A4F09"/>
    <w:rsid w:val="007A5E2D"/>
    <w:rsid w:val="007A6E92"/>
    <w:rsid w:val="007A7701"/>
    <w:rsid w:val="007B0EE2"/>
    <w:rsid w:val="007B1C1A"/>
    <w:rsid w:val="007B266D"/>
    <w:rsid w:val="007B43BC"/>
    <w:rsid w:val="007B456A"/>
    <w:rsid w:val="007B51E3"/>
    <w:rsid w:val="007B6A15"/>
    <w:rsid w:val="007B6BF0"/>
    <w:rsid w:val="007B6DB3"/>
    <w:rsid w:val="007C0414"/>
    <w:rsid w:val="007C1FCA"/>
    <w:rsid w:val="007C279E"/>
    <w:rsid w:val="007C2894"/>
    <w:rsid w:val="007C4415"/>
    <w:rsid w:val="007C595E"/>
    <w:rsid w:val="007C5D6E"/>
    <w:rsid w:val="007C7789"/>
    <w:rsid w:val="007D17C3"/>
    <w:rsid w:val="007D22BC"/>
    <w:rsid w:val="007D2392"/>
    <w:rsid w:val="007D4542"/>
    <w:rsid w:val="007D4F8F"/>
    <w:rsid w:val="007D62D4"/>
    <w:rsid w:val="007D69C1"/>
    <w:rsid w:val="007D711E"/>
    <w:rsid w:val="007D7287"/>
    <w:rsid w:val="007E19E8"/>
    <w:rsid w:val="007E1F7A"/>
    <w:rsid w:val="007E25F1"/>
    <w:rsid w:val="007E2649"/>
    <w:rsid w:val="007E2A79"/>
    <w:rsid w:val="007E3336"/>
    <w:rsid w:val="007E3B2D"/>
    <w:rsid w:val="007E3B52"/>
    <w:rsid w:val="007E3CE3"/>
    <w:rsid w:val="007E43BC"/>
    <w:rsid w:val="007E5850"/>
    <w:rsid w:val="007E5DBF"/>
    <w:rsid w:val="007E5E41"/>
    <w:rsid w:val="007E6F11"/>
    <w:rsid w:val="007E7282"/>
    <w:rsid w:val="007E76B0"/>
    <w:rsid w:val="007E776F"/>
    <w:rsid w:val="007E7838"/>
    <w:rsid w:val="007E7FCD"/>
    <w:rsid w:val="007F08ED"/>
    <w:rsid w:val="007F0CC7"/>
    <w:rsid w:val="007F16FB"/>
    <w:rsid w:val="007F2AAE"/>
    <w:rsid w:val="007F3B31"/>
    <w:rsid w:val="007F4AEE"/>
    <w:rsid w:val="007F5270"/>
    <w:rsid w:val="007F5478"/>
    <w:rsid w:val="007F570F"/>
    <w:rsid w:val="007F6773"/>
    <w:rsid w:val="007F71DA"/>
    <w:rsid w:val="007F7580"/>
    <w:rsid w:val="007F78D2"/>
    <w:rsid w:val="00800235"/>
    <w:rsid w:val="0080070A"/>
    <w:rsid w:val="0080167A"/>
    <w:rsid w:val="008029D0"/>
    <w:rsid w:val="00803AB4"/>
    <w:rsid w:val="0080409B"/>
    <w:rsid w:val="00805D16"/>
    <w:rsid w:val="008078FF"/>
    <w:rsid w:val="00810FC9"/>
    <w:rsid w:val="00811F44"/>
    <w:rsid w:val="00812CC0"/>
    <w:rsid w:val="0081329B"/>
    <w:rsid w:val="0081494A"/>
    <w:rsid w:val="00814EC8"/>
    <w:rsid w:val="0081520C"/>
    <w:rsid w:val="00816C26"/>
    <w:rsid w:val="00816DFD"/>
    <w:rsid w:val="008220D2"/>
    <w:rsid w:val="008220E7"/>
    <w:rsid w:val="008229AE"/>
    <w:rsid w:val="00823EED"/>
    <w:rsid w:val="008240A0"/>
    <w:rsid w:val="0082581A"/>
    <w:rsid w:val="0082622D"/>
    <w:rsid w:val="00826B2A"/>
    <w:rsid w:val="00827E08"/>
    <w:rsid w:val="00830586"/>
    <w:rsid w:val="00831558"/>
    <w:rsid w:val="00832127"/>
    <w:rsid w:val="00832500"/>
    <w:rsid w:val="00833A1F"/>
    <w:rsid w:val="0083441D"/>
    <w:rsid w:val="00834832"/>
    <w:rsid w:val="00834D13"/>
    <w:rsid w:val="00834D61"/>
    <w:rsid w:val="008358BB"/>
    <w:rsid w:val="00835EB8"/>
    <w:rsid w:val="00836889"/>
    <w:rsid w:val="008372FE"/>
    <w:rsid w:val="00844CC6"/>
    <w:rsid w:val="00844E3A"/>
    <w:rsid w:val="00847613"/>
    <w:rsid w:val="00850BA1"/>
    <w:rsid w:val="008514BA"/>
    <w:rsid w:val="008517DA"/>
    <w:rsid w:val="008519C5"/>
    <w:rsid w:val="00851A0D"/>
    <w:rsid w:val="00851C39"/>
    <w:rsid w:val="00852F95"/>
    <w:rsid w:val="008531FB"/>
    <w:rsid w:val="00855E1E"/>
    <w:rsid w:val="0085697F"/>
    <w:rsid w:val="00857FDE"/>
    <w:rsid w:val="0086058E"/>
    <w:rsid w:val="00860E4B"/>
    <w:rsid w:val="0086145D"/>
    <w:rsid w:val="00861714"/>
    <w:rsid w:val="00862238"/>
    <w:rsid w:val="008631C2"/>
    <w:rsid w:val="008632A9"/>
    <w:rsid w:val="008647A9"/>
    <w:rsid w:val="008649A3"/>
    <w:rsid w:val="008654AA"/>
    <w:rsid w:val="00865C16"/>
    <w:rsid w:val="0086754A"/>
    <w:rsid w:val="00867E3E"/>
    <w:rsid w:val="00870974"/>
    <w:rsid w:val="008720C5"/>
    <w:rsid w:val="00872259"/>
    <w:rsid w:val="00873020"/>
    <w:rsid w:val="00873670"/>
    <w:rsid w:val="00873DAB"/>
    <w:rsid w:val="00874116"/>
    <w:rsid w:val="00874141"/>
    <w:rsid w:val="0087498B"/>
    <w:rsid w:val="00874BF5"/>
    <w:rsid w:val="00874FAB"/>
    <w:rsid w:val="00875ACB"/>
    <w:rsid w:val="00877DA5"/>
    <w:rsid w:val="0088016B"/>
    <w:rsid w:val="008805AA"/>
    <w:rsid w:val="0088117B"/>
    <w:rsid w:val="00881E0A"/>
    <w:rsid w:val="00882D1D"/>
    <w:rsid w:val="008834C3"/>
    <w:rsid w:val="0088502D"/>
    <w:rsid w:val="00885891"/>
    <w:rsid w:val="00885915"/>
    <w:rsid w:val="0088603C"/>
    <w:rsid w:val="00886611"/>
    <w:rsid w:val="008877E6"/>
    <w:rsid w:val="00887F8D"/>
    <w:rsid w:val="00891C4C"/>
    <w:rsid w:val="0089214D"/>
    <w:rsid w:val="008922BE"/>
    <w:rsid w:val="008931E5"/>
    <w:rsid w:val="008938A8"/>
    <w:rsid w:val="008949F7"/>
    <w:rsid w:val="00895683"/>
    <w:rsid w:val="0089663E"/>
    <w:rsid w:val="0089792E"/>
    <w:rsid w:val="008A0602"/>
    <w:rsid w:val="008A0679"/>
    <w:rsid w:val="008A2126"/>
    <w:rsid w:val="008A28A6"/>
    <w:rsid w:val="008A2A5D"/>
    <w:rsid w:val="008A2DD4"/>
    <w:rsid w:val="008A2F8B"/>
    <w:rsid w:val="008A3E7B"/>
    <w:rsid w:val="008A4554"/>
    <w:rsid w:val="008A457F"/>
    <w:rsid w:val="008A4C45"/>
    <w:rsid w:val="008A552B"/>
    <w:rsid w:val="008A56F0"/>
    <w:rsid w:val="008A59D0"/>
    <w:rsid w:val="008A59ED"/>
    <w:rsid w:val="008A5F70"/>
    <w:rsid w:val="008A6CD2"/>
    <w:rsid w:val="008A791D"/>
    <w:rsid w:val="008A7B28"/>
    <w:rsid w:val="008A7B52"/>
    <w:rsid w:val="008B0031"/>
    <w:rsid w:val="008B0132"/>
    <w:rsid w:val="008B1BF7"/>
    <w:rsid w:val="008B2709"/>
    <w:rsid w:val="008B286F"/>
    <w:rsid w:val="008B28D0"/>
    <w:rsid w:val="008B2C88"/>
    <w:rsid w:val="008B2F56"/>
    <w:rsid w:val="008B3326"/>
    <w:rsid w:val="008B3988"/>
    <w:rsid w:val="008B3BD3"/>
    <w:rsid w:val="008B5833"/>
    <w:rsid w:val="008B6373"/>
    <w:rsid w:val="008B737C"/>
    <w:rsid w:val="008B777D"/>
    <w:rsid w:val="008C2417"/>
    <w:rsid w:val="008C4852"/>
    <w:rsid w:val="008C5023"/>
    <w:rsid w:val="008C5091"/>
    <w:rsid w:val="008C5327"/>
    <w:rsid w:val="008C5E88"/>
    <w:rsid w:val="008C6A27"/>
    <w:rsid w:val="008D088D"/>
    <w:rsid w:val="008D0945"/>
    <w:rsid w:val="008D2D0D"/>
    <w:rsid w:val="008D3867"/>
    <w:rsid w:val="008D47B6"/>
    <w:rsid w:val="008D4D31"/>
    <w:rsid w:val="008D59C6"/>
    <w:rsid w:val="008D5A53"/>
    <w:rsid w:val="008D5B96"/>
    <w:rsid w:val="008D7E4B"/>
    <w:rsid w:val="008E0037"/>
    <w:rsid w:val="008E1186"/>
    <w:rsid w:val="008E25A7"/>
    <w:rsid w:val="008E3074"/>
    <w:rsid w:val="008E353E"/>
    <w:rsid w:val="008E36CB"/>
    <w:rsid w:val="008E4581"/>
    <w:rsid w:val="008E4C04"/>
    <w:rsid w:val="008E5733"/>
    <w:rsid w:val="008E5B02"/>
    <w:rsid w:val="008E79E1"/>
    <w:rsid w:val="008F028F"/>
    <w:rsid w:val="008F0348"/>
    <w:rsid w:val="008F1C49"/>
    <w:rsid w:val="008F1E27"/>
    <w:rsid w:val="008F215C"/>
    <w:rsid w:val="008F236E"/>
    <w:rsid w:val="008F33BB"/>
    <w:rsid w:val="008F34F0"/>
    <w:rsid w:val="008F35CA"/>
    <w:rsid w:val="008F5445"/>
    <w:rsid w:val="008F54C0"/>
    <w:rsid w:val="008F598F"/>
    <w:rsid w:val="008F5F7A"/>
    <w:rsid w:val="008F6EBA"/>
    <w:rsid w:val="008F707E"/>
    <w:rsid w:val="008F7DC9"/>
    <w:rsid w:val="00900091"/>
    <w:rsid w:val="0090175F"/>
    <w:rsid w:val="00901FED"/>
    <w:rsid w:val="00902C7C"/>
    <w:rsid w:val="0090323C"/>
    <w:rsid w:val="00904838"/>
    <w:rsid w:val="00904878"/>
    <w:rsid w:val="00905918"/>
    <w:rsid w:val="0090638D"/>
    <w:rsid w:val="009075F7"/>
    <w:rsid w:val="009079E1"/>
    <w:rsid w:val="009108E1"/>
    <w:rsid w:val="00910DF4"/>
    <w:rsid w:val="009112A4"/>
    <w:rsid w:val="009112E3"/>
    <w:rsid w:val="00911B96"/>
    <w:rsid w:val="00912AE5"/>
    <w:rsid w:val="00914528"/>
    <w:rsid w:val="00914766"/>
    <w:rsid w:val="0091503C"/>
    <w:rsid w:val="0091558B"/>
    <w:rsid w:val="0091582C"/>
    <w:rsid w:val="00916399"/>
    <w:rsid w:val="009166F4"/>
    <w:rsid w:val="009169A5"/>
    <w:rsid w:val="00916DD5"/>
    <w:rsid w:val="009177CF"/>
    <w:rsid w:val="00922078"/>
    <w:rsid w:val="00922F97"/>
    <w:rsid w:val="00924F64"/>
    <w:rsid w:val="009251F7"/>
    <w:rsid w:val="009275C7"/>
    <w:rsid w:val="00927EF7"/>
    <w:rsid w:val="00930444"/>
    <w:rsid w:val="00930643"/>
    <w:rsid w:val="00930D1B"/>
    <w:rsid w:val="00930D8F"/>
    <w:rsid w:val="0093242F"/>
    <w:rsid w:val="00935D3C"/>
    <w:rsid w:val="00937081"/>
    <w:rsid w:val="00937876"/>
    <w:rsid w:val="00940CF4"/>
    <w:rsid w:val="00941AE8"/>
    <w:rsid w:val="00942F17"/>
    <w:rsid w:val="00944402"/>
    <w:rsid w:val="0094484D"/>
    <w:rsid w:val="00945599"/>
    <w:rsid w:val="009466CF"/>
    <w:rsid w:val="009501BF"/>
    <w:rsid w:val="009509C8"/>
    <w:rsid w:val="00951B60"/>
    <w:rsid w:val="009523CA"/>
    <w:rsid w:val="00952C45"/>
    <w:rsid w:val="00952D92"/>
    <w:rsid w:val="00953754"/>
    <w:rsid w:val="009549AE"/>
    <w:rsid w:val="00956D1B"/>
    <w:rsid w:val="00957BF4"/>
    <w:rsid w:val="009601E7"/>
    <w:rsid w:val="00960688"/>
    <w:rsid w:val="00960B25"/>
    <w:rsid w:val="00964EEE"/>
    <w:rsid w:val="00965E22"/>
    <w:rsid w:val="00966AAB"/>
    <w:rsid w:val="00967407"/>
    <w:rsid w:val="009702E8"/>
    <w:rsid w:val="0097145D"/>
    <w:rsid w:val="00971632"/>
    <w:rsid w:val="00972581"/>
    <w:rsid w:val="00974051"/>
    <w:rsid w:val="00974804"/>
    <w:rsid w:val="00974FAA"/>
    <w:rsid w:val="00975064"/>
    <w:rsid w:val="00975CE8"/>
    <w:rsid w:val="00976BFE"/>
    <w:rsid w:val="009771B3"/>
    <w:rsid w:val="009778DE"/>
    <w:rsid w:val="00977BC2"/>
    <w:rsid w:val="00980560"/>
    <w:rsid w:val="009807CA"/>
    <w:rsid w:val="0098090E"/>
    <w:rsid w:val="00980DC6"/>
    <w:rsid w:val="00981143"/>
    <w:rsid w:val="00981B4A"/>
    <w:rsid w:val="00981F92"/>
    <w:rsid w:val="0098249F"/>
    <w:rsid w:val="009826DC"/>
    <w:rsid w:val="00982C67"/>
    <w:rsid w:val="00982D56"/>
    <w:rsid w:val="00984AF6"/>
    <w:rsid w:val="00984CFB"/>
    <w:rsid w:val="00985176"/>
    <w:rsid w:val="00985655"/>
    <w:rsid w:val="0098636F"/>
    <w:rsid w:val="009867E6"/>
    <w:rsid w:val="00986B52"/>
    <w:rsid w:val="00990A53"/>
    <w:rsid w:val="00991472"/>
    <w:rsid w:val="00991F04"/>
    <w:rsid w:val="009944F4"/>
    <w:rsid w:val="00995B5E"/>
    <w:rsid w:val="009968B7"/>
    <w:rsid w:val="00996946"/>
    <w:rsid w:val="00996A40"/>
    <w:rsid w:val="00996B76"/>
    <w:rsid w:val="00996DEE"/>
    <w:rsid w:val="00996E1D"/>
    <w:rsid w:val="00997F88"/>
    <w:rsid w:val="009A1268"/>
    <w:rsid w:val="009A1301"/>
    <w:rsid w:val="009A160F"/>
    <w:rsid w:val="009A1CCD"/>
    <w:rsid w:val="009A2DA0"/>
    <w:rsid w:val="009A332F"/>
    <w:rsid w:val="009A39F2"/>
    <w:rsid w:val="009A3BAA"/>
    <w:rsid w:val="009B00F7"/>
    <w:rsid w:val="009B0AF2"/>
    <w:rsid w:val="009B30FE"/>
    <w:rsid w:val="009B357D"/>
    <w:rsid w:val="009B3CD2"/>
    <w:rsid w:val="009B4053"/>
    <w:rsid w:val="009B44B5"/>
    <w:rsid w:val="009B5541"/>
    <w:rsid w:val="009B7284"/>
    <w:rsid w:val="009C077B"/>
    <w:rsid w:val="009C1048"/>
    <w:rsid w:val="009C11BA"/>
    <w:rsid w:val="009C12C3"/>
    <w:rsid w:val="009C1C3C"/>
    <w:rsid w:val="009C2B99"/>
    <w:rsid w:val="009C3929"/>
    <w:rsid w:val="009C542C"/>
    <w:rsid w:val="009C57A3"/>
    <w:rsid w:val="009C5D27"/>
    <w:rsid w:val="009C62EF"/>
    <w:rsid w:val="009C7F3B"/>
    <w:rsid w:val="009D10C4"/>
    <w:rsid w:val="009D16DC"/>
    <w:rsid w:val="009D208F"/>
    <w:rsid w:val="009D2EFE"/>
    <w:rsid w:val="009D3F5D"/>
    <w:rsid w:val="009D5796"/>
    <w:rsid w:val="009D594B"/>
    <w:rsid w:val="009D5C5F"/>
    <w:rsid w:val="009D6CF3"/>
    <w:rsid w:val="009D77C8"/>
    <w:rsid w:val="009E06CE"/>
    <w:rsid w:val="009E13C1"/>
    <w:rsid w:val="009E1419"/>
    <w:rsid w:val="009E172E"/>
    <w:rsid w:val="009E5249"/>
    <w:rsid w:val="009E54F5"/>
    <w:rsid w:val="009E54FD"/>
    <w:rsid w:val="009E5FBE"/>
    <w:rsid w:val="009E738A"/>
    <w:rsid w:val="009E79A8"/>
    <w:rsid w:val="009F045D"/>
    <w:rsid w:val="009F14CA"/>
    <w:rsid w:val="009F1DC7"/>
    <w:rsid w:val="009F2134"/>
    <w:rsid w:val="009F21DA"/>
    <w:rsid w:val="009F28B1"/>
    <w:rsid w:val="009F37B9"/>
    <w:rsid w:val="009F3CB2"/>
    <w:rsid w:val="009F47A0"/>
    <w:rsid w:val="009F47E2"/>
    <w:rsid w:val="009F52E0"/>
    <w:rsid w:val="009F5647"/>
    <w:rsid w:val="009F596F"/>
    <w:rsid w:val="009F6F10"/>
    <w:rsid w:val="009F756C"/>
    <w:rsid w:val="009F7681"/>
    <w:rsid w:val="00A00949"/>
    <w:rsid w:val="00A0134A"/>
    <w:rsid w:val="00A01A74"/>
    <w:rsid w:val="00A0479E"/>
    <w:rsid w:val="00A048D8"/>
    <w:rsid w:val="00A05082"/>
    <w:rsid w:val="00A05E8D"/>
    <w:rsid w:val="00A065D3"/>
    <w:rsid w:val="00A07211"/>
    <w:rsid w:val="00A101C3"/>
    <w:rsid w:val="00A1222F"/>
    <w:rsid w:val="00A12A89"/>
    <w:rsid w:val="00A13E23"/>
    <w:rsid w:val="00A16180"/>
    <w:rsid w:val="00A1707E"/>
    <w:rsid w:val="00A21718"/>
    <w:rsid w:val="00A223D2"/>
    <w:rsid w:val="00A24B6E"/>
    <w:rsid w:val="00A25031"/>
    <w:rsid w:val="00A25F40"/>
    <w:rsid w:val="00A263F0"/>
    <w:rsid w:val="00A27CDB"/>
    <w:rsid w:val="00A32C7E"/>
    <w:rsid w:val="00A33269"/>
    <w:rsid w:val="00A338E9"/>
    <w:rsid w:val="00A340DE"/>
    <w:rsid w:val="00A34984"/>
    <w:rsid w:val="00A3547C"/>
    <w:rsid w:val="00A361D5"/>
    <w:rsid w:val="00A40702"/>
    <w:rsid w:val="00A40D35"/>
    <w:rsid w:val="00A41700"/>
    <w:rsid w:val="00A42176"/>
    <w:rsid w:val="00A42B33"/>
    <w:rsid w:val="00A43405"/>
    <w:rsid w:val="00A441F3"/>
    <w:rsid w:val="00A443FF"/>
    <w:rsid w:val="00A44ECA"/>
    <w:rsid w:val="00A51584"/>
    <w:rsid w:val="00A51ACE"/>
    <w:rsid w:val="00A54A1B"/>
    <w:rsid w:val="00A54EB0"/>
    <w:rsid w:val="00A5745F"/>
    <w:rsid w:val="00A60545"/>
    <w:rsid w:val="00A6392C"/>
    <w:rsid w:val="00A63A48"/>
    <w:rsid w:val="00A642C3"/>
    <w:rsid w:val="00A65242"/>
    <w:rsid w:val="00A6528F"/>
    <w:rsid w:val="00A6569B"/>
    <w:rsid w:val="00A665F6"/>
    <w:rsid w:val="00A66824"/>
    <w:rsid w:val="00A670E8"/>
    <w:rsid w:val="00A67268"/>
    <w:rsid w:val="00A674AB"/>
    <w:rsid w:val="00A709A4"/>
    <w:rsid w:val="00A716FE"/>
    <w:rsid w:val="00A726A7"/>
    <w:rsid w:val="00A72AC9"/>
    <w:rsid w:val="00A72F6F"/>
    <w:rsid w:val="00A73055"/>
    <w:rsid w:val="00A73221"/>
    <w:rsid w:val="00A7576F"/>
    <w:rsid w:val="00A76CAB"/>
    <w:rsid w:val="00A76F1C"/>
    <w:rsid w:val="00A773B3"/>
    <w:rsid w:val="00A77B89"/>
    <w:rsid w:val="00A82C68"/>
    <w:rsid w:val="00A841AA"/>
    <w:rsid w:val="00A87869"/>
    <w:rsid w:val="00A907BD"/>
    <w:rsid w:val="00A92D5D"/>
    <w:rsid w:val="00A949C2"/>
    <w:rsid w:val="00A95764"/>
    <w:rsid w:val="00A960F0"/>
    <w:rsid w:val="00A96E0D"/>
    <w:rsid w:val="00A96F86"/>
    <w:rsid w:val="00A97763"/>
    <w:rsid w:val="00A97862"/>
    <w:rsid w:val="00AA0925"/>
    <w:rsid w:val="00AA123B"/>
    <w:rsid w:val="00AA1558"/>
    <w:rsid w:val="00AA1AB8"/>
    <w:rsid w:val="00AA287D"/>
    <w:rsid w:val="00AA36FD"/>
    <w:rsid w:val="00AA6C7D"/>
    <w:rsid w:val="00AA6F1D"/>
    <w:rsid w:val="00AA78F5"/>
    <w:rsid w:val="00AA7DE5"/>
    <w:rsid w:val="00AB042E"/>
    <w:rsid w:val="00AB4EFA"/>
    <w:rsid w:val="00AB633B"/>
    <w:rsid w:val="00AB7A80"/>
    <w:rsid w:val="00AC1CB5"/>
    <w:rsid w:val="00AC38E8"/>
    <w:rsid w:val="00AC3AD3"/>
    <w:rsid w:val="00AC3B05"/>
    <w:rsid w:val="00AC5253"/>
    <w:rsid w:val="00AC5930"/>
    <w:rsid w:val="00AC61BB"/>
    <w:rsid w:val="00AC6E0D"/>
    <w:rsid w:val="00AC7A7C"/>
    <w:rsid w:val="00AD1167"/>
    <w:rsid w:val="00AD1C4D"/>
    <w:rsid w:val="00AD2894"/>
    <w:rsid w:val="00AD2F03"/>
    <w:rsid w:val="00AD36FB"/>
    <w:rsid w:val="00AD3C40"/>
    <w:rsid w:val="00AD48DB"/>
    <w:rsid w:val="00AD52D1"/>
    <w:rsid w:val="00AD55AD"/>
    <w:rsid w:val="00AD626A"/>
    <w:rsid w:val="00AD63D6"/>
    <w:rsid w:val="00AD728E"/>
    <w:rsid w:val="00AD74D5"/>
    <w:rsid w:val="00AE0846"/>
    <w:rsid w:val="00AE0918"/>
    <w:rsid w:val="00AE0CC2"/>
    <w:rsid w:val="00AE0E36"/>
    <w:rsid w:val="00AE136C"/>
    <w:rsid w:val="00AE2A24"/>
    <w:rsid w:val="00AE324B"/>
    <w:rsid w:val="00AE33CB"/>
    <w:rsid w:val="00AE46C5"/>
    <w:rsid w:val="00AE4CC7"/>
    <w:rsid w:val="00AE5D2D"/>
    <w:rsid w:val="00AE6DFE"/>
    <w:rsid w:val="00AE6F5C"/>
    <w:rsid w:val="00AF1DCF"/>
    <w:rsid w:val="00AF2005"/>
    <w:rsid w:val="00AF259D"/>
    <w:rsid w:val="00AF2735"/>
    <w:rsid w:val="00AF4180"/>
    <w:rsid w:val="00AF45CE"/>
    <w:rsid w:val="00AF47EF"/>
    <w:rsid w:val="00AF4C4A"/>
    <w:rsid w:val="00AF4FCD"/>
    <w:rsid w:val="00AF4FDA"/>
    <w:rsid w:val="00AF5530"/>
    <w:rsid w:val="00AF61BD"/>
    <w:rsid w:val="00AF647B"/>
    <w:rsid w:val="00AF76D2"/>
    <w:rsid w:val="00AF7930"/>
    <w:rsid w:val="00AF7A82"/>
    <w:rsid w:val="00B006B9"/>
    <w:rsid w:val="00B00BA0"/>
    <w:rsid w:val="00B00FBD"/>
    <w:rsid w:val="00B018D3"/>
    <w:rsid w:val="00B01E69"/>
    <w:rsid w:val="00B01FD0"/>
    <w:rsid w:val="00B02C03"/>
    <w:rsid w:val="00B02ECA"/>
    <w:rsid w:val="00B03360"/>
    <w:rsid w:val="00B03DBC"/>
    <w:rsid w:val="00B0485F"/>
    <w:rsid w:val="00B05BAD"/>
    <w:rsid w:val="00B05CC0"/>
    <w:rsid w:val="00B062EF"/>
    <w:rsid w:val="00B10C6A"/>
    <w:rsid w:val="00B11349"/>
    <w:rsid w:val="00B11C21"/>
    <w:rsid w:val="00B11D48"/>
    <w:rsid w:val="00B12461"/>
    <w:rsid w:val="00B12FB8"/>
    <w:rsid w:val="00B136E3"/>
    <w:rsid w:val="00B16C54"/>
    <w:rsid w:val="00B1799B"/>
    <w:rsid w:val="00B179E9"/>
    <w:rsid w:val="00B20CC9"/>
    <w:rsid w:val="00B2280C"/>
    <w:rsid w:val="00B22EDB"/>
    <w:rsid w:val="00B2356B"/>
    <w:rsid w:val="00B25265"/>
    <w:rsid w:val="00B252F3"/>
    <w:rsid w:val="00B25C02"/>
    <w:rsid w:val="00B27A4D"/>
    <w:rsid w:val="00B27F38"/>
    <w:rsid w:val="00B310E8"/>
    <w:rsid w:val="00B3133D"/>
    <w:rsid w:val="00B31D7D"/>
    <w:rsid w:val="00B323D8"/>
    <w:rsid w:val="00B32907"/>
    <w:rsid w:val="00B348C9"/>
    <w:rsid w:val="00B35C02"/>
    <w:rsid w:val="00B3752A"/>
    <w:rsid w:val="00B37D00"/>
    <w:rsid w:val="00B404E0"/>
    <w:rsid w:val="00B4219C"/>
    <w:rsid w:val="00B42447"/>
    <w:rsid w:val="00B43268"/>
    <w:rsid w:val="00B43C41"/>
    <w:rsid w:val="00B44758"/>
    <w:rsid w:val="00B4484D"/>
    <w:rsid w:val="00B46035"/>
    <w:rsid w:val="00B47079"/>
    <w:rsid w:val="00B479F4"/>
    <w:rsid w:val="00B5130B"/>
    <w:rsid w:val="00B53435"/>
    <w:rsid w:val="00B53542"/>
    <w:rsid w:val="00B53631"/>
    <w:rsid w:val="00B53A29"/>
    <w:rsid w:val="00B54149"/>
    <w:rsid w:val="00B546F3"/>
    <w:rsid w:val="00B55C54"/>
    <w:rsid w:val="00B56960"/>
    <w:rsid w:val="00B571E5"/>
    <w:rsid w:val="00B60944"/>
    <w:rsid w:val="00B60A6B"/>
    <w:rsid w:val="00B61D06"/>
    <w:rsid w:val="00B61E33"/>
    <w:rsid w:val="00B62B04"/>
    <w:rsid w:val="00B65969"/>
    <w:rsid w:val="00B66579"/>
    <w:rsid w:val="00B673DE"/>
    <w:rsid w:val="00B7018A"/>
    <w:rsid w:val="00B72A0A"/>
    <w:rsid w:val="00B73300"/>
    <w:rsid w:val="00B74F9A"/>
    <w:rsid w:val="00B7547C"/>
    <w:rsid w:val="00B76BBA"/>
    <w:rsid w:val="00B77C5A"/>
    <w:rsid w:val="00B81CE1"/>
    <w:rsid w:val="00B83BF7"/>
    <w:rsid w:val="00B84DFA"/>
    <w:rsid w:val="00B87798"/>
    <w:rsid w:val="00B90DF9"/>
    <w:rsid w:val="00B91697"/>
    <w:rsid w:val="00B9199B"/>
    <w:rsid w:val="00B92138"/>
    <w:rsid w:val="00B953DA"/>
    <w:rsid w:val="00B96937"/>
    <w:rsid w:val="00B96C48"/>
    <w:rsid w:val="00B96D29"/>
    <w:rsid w:val="00B97DD5"/>
    <w:rsid w:val="00BA23AA"/>
    <w:rsid w:val="00BA2575"/>
    <w:rsid w:val="00BA326E"/>
    <w:rsid w:val="00BA4251"/>
    <w:rsid w:val="00BA44F5"/>
    <w:rsid w:val="00BA46DB"/>
    <w:rsid w:val="00BA4BD7"/>
    <w:rsid w:val="00BA6142"/>
    <w:rsid w:val="00BA6463"/>
    <w:rsid w:val="00BA671A"/>
    <w:rsid w:val="00BA6AC7"/>
    <w:rsid w:val="00BA6FFD"/>
    <w:rsid w:val="00BB112A"/>
    <w:rsid w:val="00BB113B"/>
    <w:rsid w:val="00BB1606"/>
    <w:rsid w:val="00BB2044"/>
    <w:rsid w:val="00BB266D"/>
    <w:rsid w:val="00BB37CD"/>
    <w:rsid w:val="00BB41CB"/>
    <w:rsid w:val="00BB42D6"/>
    <w:rsid w:val="00BB5B1B"/>
    <w:rsid w:val="00BB6E8C"/>
    <w:rsid w:val="00BB811B"/>
    <w:rsid w:val="00BC0026"/>
    <w:rsid w:val="00BC1060"/>
    <w:rsid w:val="00BC2715"/>
    <w:rsid w:val="00BC43FE"/>
    <w:rsid w:val="00BC4807"/>
    <w:rsid w:val="00BC6B02"/>
    <w:rsid w:val="00BC75FB"/>
    <w:rsid w:val="00BC7B13"/>
    <w:rsid w:val="00BC7D56"/>
    <w:rsid w:val="00BD26C0"/>
    <w:rsid w:val="00BD2710"/>
    <w:rsid w:val="00BD32F1"/>
    <w:rsid w:val="00BD36FE"/>
    <w:rsid w:val="00BD38FA"/>
    <w:rsid w:val="00BD3B03"/>
    <w:rsid w:val="00BD57FA"/>
    <w:rsid w:val="00BD63AC"/>
    <w:rsid w:val="00BD7BF5"/>
    <w:rsid w:val="00BE18AD"/>
    <w:rsid w:val="00BE23F4"/>
    <w:rsid w:val="00BE2F4D"/>
    <w:rsid w:val="00BE2FA0"/>
    <w:rsid w:val="00BE361B"/>
    <w:rsid w:val="00BE3AEE"/>
    <w:rsid w:val="00BE5037"/>
    <w:rsid w:val="00BE5C2B"/>
    <w:rsid w:val="00BE7B76"/>
    <w:rsid w:val="00BF0C7D"/>
    <w:rsid w:val="00BF1C23"/>
    <w:rsid w:val="00BF33CC"/>
    <w:rsid w:val="00BF3C5A"/>
    <w:rsid w:val="00BF67E8"/>
    <w:rsid w:val="00BF737E"/>
    <w:rsid w:val="00BF7B8E"/>
    <w:rsid w:val="00C00350"/>
    <w:rsid w:val="00C03CE6"/>
    <w:rsid w:val="00C03FA3"/>
    <w:rsid w:val="00C04439"/>
    <w:rsid w:val="00C0460A"/>
    <w:rsid w:val="00C05B75"/>
    <w:rsid w:val="00C065EB"/>
    <w:rsid w:val="00C06696"/>
    <w:rsid w:val="00C06F9C"/>
    <w:rsid w:val="00C07176"/>
    <w:rsid w:val="00C07EA5"/>
    <w:rsid w:val="00C10A4F"/>
    <w:rsid w:val="00C10B6F"/>
    <w:rsid w:val="00C10BDC"/>
    <w:rsid w:val="00C110B5"/>
    <w:rsid w:val="00C12A74"/>
    <w:rsid w:val="00C12E08"/>
    <w:rsid w:val="00C13730"/>
    <w:rsid w:val="00C15538"/>
    <w:rsid w:val="00C15971"/>
    <w:rsid w:val="00C15CDB"/>
    <w:rsid w:val="00C15F4B"/>
    <w:rsid w:val="00C15FC8"/>
    <w:rsid w:val="00C167B6"/>
    <w:rsid w:val="00C1712F"/>
    <w:rsid w:val="00C17D17"/>
    <w:rsid w:val="00C21201"/>
    <w:rsid w:val="00C240B7"/>
    <w:rsid w:val="00C2452F"/>
    <w:rsid w:val="00C2497C"/>
    <w:rsid w:val="00C25016"/>
    <w:rsid w:val="00C269D3"/>
    <w:rsid w:val="00C27167"/>
    <w:rsid w:val="00C27372"/>
    <w:rsid w:val="00C27711"/>
    <w:rsid w:val="00C27B56"/>
    <w:rsid w:val="00C31D37"/>
    <w:rsid w:val="00C32537"/>
    <w:rsid w:val="00C32FEA"/>
    <w:rsid w:val="00C33787"/>
    <w:rsid w:val="00C35237"/>
    <w:rsid w:val="00C35789"/>
    <w:rsid w:val="00C35B90"/>
    <w:rsid w:val="00C3647B"/>
    <w:rsid w:val="00C3764C"/>
    <w:rsid w:val="00C40156"/>
    <w:rsid w:val="00C40674"/>
    <w:rsid w:val="00C40A50"/>
    <w:rsid w:val="00C40E6B"/>
    <w:rsid w:val="00C41FB8"/>
    <w:rsid w:val="00C42345"/>
    <w:rsid w:val="00C42501"/>
    <w:rsid w:val="00C429CB"/>
    <w:rsid w:val="00C43A29"/>
    <w:rsid w:val="00C43EFA"/>
    <w:rsid w:val="00C44D02"/>
    <w:rsid w:val="00C45467"/>
    <w:rsid w:val="00C45657"/>
    <w:rsid w:val="00C45DDF"/>
    <w:rsid w:val="00C46576"/>
    <w:rsid w:val="00C466FE"/>
    <w:rsid w:val="00C46E9B"/>
    <w:rsid w:val="00C4721B"/>
    <w:rsid w:val="00C47294"/>
    <w:rsid w:val="00C4766C"/>
    <w:rsid w:val="00C4768E"/>
    <w:rsid w:val="00C505A0"/>
    <w:rsid w:val="00C51411"/>
    <w:rsid w:val="00C51B71"/>
    <w:rsid w:val="00C531DE"/>
    <w:rsid w:val="00C53695"/>
    <w:rsid w:val="00C53F20"/>
    <w:rsid w:val="00C53FB5"/>
    <w:rsid w:val="00C546CD"/>
    <w:rsid w:val="00C54867"/>
    <w:rsid w:val="00C54AEB"/>
    <w:rsid w:val="00C570AD"/>
    <w:rsid w:val="00C5796C"/>
    <w:rsid w:val="00C57F5A"/>
    <w:rsid w:val="00C61CE3"/>
    <w:rsid w:val="00C620F6"/>
    <w:rsid w:val="00C621ED"/>
    <w:rsid w:val="00C62C4B"/>
    <w:rsid w:val="00C63DB7"/>
    <w:rsid w:val="00C64580"/>
    <w:rsid w:val="00C64BF1"/>
    <w:rsid w:val="00C6613C"/>
    <w:rsid w:val="00C663DE"/>
    <w:rsid w:val="00C67CC4"/>
    <w:rsid w:val="00C67FFC"/>
    <w:rsid w:val="00C7046C"/>
    <w:rsid w:val="00C72652"/>
    <w:rsid w:val="00C74057"/>
    <w:rsid w:val="00C74981"/>
    <w:rsid w:val="00C7505C"/>
    <w:rsid w:val="00C7610C"/>
    <w:rsid w:val="00C76BD0"/>
    <w:rsid w:val="00C77477"/>
    <w:rsid w:val="00C80331"/>
    <w:rsid w:val="00C81749"/>
    <w:rsid w:val="00C81B8A"/>
    <w:rsid w:val="00C82131"/>
    <w:rsid w:val="00C8241F"/>
    <w:rsid w:val="00C8419E"/>
    <w:rsid w:val="00C84D6B"/>
    <w:rsid w:val="00C85721"/>
    <w:rsid w:val="00C85BC2"/>
    <w:rsid w:val="00C86254"/>
    <w:rsid w:val="00C87A50"/>
    <w:rsid w:val="00C901C0"/>
    <w:rsid w:val="00C91FEA"/>
    <w:rsid w:val="00C93C65"/>
    <w:rsid w:val="00C94A68"/>
    <w:rsid w:val="00C94AA4"/>
    <w:rsid w:val="00C95054"/>
    <w:rsid w:val="00C95D4A"/>
    <w:rsid w:val="00C9707B"/>
    <w:rsid w:val="00C9713B"/>
    <w:rsid w:val="00CA08FA"/>
    <w:rsid w:val="00CA0AEE"/>
    <w:rsid w:val="00CA15AD"/>
    <w:rsid w:val="00CA1A00"/>
    <w:rsid w:val="00CA23DD"/>
    <w:rsid w:val="00CA3097"/>
    <w:rsid w:val="00CA3927"/>
    <w:rsid w:val="00CA484E"/>
    <w:rsid w:val="00CA5094"/>
    <w:rsid w:val="00CA51E9"/>
    <w:rsid w:val="00CA571A"/>
    <w:rsid w:val="00CA6D97"/>
    <w:rsid w:val="00CA722E"/>
    <w:rsid w:val="00CA752D"/>
    <w:rsid w:val="00CA7536"/>
    <w:rsid w:val="00CA78D5"/>
    <w:rsid w:val="00CA7C1F"/>
    <w:rsid w:val="00CA7F56"/>
    <w:rsid w:val="00CB16C2"/>
    <w:rsid w:val="00CB2C54"/>
    <w:rsid w:val="00CB359F"/>
    <w:rsid w:val="00CB4093"/>
    <w:rsid w:val="00CB45CC"/>
    <w:rsid w:val="00CB5A65"/>
    <w:rsid w:val="00CB6373"/>
    <w:rsid w:val="00CB65EE"/>
    <w:rsid w:val="00CB67DD"/>
    <w:rsid w:val="00CB699F"/>
    <w:rsid w:val="00CB7015"/>
    <w:rsid w:val="00CB7481"/>
    <w:rsid w:val="00CB7746"/>
    <w:rsid w:val="00CB7A9F"/>
    <w:rsid w:val="00CC0921"/>
    <w:rsid w:val="00CC0C78"/>
    <w:rsid w:val="00CC15FA"/>
    <w:rsid w:val="00CC1675"/>
    <w:rsid w:val="00CC1E2E"/>
    <w:rsid w:val="00CC1F39"/>
    <w:rsid w:val="00CC2722"/>
    <w:rsid w:val="00CC28E4"/>
    <w:rsid w:val="00CC4341"/>
    <w:rsid w:val="00CC4407"/>
    <w:rsid w:val="00CC509F"/>
    <w:rsid w:val="00CC543B"/>
    <w:rsid w:val="00CC5658"/>
    <w:rsid w:val="00CC75B7"/>
    <w:rsid w:val="00CC77A7"/>
    <w:rsid w:val="00CC78A5"/>
    <w:rsid w:val="00CD0217"/>
    <w:rsid w:val="00CD165B"/>
    <w:rsid w:val="00CD2011"/>
    <w:rsid w:val="00CD2BA5"/>
    <w:rsid w:val="00CD2ECB"/>
    <w:rsid w:val="00CD50AE"/>
    <w:rsid w:val="00CD53B4"/>
    <w:rsid w:val="00CD601A"/>
    <w:rsid w:val="00CD613A"/>
    <w:rsid w:val="00CD6690"/>
    <w:rsid w:val="00CD6EF3"/>
    <w:rsid w:val="00CE459F"/>
    <w:rsid w:val="00CE633D"/>
    <w:rsid w:val="00CE6376"/>
    <w:rsid w:val="00CE6A2F"/>
    <w:rsid w:val="00CE6B0B"/>
    <w:rsid w:val="00CE7731"/>
    <w:rsid w:val="00CE782B"/>
    <w:rsid w:val="00CE7E07"/>
    <w:rsid w:val="00CF0B30"/>
    <w:rsid w:val="00CF0FA6"/>
    <w:rsid w:val="00CF2460"/>
    <w:rsid w:val="00CF2D96"/>
    <w:rsid w:val="00CF3BE9"/>
    <w:rsid w:val="00CF45BD"/>
    <w:rsid w:val="00CF475C"/>
    <w:rsid w:val="00CF49E6"/>
    <w:rsid w:val="00CF52FB"/>
    <w:rsid w:val="00CF5F91"/>
    <w:rsid w:val="00CF793C"/>
    <w:rsid w:val="00D004B4"/>
    <w:rsid w:val="00D00EC4"/>
    <w:rsid w:val="00D0397A"/>
    <w:rsid w:val="00D05647"/>
    <w:rsid w:val="00D062DE"/>
    <w:rsid w:val="00D06B01"/>
    <w:rsid w:val="00D07522"/>
    <w:rsid w:val="00D07C7A"/>
    <w:rsid w:val="00D10213"/>
    <w:rsid w:val="00D1043E"/>
    <w:rsid w:val="00D10858"/>
    <w:rsid w:val="00D11445"/>
    <w:rsid w:val="00D1165C"/>
    <w:rsid w:val="00D1375D"/>
    <w:rsid w:val="00D14604"/>
    <w:rsid w:val="00D14E93"/>
    <w:rsid w:val="00D14EAA"/>
    <w:rsid w:val="00D159D9"/>
    <w:rsid w:val="00D17196"/>
    <w:rsid w:val="00D176D4"/>
    <w:rsid w:val="00D17DE7"/>
    <w:rsid w:val="00D17E08"/>
    <w:rsid w:val="00D205FA"/>
    <w:rsid w:val="00D2068A"/>
    <w:rsid w:val="00D209ED"/>
    <w:rsid w:val="00D20BF3"/>
    <w:rsid w:val="00D22094"/>
    <w:rsid w:val="00D220DC"/>
    <w:rsid w:val="00D22592"/>
    <w:rsid w:val="00D229C4"/>
    <w:rsid w:val="00D23E08"/>
    <w:rsid w:val="00D23E83"/>
    <w:rsid w:val="00D2474E"/>
    <w:rsid w:val="00D24955"/>
    <w:rsid w:val="00D250A0"/>
    <w:rsid w:val="00D25422"/>
    <w:rsid w:val="00D275FE"/>
    <w:rsid w:val="00D279E7"/>
    <w:rsid w:val="00D3239C"/>
    <w:rsid w:val="00D32BE9"/>
    <w:rsid w:val="00D32C54"/>
    <w:rsid w:val="00D334E0"/>
    <w:rsid w:val="00D33887"/>
    <w:rsid w:val="00D33D0C"/>
    <w:rsid w:val="00D34523"/>
    <w:rsid w:val="00D34CAA"/>
    <w:rsid w:val="00D34EB3"/>
    <w:rsid w:val="00D36F66"/>
    <w:rsid w:val="00D37898"/>
    <w:rsid w:val="00D40535"/>
    <w:rsid w:val="00D40C29"/>
    <w:rsid w:val="00D40F7B"/>
    <w:rsid w:val="00D4274C"/>
    <w:rsid w:val="00D4282D"/>
    <w:rsid w:val="00D42BC4"/>
    <w:rsid w:val="00D44FB6"/>
    <w:rsid w:val="00D45A5F"/>
    <w:rsid w:val="00D45AB9"/>
    <w:rsid w:val="00D507B2"/>
    <w:rsid w:val="00D50C70"/>
    <w:rsid w:val="00D50E93"/>
    <w:rsid w:val="00D51AC2"/>
    <w:rsid w:val="00D52F3B"/>
    <w:rsid w:val="00D5306D"/>
    <w:rsid w:val="00D537A3"/>
    <w:rsid w:val="00D53E9D"/>
    <w:rsid w:val="00D54330"/>
    <w:rsid w:val="00D546A6"/>
    <w:rsid w:val="00D5481C"/>
    <w:rsid w:val="00D54953"/>
    <w:rsid w:val="00D550C6"/>
    <w:rsid w:val="00D55F10"/>
    <w:rsid w:val="00D571BF"/>
    <w:rsid w:val="00D5722A"/>
    <w:rsid w:val="00D57338"/>
    <w:rsid w:val="00D57BF5"/>
    <w:rsid w:val="00D61732"/>
    <w:rsid w:val="00D61DCB"/>
    <w:rsid w:val="00D62569"/>
    <w:rsid w:val="00D62848"/>
    <w:rsid w:val="00D6362D"/>
    <w:rsid w:val="00D640BD"/>
    <w:rsid w:val="00D64535"/>
    <w:rsid w:val="00D64B8A"/>
    <w:rsid w:val="00D650CA"/>
    <w:rsid w:val="00D65997"/>
    <w:rsid w:val="00D65ADA"/>
    <w:rsid w:val="00D664A4"/>
    <w:rsid w:val="00D70605"/>
    <w:rsid w:val="00D7092F"/>
    <w:rsid w:val="00D70CFF"/>
    <w:rsid w:val="00D713C2"/>
    <w:rsid w:val="00D713DA"/>
    <w:rsid w:val="00D7154D"/>
    <w:rsid w:val="00D722A4"/>
    <w:rsid w:val="00D72DEA"/>
    <w:rsid w:val="00D76F6C"/>
    <w:rsid w:val="00D773B7"/>
    <w:rsid w:val="00D81766"/>
    <w:rsid w:val="00D81781"/>
    <w:rsid w:val="00D8198A"/>
    <w:rsid w:val="00D8269B"/>
    <w:rsid w:val="00D8345D"/>
    <w:rsid w:val="00D85062"/>
    <w:rsid w:val="00D850C2"/>
    <w:rsid w:val="00D90403"/>
    <w:rsid w:val="00D90F2A"/>
    <w:rsid w:val="00D91AA2"/>
    <w:rsid w:val="00D933A6"/>
    <w:rsid w:val="00D94011"/>
    <w:rsid w:val="00D94668"/>
    <w:rsid w:val="00D962CA"/>
    <w:rsid w:val="00D96BFB"/>
    <w:rsid w:val="00D972F4"/>
    <w:rsid w:val="00D97637"/>
    <w:rsid w:val="00D97AC4"/>
    <w:rsid w:val="00DA059F"/>
    <w:rsid w:val="00DA0F68"/>
    <w:rsid w:val="00DA135C"/>
    <w:rsid w:val="00DA15B3"/>
    <w:rsid w:val="00DA16ED"/>
    <w:rsid w:val="00DA27DB"/>
    <w:rsid w:val="00DA4169"/>
    <w:rsid w:val="00DA4B86"/>
    <w:rsid w:val="00DA4DC6"/>
    <w:rsid w:val="00DA626D"/>
    <w:rsid w:val="00DA6707"/>
    <w:rsid w:val="00DB0D4C"/>
    <w:rsid w:val="00DB11DC"/>
    <w:rsid w:val="00DB23A4"/>
    <w:rsid w:val="00DB2563"/>
    <w:rsid w:val="00DB2C43"/>
    <w:rsid w:val="00DB3977"/>
    <w:rsid w:val="00DB3F49"/>
    <w:rsid w:val="00DB6539"/>
    <w:rsid w:val="00DC05FC"/>
    <w:rsid w:val="00DC0AC3"/>
    <w:rsid w:val="00DC2602"/>
    <w:rsid w:val="00DC2FA3"/>
    <w:rsid w:val="00DC593B"/>
    <w:rsid w:val="00DC5A78"/>
    <w:rsid w:val="00DC74A2"/>
    <w:rsid w:val="00DC755F"/>
    <w:rsid w:val="00DC7A2F"/>
    <w:rsid w:val="00DD05F9"/>
    <w:rsid w:val="00DD1897"/>
    <w:rsid w:val="00DD1C17"/>
    <w:rsid w:val="00DD1CF0"/>
    <w:rsid w:val="00DD3CC9"/>
    <w:rsid w:val="00DD403A"/>
    <w:rsid w:val="00DD40C7"/>
    <w:rsid w:val="00DD4934"/>
    <w:rsid w:val="00DD729E"/>
    <w:rsid w:val="00DE0626"/>
    <w:rsid w:val="00DE1A24"/>
    <w:rsid w:val="00DE23B4"/>
    <w:rsid w:val="00DE3866"/>
    <w:rsid w:val="00DE6425"/>
    <w:rsid w:val="00DE7B7D"/>
    <w:rsid w:val="00DE7DF0"/>
    <w:rsid w:val="00DF103F"/>
    <w:rsid w:val="00DF3686"/>
    <w:rsid w:val="00DF453E"/>
    <w:rsid w:val="00DF561E"/>
    <w:rsid w:val="00DF5E79"/>
    <w:rsid w:val="00DF66B0"/>
    <w:rsid w:val="00DF66B6"/>
    <w:rsid w:val="00DF6C2E"/>
    <w:rsid w:val="00DF7C79"/>
    <w:rsid w:val="00DF7F85"/>
    <w:rsid w:val="00E005C8"/>
    <w:rsid w:val="00E01ED8"/>
    <w:rsid w:val="00E02D24"/>
    <w:rsid w:val="00E0333C"/>
    <w:rsid w:val="00E03AE7"/>
    <w:rsid w:val="00E05356"/>
    <w:rsid w:val="00E05639"/>
    <w:rsid w:val="00E06E3D"/>
    <w:rsid w:val="00E07120"/>
    <w:rsid w:val="00E10C0A"/>
    <w:rsid w:val="00E1683D"/>
    <w:rsid w:val="00E20723"/>
    <w:rsid w:val="00E20979"/>
    <w:rsid w:val="00E213D7"/>
    <w:rsid w:val="00E21625"/>
    <w:rsid w:val="00E22B8E"/>
    <w:rsid w:val="00E22C13"/>
    <w:rsid w:val="00E22D5A"/>
    <w:rsid w:val="00E23572"/>
    <w:rsid w:val="00E25432"/>
    <w:rsid w:val="00E2664B"/>
    <w:rsid w:val="00E26D9E"/>
    <w:rsid w:val="00E274BF"/>
    <w:rsid w:val="00E30565"/>
    <w:rsid w:val="00E306F5"/>
    <w:rsid w:val="00E31537"/>
    <w:rsid w:val="00E315F6"/>
    <w:rsid w:val="00E33126"/>
    <w:rsid w:val="00E332AC"/>
    <w:rsid w:val="00E34D8B"/>
    <w:rsid w:val="00E357E5"/>
    <w:rsid w:val="00E36E8F"/>
    <w:rsid w:val="00E40017"/>
    <w:rsid w:val="00E41D96"/>
    <w:rsid w:val="00E42273"/>
    <w:rsid w:val="00E4266E"/>
    <w:rsid w:val="00E4298D"/>
    <w:rsid w:val="00E42D65"/>
    <w:rsid w:val="00E43102"/>
    <w:rsid w:val="00E433F5"/>
    <w:rsid w:val="00E43C4D"/>
    <w:rsid w:val="00E4471F"/>
    <w:rsid w:val="00E4788F"/>
    <w:rsid w:val="00E51806"/>
    <w:rsid w:val="00E52A13"/>
    <w:rsid w:val="00E53169"/>
    <w:rsid w:val="00E53A94"/>
    <w:rsid w:val="00E54462"/>
    <w:rsid w:val="00E571C9"/>
    <w:rsid w:val="00E57209"/>
    <w:rsid w:val="00E57B55"/>
    <w:rsid w:val="00E61368"/>
    <w:rsid w:val="00E621AC"/>
    <w:rsid w:val="00E623A6"/>
    <w:rsid w:val="00E62838"/>
    <w:rsid w:val="00E62EE7"/>
    <w:rsid w:val="00E63035"/>
    <w:rsid w:val="00E633CA"/>
    <w:rsid w:val="00E63ACA"/>
    <w:rsid w:val="00E64A6F"/>
    <w:rsid w:val="00E6508B"/>
    <w:rsid w:val="00E65DF2"/>
    <w:rsid w:val="00E65E3B"/>
    <w:rsid w:val="00E664BE"/>
    <w:rsid w:val="00E666E9"/>
    <w:rsid w:val="00E6797F"/>
    <w:rsid w:val="00E727C9"/>
    <w:rsid w:val="00E7342A"/>
    <w:rsid w:val="00E74ABD"/>
    <w:rsid w:val="00E75FF5"/>
    <w:rsid w:val="00E76076"/>
    <w:rsid w:val="00E76148"/>
    <w:rsid w:val="00E761A0"/>
    <w:rsid w:val="00E765C1"/>
    <w:rsid w:val="00E77842"/>
    <w:rsid w:val="00E802E8"/>
    <w:rsid w:val="00E80E8A"/>
    <w:rsid w:val="00E81B94"/>
    <w:rsid w:val="00E832BF"/>
    <w:rsid w:val="00E83DD5"/>
    <w:rsid w:val="00E83E17"/>
    <w:rsid w:val="00E84BCD"/>
    <w:rsid w:val="00E853F3"/>
    <w:rsid w:val="00E865DC"/>
    <w:rsid w:val="00E8771E"/>
    <w:rsid w:val="00E93434"/>
    <w:rsid w:val="00E9487C"/>
    <w:rsid w:val="00E958C6"/>
    <w:rsid w:val="00E96E02"/>
    <w:rsid w:val="00E97382"/>
    <w:rsid w:val="00EA15BD"/>
    <w:rsid w:val="00EA15DF"/>
    <w:rsid w:val="00EA1E07"/>
    <w:rsid w:val="00EA4493"/>
    <w:rsid w:val="00EA591B"/>
    <w:rsid w:val="00EA69F5"/>
    <w:rsid w:val="00EA6D54"/>
    <w:rsid w:val="00EA6F9B"/>
    <w:rsid w:val="00EB0097"/>
    <w:rsid w:val="00EB1E03"/>
    <w:rsid w:val="00EB4ABE"/>
    <w:rsid w:val="00EB5535"/>
    <w:rsid w:val="00EB58EA"/>
    <w:rsid w:val="00EB5908"/>
    <w:rsid w:val="00EB5B33"/>
    <w:rsid w:val="00EB5EE6"/>
    <w:rsid w:val="00EB6405"/>
    <w:rsid w:val="00EB6470"/>
    <w:rsid w:val="00EB6811"/>
    <w:rsid w:val="00EB6B28"/>
    <w:rsid w:val="00EB7C5D"/>
    <w:rsid w:val="00EC06BE"/>
    <w:rsid w:val="00EC19F2"/>
    <w:rsid w:val="00EC2BBE"/>
    <w:rsid w:val="00EC31BC"/>
    <w:rsid w:val="00EC3F42"/>
    <w:rsid w:val="00EC5CC3"/>
    <w:rsid w:val="00EC5EFC"/>
    <w:rsid w:val="00EC6047"/>
    <w:rsid w:val="00EC62BA"/>
    <w:rsid w:val="00EC6B7F"/>
    <w:rsid w:val="00ED020D"/>
    <w:rsid w:val="00ED0C0F"/>
    <w:rsid w:val="00ED1855"/>
    <w:rsid w:val="00ED2A55"/>
    <w:rsid w:val="00ED3945"/>
    <w:rsid w:val="00ED40DC"/>
    <w:rsid w:val="00ED4BB8"/>
    <w:rsid w:val="00ED4FE4"/>
    <w:rsid w:val="00ED6412"/>
    <w:rsid w:val="00ED6602"/>
    <w:rsid w:val="00ED6C69"/>
    <w:rsid w:val="00ED768B"/>
    <w:rsid w:val="00ED7A22"/>
    <w:rsid w:val="00EE0387"/>
    <w:rsid w:val="00EE0B2D"/>
    <w:rsid w:val="00EE0FB7"/>
    <w:rsid w:val="00EE3AAC"/>
    <w:rsid w:val="00EE3F07"/>
    <w:rsid w:val="00EE40F5"/>
    <w:rsid w:val="00EE41AE"/>
    <w:rsid w:val="00EE508B"/>
    <w:rsid w:val="00EE5B24"/>
    <w:rsid w:val="00EE5B4C"/>
    <w:rsid w:val="00EF050A"/>
    <w:rsid w:val="00EF10F4"/>
    <w:rsid w:val="00EF175A"/>
    <w:rsid w:val="00EF17CA"/>
    <w:rsid w:val="00EF2523"/>
    <w:rsid w:val="00EF2F28"/>
    <w:rsid w:val="00EF3619"/>
    <w:rsid w:val="00EF3F7A"/>
    <w:rsid w:val="00EF52CA"/>
    <w:rsid w:val="00EF5879"/>
    <w:rsid w:val="00EF5DCB"/>
    <w:rsid w:val="00EF624A"/>
    <w:rsid w:val="00EF76F2"/>
    <w:rsid w:val="00EF7CA4"/>
    <w:rsid w:val="00F000AC"/>
    <w:rsid w:val="00F002A4"/>
    <w:rsid w:val="00F00B6A"/>
    <w:rsid w:val="00F00E53"/>
    <w:rsid w:val="00F02CE6"/>
    <w:rsid w:val="00F03216"/>
    <w:rsid w:val="00F0466E"/>
    <w:rsid w:val="00F05330"/>
    <w:rsid w:val="00F05858"/>
    <w:rsid w:val="00F05F09"/>
    <w:rsid w:val="00F067C1"/>
    <w:rsid w:val="00F06B0B"/>
    <w:rsid w:val="00F100CB"/>
    <w:rsid w:val="00F11405"/>
    <w:rsid w:val="00F119CA"/>
    <w:rsid w:val="00F127A7"/>
    <w:rsid w:val="00F12949"/>
    <w:rsid w:val="00F15664"/>
    <w:rsid w:val="00F167DC"/>
    <w:rsid w:val="00F16B19"/>
    <w:rsid w:val="00F1783F"/>
    <w:rsid w:val="00F201AA"/>
    <w:rsid w:val="00F205F7"/>
    <w:rsid w:val="00F20B66"/>
    <w:rsid w:val="00F216B9"/>
    <w:rsid w:val="00F21A6D"/>
    <w:rsid w:val="00F22015"/>
    <w:rsid w:val="00F224BC"/>
    <w:rsid w:val="00F2293C"/>
    <w:rsid w:val="00F2500A"/>
    <w:rsid w:val="00F274C0"/>
    <w:rsid w:val="00F27660"/>
    <w:rsid w:val="00F303D2"/>
    <w:rsid w:val="00F338D5"/>
    <w:rsid w:val="00F34F3B"/>
    <w:rsid w:val="00F354B5"/>
    <w:rsid w:val="00F3641E"/>
    <w:rsid w:val="00F40CEF"/>
    <w:rsid w:val="00F43754"/>
    <w:rsid w:val="00F43B7A"/>
    <w:rsid w:val="00F44812"/>
    <w:rsid w:val="00F4596B"/>
    <w:rsid w:val="00F45EF1"/>
    <w:rsid w:val="00F460C6"/>
    <w:rsid w:val="00F46A63"/>
    <w:rsid w:val="00F46CE9"/>
    <w:rsid w:val="00F477B2"/>
    <w:rsid w:val="00F50461"/>
    <w:rsid w:val="00F51EEB"/>
    <w:rsid w:val="00F53CCF"/>
    <w:rsid w:val="00F5478F"/>
    <w:rsid w:val="00F553C8"/>
    <w:rsid w:val="00F56587"/>
    <w:rsid w:val="00F57BA5"/>
    <w:rsid w:val="00F57D19"/>
    <w:rsid w:val="00F60221"/>
    <w:rsid w:val="00F609C4"/>
    <w:rsid w:val="00F60C5F"/>
    <w:rsid w:val="00F60D26"/>
    <w:rsid w:val="00F60E2C"/>
    <w:rsid w:val="00F61229"/>
    <w:rsid w:val="00F6143B"/>
    <w:rsid w:val="00F629D0"/>
    <w:rsid w:val="00F63870"/>
    <w:rsid w:val="00F639F3"/>
    <w:rsid w:val="00F6511D"/>
    <w:rsid w:val="00F66B14"/>
    <w:rsid w:val="00F70046"/>
    <w:rsid w:val="00F7019A"/>
    <w:rsid w:val="00F70BE3"/>
    <w:rsid w:val="00F70D1A"/>
    <w:rsid w:val="00F71418"/>
    <w:rsid w:val="00F71B6F"/>
    <w:rsid w:val="00F726E3"/>
    <w:rsid w:val="00F7490D"/>
    <w:rsid w:val="00F74D54"/>
    <w:rsid w:val="00F75D64"/>
    <w:rsid w:val="00F77C22"/>
    <w:rsid w:val="00F86E94"/>
    <w:rsid w:val="00F87070"/>
    <w:rsid w:val="00F871A3"/>
    <w:rsid w:val="00F90D4A"/>
    <w:rsid w:val="00F90D4D"/>
    <w:rsid w:val="00F91AD8"/>
    <w:rsid w:val="00F91DCA"/>
    <w:rsid w:val="00F94452"/>
    <w:rsid w:val="00F94D56"/>
    <w:rsid w:val="00F95837"/>
    <w:rsid w:val="00F95ACB"/>
    <w:rsid w:val="00F96045"/>
    <w:rsid w:val="00F96FFC"/>
    <w:rsid w:val="00F97DC7"/>
    <w:rsid w:val="00FA2CFC"/>
    <w:rsid w:val="00FA321A"/>
    <w:rsid w:val="00FA340E"/>
    <w:rsid w:val="00FA4045"/>
    <w:rsid w:val="00FA7253"/>
    <w:rsid w:val="00FA7791"/>
    <w:rsid w:val="00FB0047"/>
    <w:rsid w:val="00FB0BBB"/>
    <w:rsid w:val="00FB1F7A"/>
    <w:rsid w:val="00FB2C5F"/>
    <w:rsid w:val="00FB2E7D"/>
    <w:rsid w:val="00FB347F"/>
    <w:rsid w:val="00FB50E7"/>
    <w:rsid w:val="00FB5BF6"/>
    <w:rsid w:val="00FB5E4B"/>
    <w:rsid w:val="00FB6A9E"/>
    <w:rsid w:val="00FC1113"/>
    <w:rsid w:val="00FC1D1C"/>
    <w:rsid w:val="00FC1FCE"/>
    <w:rsid w:val="00FC2686"/>
    <w:rsid w:val="00FC2C59"/>
    <w:rsid w:val="00FC303A"/>
    <w:rsid w:val="00FC4F81"/>
    <w:rsid w:val="00FC508D"/>
    <w:rsid w:val="00FC5F5D"/>
    <w:rsid w:val="00FC6492"/>
    <w:rsid w:val="00FC6693"/>
    <w:rsid w:val="00FC7B79"/>
    <w:rsid w:val="00FD4F8D"/>
    <w:rsid w:val="00FD5ABD"/>
    <w:rsid w:val="00FD677C"/>
    <w:rsid w:val="00FD6793"/>
    <w:rsid w:val="00FD6A9A"/>
    <w:rsid w:val="00FD6E2B"/>
    <w:rsid w:val="00FD7780"/>
    <w:rsid w:val="00FE02F5"/>
    <w:rsid w:val="00FE0DDA"/>
    <w:rsid w:val="00FE1041"/>
    <w:rsid w:val="00FE28D6"/>
    <w:rsid w:val="00FE4081"/>
    <w:rsid w:val="00FF0798"/>
    <w:rsid w:val="00FF0D0A"/>
    <w:rsid w:val="00FF1035"/>
    <w:rsid w:val="00FF19B2"/>
    <w:rsid w:val="00FF19D5"/>
    <w:rsid w:val="00FF1E5C"/>
    <w:rsid w:val="00FF260A"/>
    <w:rsid w:val="00FF42CE"/>
    <w:rsid w:val="00FF4676"/>
    <w:rsid w:val="00FF47C0"/>
    <w:rsid w:val="00FF53BE"/>
    <w:rsid w:val="00FF5741"/>
    <w:rsid w:val="00FF62EA"/>
    <w:rsid w:val="00FF6F7B"/>
    <w:rsid w:val="00FF7387"/>
    <w:rsid w:val="00FF7AB6"/>
    <w:rsid w:val="013A07CF"/>
    <w:rsid w:val="01BE4A49"/>
    <w:rsid w:val="01E2338B"/>
    <w:rsid w:val="01E5BDFD"/>
    <w:rsid w:val="01F9E82E"/>
    <w:rsid w:val="0214BD4C"/>
    <w:rsid w:val="022461BE"/>
    <w:rsid w:val="023C7499"/>
    <w:rsid w:val="05E346A8"/>
    <w:rsid w:val="06709376"/>
    <w:rsid w:val="06F06CF9"/>
    <w:rsid w:val="0773EBD9"/>
    <w:rsid w:val="08CB3610"/>
    <w:rsid w:val="0908C516"/>
    <w:rsid w:val="0ABFAE0D"/>
    <w:rsid w:val="0AF7E805"/>
    <w:rsid w:val="0D34F352"/>
    <w:rsid w:val="0D6A5BB4"/>
    <w:rsid w:val="0E06747E"/>
    <w:rsid w:val="0E274F31"/>
    <w:rsid w:val="0EE9BC69"/>
    <w:rsid w:val="0F95A956"/>
    <w:rsid w:val="102820D9"/>
    <w:rsid w:val="108BD29E"/>
    <w:rsid w:val="10D2D8B4"/>
    <w:rsid w:val="1137218A"/>
    <w:rsid w:val="11E7B177"/>
    <w:rsid w:val="11F3E5D6"/>
    <w:rsid w:val="123ED425"/>
    <w:rsid w:val="127276CD"/>
    <w:rsid w:val="12C21586"/>
    <w:rsid w:val="1328B58C"/>
    <w:rsid w:val="1355A3BA"/>
    <w:rsid w:val="13CC59AD"/>
    <w:rsid w:val="148124CF"/>
    <w:rsid w:val="158C53C9"/>
    <w:rsid w:val="1648BB60"/>
    <w:rsid w:val="165BAB33"/>
    <w:rsid w:val="166158C4"/>
    <w:rsid w:val="1666AC1F"/>
    <w:rsid w:val="167D6BC3"/>
    <w:rsid w:val="167F6CF3"/>
    <w:rsid w:val="16D06697"/>
    <w:rsid w:val="176910A1"/>
    <w:rsid w:val="17D089D8"/>
    <w:rsid w:val="18DB33F1"/>
    <w:rsid w:val="198F4BF0"/>
    <w:rsid w:val="1A034992"/>
    <w:rsid w:val="1A1410FC"/>
    <w:rsid w:val="1A2DC0DE"/>
    <w:rsid w:val="1A98D351"/>
    <w:rsid w:val="1C257E86"/>
    <w:rsid w:val="1C79F71A"/>
    <w:rsid w:val="1CE38E3E"/>
    <w:rsid w:val="1D2357E3"/>
    <w:rsid w:val="1D4B74E3"/>
    <w:rsid w:val="1D700FBF"/>
    <w:rsid w:val="1F02E788"/>
    <w:rsid w:val="220621AE"/>
    <w:rsid w:val="25AE2C37"/>
    <w:rsid w:val="26412652"/>
    <w:rsid w:val="266840E4"/>
    <w:rsid w:val="269A1730"/>
    <w:rsid w:val="26E93BA6"/>
    <w:rsid w:val="27017906"/>
    <w:rsid w:val="2770E6D1"/>
    <w:rsid w:val="277915EB"/>
    <w:rsid w:val="28049FF9"/>
    <w:rsid w:val="28657BB7"/>
    <w:rsid w:val="2898F47E"/>
    <w:rsid w:val="29822758"/>
    <w:rsid w:val="29A0DE10"/>
    <w:rsid w:val="29B11555"/>
    <w:rsid w:val="2CD6EE43"/>
    <w:rsid w:val="2D0649BB"/>
    <w:rsid w:val="2D0775DD"/>
    <w:rsid w:val="2DA66F4D"/>
    <w:rsid w:val="2F60B9E2"/>
    <w:rsid w:val="3008BBEE"/>
    <w:rsid w:val="308FE83D"/>
    <w:rsid w:val="31C208FF"/>
    <w:rsid w:val="32D47164"/>
    <w:rsid w:val="374AEE24"/>
    <w:rsid w:val="375FE6BF"/>
    <w:rsid w:val="3824D722"/>
    <w:rsid w:val="38A02F38"/>
    <w:rsid w:val="390B2695"/>
    <w:rsid w:val="39177EB8"/>
    <w:rsid w:val="394417CF"/>
    <w:rsid w:val="3DA5F127"/>
    <w:rsid w:val="3DC8CF7C"/>
    <w:rsid w:val="3DF974B6"/>
    <w:rsid w:val="3DFC3A3A"/>
    <w:rsid w:val="3E285CC8"/>
    <w:rsid w:val="3E5D43F5"/>
    <w:rsid w:val="3E86DBD1"/>
    <w:rsid w:val="3EDD47AC"/>
    <w:rsid w:val="3F1440F2"/>
    <w:rsid w:val="4017E616"/>
    <w:rsid w:val="4095FDFC"/>
    <w:rsid w:val="42E3A856"/>
    <w:rsid w:val="433B7B0F"/>
    <w:rsid w:val="43F7E565"/>
    <w:rsid w:val="44D646E8"/>
    <w:rsid w:val="451A4DF4"/>
    <w:rsid w:val="4560497B"/>
    <w:rsid w:val="472F8627"/>
    <w:rsid w:val="4731ED64"/>
    <w:rsid w:val="47FAE24C"/>
    <w:rsid w:val="4A49C9C9"/>
    <w:rsid w:val="4AF3D084"/>
    <w:rsid w:val="4BAF69BD"/>
    <w:rsid w:val="4BF9A0F9"/>
    <w:rsid w:val="4C633FCC"/>
    <w:rsid w:val="4DAD8C75"/>
    <w:rsid w:val="4E592C67"/>
    <w:rsid w:val="4E954E88"/>
    <w:rsid w:val="4F00FA48"/>
    <w:rsid w:val="4FA74177"/>
    <w:rsid w:val="500258E8"/>
    <w:rsid w:val="5031AB59"/>
    <w:rsid w:val="521353B5"/>
    <w:rsid w:val="52823D0A"/>
    <w:rsid w:val="54E03B89"/>
    <w:rsid w:val="566BA77F"/>
    <w:rsid w:val="56C4A8DE"/>
    <w:rsid w:val="5870819A"/>
    <w:rsid w:val="58E0D13B"/>
    <w:rsid w:val="5990885C"/>
    <w:rsid w:val="5A4CD1ED"/>
    <w:rsid w:val="5A9EEAA1"/>
    <w:rsid w:val="5AD1C6E4"/>
    <w:rsid w:val="5B33B844"/>
    <w:rsid w:val="5B9345FA"/>
    <w:rsid w:val="5BF05A14"/>
    <w:rsid w:val="5C0CFFE0"/>
    <w:rsid w:val="5C480BD8"/>
    <w:rsid w:val="5EC59CBC"/>
    <w:rsid w:val="5F90CE6E"/>
    <w:rsid w:val="601D96F4"/>
    <w:rsid w:val="605B5DC9"/>
    <w:rsid w:val="61ADFE70"/>
    <w:rsid w:val="620AEECC"/>
    <w:rsid w:val="642897FB"/>
    <w:rsid w:val="644E51E5"/>
    <w:rsid w:val="6481565C"/>
    <w:rsid w:val="66FF4209"/>
    <w:rsid w:val="670F5BED"/>
    <w:rsid w:val="6751E7F7"/>
    <w:rsid w:val="678F0C04"/>
    <w:rsid w:val="67B8F71E"/>
    <w:rsid w:val="67FAD0A5"/>
    <w:rsid w:val="6A77355A"/>
    <w:rsid w:val="6AD0A58E"/>
    <w:rsid w:val="6B674339"/>
    <w:rsid w:val="6CD5540E"/>
    <w:rsid w:val="6D2B6BF1"/>
    <w:rsid w:val="6DAEEED8"/>
    <w:rsid w:val="6E084650"/>
    <w:rsid w:val="6E29F216"/>
    <w:rsid w:val="6EF6614F"/>
    <w:rsid w:val="70CEBEFB"/>
    <w:rsid w:val="71328B4D"/>
    <w:rsid w:val="7191AA90"/>
    <w:rsid w:val="72208FA1"/>
    <w:rsid w:val="726EFF53"/>
    <w:rsid w:val="72B7E52D"/>
    <w:rsid w:val="72BDD6CB"/>
    <w:rsid w:val="7355CABA"/>
    <w:rsid w:val="737E2EED"/>
    <w:rsid w:val="73927C5C"/>
    <w:rsid w:val="74712F0D"/>
    <w:rsid w:val="749F15C0"/>
    <w:rsid w:val="7537F39A"/>
    <w:rsid w:val="7699EB86"/>
    <w:rsid w:val="770D0480"/>
    <w:rsid w:val="773884FD"/>
    <w:rsid w:val="78944F24"/>
    <w:rsid w:val="797BD073"/>
    <w:rsid w:val="7A54F41B"/>
    <w:rsid w:val="7ADE81F7"/>
    <w:rsid w:val="7B34AED0"/>
    <w:rsid w:val="7CA1F738"/>
    <w:rsid w:val="7D423F92"/>
    <w:rsid w:val="7E1369B3"/>
    <w:rsid w:val="7E2670FA"/>
    <w:rsid w:val="7E452A3D"/>
    <w:rsid w:val="7EAA92C8"/>
    <w:rsid w:val="7F86A36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2DF8AC"/>
  <w15:chartTrackingRefBased/>
  <w15:docId w15:val="{B4445A62-2FDA-46FC-A962-8205A297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w:basedOn w:val="Normal"/>
    <w:next w:val="Normal"/>
    <w:link w:val="Heading1Char"/>
    <w:uiPriority w:val="9"/>
    <w:qFormat/>
    <w:rsid w:val="001C30BF"/>
    <w:pPr>
      <w:keepNext/>
      <w:numPr>
        <w:numId w:val="4"/>
      </w:numPr>
      <w:spacing w:before="360" w:after="120" w:line="240" w:lineRule="auto"/>
      <w:jc w:val="both"/>
      <w:outlineLvl w:val="0"/>
    </w:pPr>
    <w:rPr>
      <w:rFonts w:ascii="Times New Roman" w:eastAsiaTheme="majorEastAsia" w:hAnsi="Times New Roman" w:cs="Times New Roman"/>
      <w:b/>
      <w:bCs/>
      <w:smallCaps/>
      <w:sz w:val="24"/>
      <w:szCs w:val="28"/>
      <w:lang w:eastAsia="en-US"/>
    </w:rPr>
  </w:style>
  <w:style w:type="paragraph" w:styleId="Heading2">
    <w:name w:val="heading 2"/>
    <w:basedOn w:val="Normal"/>
    <w:next w:val="Normal"/>
    <w:link w:val="Heading2Char"/>
    <w:uiPriority w:val="9"/>
    <w:unhideWhenUsed/>
    <w:qFormat/>
    <w:rsid w:val="001C30BF"/>
    <w:pPr>
      <w:keepNext/>
      <w:numPr>
        <w:ilvl w:val="1"/>
        <w:numId w:val="4"/>
      </w:numPr>
      <w:spacing w:before="120" w:after="120" w:line="240" w:lineRule="auto"/>
      <w:jc w:val="both"/>
      <w:outlineLvl w:val="1"/>
    </w:pPr>
    <w:rPr>
      <w:rFonts w:ascii="Times New Roman" w:eastAsiaTheme="majorEastAsia" w:hAnsi="Times New Roman" w:cs="Times New Roman"/>
      <w:b/>
      <w:bCs/>
      <w:sz w:val="24"/>
      <w:szCs w:val="26"/>
      <w:lang w:eastAsia="en-US"/>
    </w:rPr>
  </w:style>
  <w:style w:type="paragraph" w:styleId="Heading3">
    <w:name w:val="heading 3"/>
    <w:basedOn w:val="Normal"/>
    <w:next w:val="Normal"/>
    <w:link w:val="Heading3Char"/>
    <w:uiPriority w:val="9"/>
    <w:unhideWhenUsed/>
    <w:qFormat/>
    <w:rsid w:val="001C30BF"/>
    <w:pPr>
      <w:keepNext/>
      <w:numPr>
        <w:ilvl w:val="2"/>
        <w:numId w:val="4"/>
      </w:numPr>
      <w:spacing w:before="120" w:after="120" w:line="240" w:lineRule="auto"/>
      <w:jc w:val="both"/>
      <w:outlineLvl w:val="2"/>
    </w:pPr>
    <w:rPr>
      <w:rFonts w:ascii="Times New Roman" w:eastAsiaTheme="majorEastAsia" w:hAnsi="Times New Roman" w:cs="Times New Roman"/>
      <w:bCs/>
      <w:i/>
      <w:sz w:val="24"/>
      <w:lang w:eastAsia="en-US"/>
    </w:rPr>
  </w:style>
  <w:style w:type="paragraph" w:styleId="Heading4">
    <w:name w:val="heading 4"/>
    <w:basedOn w:val="Normal"/>
    <w:next w:val="Normal"/>
    <w:link w:val="Heading4Char"/>
    <w:uiPriority w:val="9"/>
    <w:unhideWhenUsed/>
    <w:qFormat/>
    <w:rsid w:val="001C30BF"/>
    <w:pPr>
      <w:keepNext/>
      <w:numPr>
        <w:ilvl w:val="3"/>
        <w:numId w:val="4"/>
      </w:numPr>
      <w:tabs>
        <w:tab w:val="clear" w:pos="850"/>
        <w:tab w:val="num" w:pos="1209"/>
      </w:tabs>
      <w:spacing w:before="120" w:after="120" w:line="240" w:lineRule="auto"/>
      <w:ind w:left="1209" w:hanging="360"/>
      <w:jc w:val="both"/>
      <w:outlineLvl w:val="3"/>
    </w:pPr>
    <w:rPr>
      <w:rFonts w:ascii="Times New Roman" w:eastAsiaTheme="majorEastAsia" w:hAnsi="Times New Roman" w:cs="Times New Roman"/>
      <w:bCs/>
      <w:iCs/>
      <w:sz w:val="24"/>
      <w:lang w:eastAsia="en-US"/>
    </w:rPr>
  </w:style>
  <w:style w:type="paragraph" w:styleId="Heading5">
    <w:name w:val="heading 5"/>
    <w:basedOn w:val="Normal"/>
    <w:next w:val="Normal"/>
    <w:link w:val="Heading5Char"/>
    <w:uiPriority w:val="9"/>
    <w:semiHidden/>
    <w:unhideWhenUsed/>
    <w:qFormat/>
    <w:rsid w:val="00271EF8"/>
    <w:pPr>
      <w:keepNext/>
      <w:keepLines/>
      <w:spacing w:before="220" w:after="40" w:line="240" w:lineRule="auto"/>
      <w:jc w:val="both"/>
      <w:outlineLvl w:val="4"/>
    </w:pPr>
    <w:rPr>
      <w:rFonts w:ascii="Times New Roman" w:eastAsia="Times New Roman" w:hAnsi="Times New Roman" w:cs="Times New Roman"/>
      <w:b/>
      <w:lang w:eastAsia="en-GB"/>
    </w:rPr>
  </w:style>
  <w:style w:type="paragraph" w:styleId="Heading6">
    <w:name w:val="heading 6"/>
    <w:basedOn w:val="Normal"/>
    <w:next w:val="Normal"/>
    <w:link w:val="Heading6Char"/>
    <w:uiPriority w:val="9"/>
    <w:semiHidden/>
    <w:unhideWhenUsed/>
    <w:qFormat/>
    <w:rsid w:val="00271EF8"/>
    <w:pPr>
      <w:keepNext/>
      <w:keepLines/>
      <w:spacing w:before="200" w:after="40" w:line="240" w:lineRule="auto"/>
      <w:jc w:val="both"/>
      <w:outlineLvl w:val="5"/>
    </w:pPr>
    <w:rPr>
      <w:rFonts w:ascii="Times New Roman" w:eastAsia="Times New Roman" w:hAnsi="Times New Roman" w:cs="Times New Roman"/>
      <w:b/>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7B1C1A"/>
    <w:pPr>
      <w:ind w:left="720"/>
      <w:contextualSpacing/>
    </w:pPr>
    <w:rPr>
      <w:rFonts w:eastAsiaTheme="minorHAnsi"/>
      <w:lang w:eastAsia="en-US"/>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7B1C1A"/>
    <w:rPr>
      <w:rFonts w:eastAsiaTheme="minorHAnsi"/>
      <w:lang w:val="ro-RO" w:eastAsia="en-US"/>
    </w:rPr>
  </w:style>
  <w:style w:type="paragraph" w:styleId="Header">
    <w:name w:val="header"/>
    <w:basedOn w:val="Normal"/>
    <w:link w:val="HeaderChar"/>
    <w:uiPriority w:val="99"/>
    <w:unhideWhenUsed/>
    <w:rsid w:val="007B1C1A"/>
    <w:pPr>
      <w:tabs>
        <w:tab w:val="center" w:pos="4535"/>
        <w:tab w:val="right" w:pos="9071"/>
      </w:tabs>
      <w:spacing w:after="120" w:line="240" w:lineRule="auto"/>
      <w:jc w:val="both"/>
    </w:pPr>
    <w:rPr>
      <w:rFonts w:ascii="Times New Roman" w:eastAsiaTheme="minorHAnsi" w:hAnsi="Times New Roman" w:cs="Times New Roman"/>
      <w:sz w:val="24"/>
      <w:lang w:eastAsia="en-US"/>
    </w:rPr>
  </w:style>
  <w:style w:type="character" w:customStyle="1" w:styleId="HeaderChar">
    <w:name w:val="Header Char"/>
    <w:basedOn w:val="DefaultParagraphFont"/>
    <w:link w:val="Header"/>
    <w:uiPriority w:val="99"/>
    <w:rsid w:val="007B1C1A"/>
    <w:rPr>
      <w:rFonts w:ascii="Times New Roman" w:eastAsiaTheme="minorHAnsi" w:hAnsi="Times New Roman" w:cs="Times New Roman"/>
      <w:sz w:val="24"/>
      <w:lang w:val="ro-RO" w:eastAsia="en-US"/>
    </w:rPr>
  </w:style>
  <w:style w:type="paragraph" w:styleId="Footer">
    <w:name w:val="footer"/>
    <w:basedOn w:val="Normal"/>
    <w:link w:val="FooterChar"/>
    <w:uiPriority w:val="99"/>
    <w:unhideWhenUsed/>
    <w:rsid w:val="007B1C1A"/>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lang w:eastAsia="en-US"/>
    </w:rPr>
  </w:style>
  <w:style w:type="character" w:customStyle="1" w:styleId="FooterChar">
    <w:name w:val="Footer Char"/>
    <w:basedOn w:val="DefaultParagraphFont"/>
    <w:link w:val="Footer"/>
    <w:uiPriority w:val="99"/>
    <w:rsid w:val="007B1C1A"/>
    <w:rPr>
      <w:rFonts w:ascii="Times New Roman" w:eastAsiaTheme="minorHAnsi" w:hAnsi="Times New Roman" w:cs="Times New Roman"/>
      <w:sz w:val="24"/>
      <w:lang w:val="ro-RO" w:eastAsia="en-US"/>
    </w:rPr>
  </w:style>
  <w:style w:type="paragraph" w:customStyle="1" w:styleId="Standard">
    <w:name w:val="Standard"/>
    <w:qFormat/>
    <w:rsid w:val="007B1C1A"/>
    <w:pPr>
      <w:suppressAutoHyphens/>
      <w:autoSpaceDN w:val="0"/>
      <w:spacing w:after="0" w:line="240" w:lineRule="auto"/>
      <w:textAlignment w:val="baseline"/>
    </w:pPr>
    <w:rPr>
      <w:rFonts w:ascii="Liberation Serif" w:eastAsia="NSimSun" w:hAnsi="Liberation Serif" w:cs="Arial"/>
      <w:kern w:val="3"/>
      <w:sz w:val="24"/>
      <w:szCs w:val="24"/>
      <w:lang w:eastAsia="en-US"/>
    </w:rPr>
  </w:style>
  <w:style w:type="character" w:customStyle="1"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A41700"/>
    <w:pPr>
      <w:spacing w:after="0" w:line="240" w:lineRule="auto"/>
    </w:pPr>
  </w:style>
  <w:style w:type="character" w:customStyle="1" w:styleId="Heading1Char">
    <w:name w:val="Heading 1 Char"/>
    <w:aliases w:val="Heading Char"/>
    <w:basedOn w:val="DefaultParagraphFont"/>
    <w:link w:val="Heading1"/>
    <w:uiPriority w:val="9"/>
    <w:rsid w:val="001C30BF"/>
    <w:rPr>
      <w:rFonts w:ascii="Times New Roman" w:eastAsiaTheme="majorEastAsia" w:hAnsi="Times New Roman" w:cs="Times New Roman"/>
      <w:b/>
      <w:bCs/>
      <w:smallCaps/>
      <w:sz w:val="24"/>
      <w:szCs w:val="28"/>
      <w:lang w:eastAsia="en-US"/>
    </w:rPr>
  </w:style>
  <w:style w:type="character" w:customStyle="1" w:styleId="Heading2Char">
    <w:name w:val="Heading 2 Char"/>
    <w:basedOn w:val="DefaultParagraphFont"/>
    <w:link w:val="Heading2"/>
    <w:uiPriority w:val="9"/>
    <w:rsid w:val="001C30BF"/>
    <w:rPr>
      <w:rFonts w:ascii="Times New Roman" w:eastAsiaTheme="majorEastAsia" w:hAnsi="Times New Roman" w:cs="Times New Roman"/>
      <w:b/>
      <w:bCs/>
      <w:sz w:val="24"/>
      <w:szCs w:val="26"/>
      <w:lang w:eastAsia="en-US"/>
    </w:rPr>
  </w:style>
  <w:style w:type="character" w:customStyle="1" w:styleId="Heading3Char">
    <w:name w:val="Heading 3 Char"/>
    <w:basedOn w:val="DefaultParagraphFont"/>
    <w:link w:val="Heading3"/>
    <w:uiPriority w:val="9"/>
    <w:rsid w:val="001C30BF"/>
    <w:rPr>
      <w:rFonts w:ascii="Times New Roman" w:eastAsiaTheme="majorEastAsia" w:hAnsi="Times New Roman" w:cs="Times New Roman"/>
      <w:bCs/>
      <w:i/>
      <w:sz w:val="24"/>
      <w:lang w:eastAsia="en-US"/>
    </w:rPr>
  </w:style>
  <w:style w:type="character" w:customStyle="1" w:styleId="Heading4Char">
    <w:name w:val="Heading 4 Char"/>
    <w:basedOn w:val="DefaultParagraphFont"/>
    <w:link w:val="Heading4"/>
    <w:uiPriority w:val="9"/>
    <w:rsid w:val="001C30BF"/>
    <w:rPr>
      <w:rFonts w:ascii="Times New Roman" w:eastAsiaTheme="majorEastAsia" w:hAnsi="Times New Roman" w:cs="Times New Roman"/>
      <w:bCs/>
      <w:iCs/>
      <w:sz w:val="24"/>
      <w:lang w:eastAsia="en-US"/>
    </w:rPr>
  </w:style>
  <w:style w:type="paragraph" w:customStyle="1" w:styleId="HeaderLandscape">
    <w:name w:val="HeaderLandscape"/>
    <w:basedOn w:val="Normal"/>
    <w:rsid w:val="001C30BF"/>
    <w:pPr>
      <w:tabs>
        <w:tab w:val="center" w:pos="7285"/>
        <w:tab w:val="right" w:pos="14003"/>
      </w:tabs>
      <w:spacing w:after="120" w:line="240" w:lineRule="auto"/>
      <w:jc w:val="both"/>
    </w:pPr>
    <w:rPr>
      <w:rFonts w:ascii="Times New Roman" w:eastAsiaTheme="minorHAnsi" w:hAnsi="Times New Roman" w:cs="Times New Roman"/>
      <w:sz w:val="24"/>
      <w:lang w:eastAsia="en-US"/>
    </w:rPr>
  </w:style>
  <w:style w:type="paragraph" w:customStyle="1" w:styleId="FooterLandscape">
    <w:name w:val="FooterLandscape"/>
    <w:basedOn w:val="Normal"/>
    <w:rsid w:val="001C30BF"/>
    <w:pPr>
      <w:tabs>
        <w:tab w:val="center" w:pos="7285"/>
        <w:tab w:val="center" w:pos="10913"/>
        <w:tab w:val="right" w:pos="15137"/>
      </w:tabs>
      <w:spacing w:before="360" w:after="0" w:line="240" w:lineRule="auto"/>
      <w:ind w:left="-567" w:right="-567"/>
    </w:pPr>
    <w:rPr>
      <w:rFonts w:ascii="Times New Roman" w:eastAsiaTheme="minorHAnsi" w:hAnsi="Times New Roman" w:cs="Times New Roman"/>
      <w:sz w:val="24"/>
      <w:lang w:eastAsia="en-US"/>
    </w:rPr>
  </w:style>
  <w:style w:type="character" w:customStyle="1" w:styleId="Heading5Char">
    <w:name w:val="Heading 5 Char"/>
    <w:basedOn w:val="DefaultParagraphFont"/>
    <w:link w:val="Heading5"/>
    <w:uiPriority w:val="9"/>
    <w:semiHidden/>
    <w:rsid w:val="00271EF8"/>
    <w:rPr>
      <w:rFonts w:ascii="Times New Roman" w:eastAsia="Times New Roman" w:hAnsi="Times New Roman" w:cs="Times New Roman"/>
      <w:b/>
      <w:lang w:val="ro-RO" w:eastAsia="en-GB"/>
    </w:rPr>
  </w:style>
  <w:style w:type="character" w:customStyle="1" w:styleId="Heading6Char">
    <w:name w:val="Heading 6 Char"/>
    <w:basedOn w:val="DefaultParagraphFont"/>
    <w:link w:val="Heading6"/>
    <w:uiPriority w:val="9"/>
    <w:semiHidden/>
    <w:rsid w:val="00271EF8"/>
    <w:rPr>
      <w:rFonts w:ascii="Times New Roman" w:eastAsia="Times New Roman" w:hAnsi="Times New Roman" w:cs="Times New Roman"/>
      <w:b/>
      <w:sz w:val="20"/>
      <w:szCs w:val="20"/>
      <w:lang w:val="ro-RO" w:eastAsia="en-GB"/>
    </w:rPr>
  </w:style>
  <w:style w:type="numbering" w:customStyle="1" w:styleId="NoList1">
    <w:name w:val="No List1"/>
    <w:next w:val="NoList"/>
    <w:uiPriority w:val="99"/>
    <w:semiHidden/>
    <w:unhideWhenUsed/>
    <w:rsid w:val="00271EF8"/>
  </w:style>
  <w:style w:type="character" w:styleId="IntenseEmphasis">
    <w:name w:val="Intense Emphasis"/>
    <w:basedOn w:val="DefaultParagraphFont"/>
    <w:uiPriority w:val="21"/>
    <w:qFormat/>
    <w:rsid w:val="00271EF8"/>
    <w:rPr>
      <w:i/>
      <w:iCs/>
      <w:color w:val="4472C4" w:themeColor="accent1"/>
    </w:rPr>
  </w:style>
  <w:style w:type="paragraph" w:styleId="BalloonText">
    <w:name w:val="Balloon Text"/>
    <w:basedOn w:val="Normal"/>
    <w:link w:val="BalloonTextChar"/>
    <w:uiPriority w:val="99"/>
    <w:semiHidden/>
    <w:unhideWhenUsed/>
    <w:rsid w:val="00271EF8"/>
    <w:pPr>
      <w:spacing w:after="0" w:line="240" w:lineRule="auto"/>
      <w:jc w:val="both"/>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71EF8"/>
    <w:rPr>
      <w:rFonts w:ascii="Segoe UI" w:eastAsiaTheme="minorHAnsi" w:hAnsi="Segoe UI" w:cs="Segoe UI"/>
      <w:sz w:val="18"/>
      <w:szCs w:val="18"/>
      <w:lang w:val="ro-RO" w:eastAsia="en-US"/>
    </w:rPr>
  </w:style>
  <w:style w:type="paragraph" w:styleId="ListBullet">
    <w:name w:val="List Bullet"/>
    <w:basedOn w:val="Normal"/>
    <w:uiPriority w:val="99"/>
    <w:unhideWhenUsed/>
    <w:rsid w:val="00271EF8"/>
    <w:pPr>
      <w:numPr>
        <w:numId w:val="11"/>
      </w:numPr>
      <w:tabs>
        <w:tab w:val="clear" w:pos="360"/>
        <w:tab w:val="num" w:pos="850"/>
      </w:tabs>
      <w:spacing w:before="120" w:after="120" w:line="240" w:lineRule="auto"/>
      <w:ind w:left="850" w:hanging="850"/>
      <w:contextualSpacing/>
      <w:jc w:val="both"/>
    </w:pPr>
    <w:rPr>
      <w:rFonts w:ascii="Times New Roman" w:eastAsiaTheme="minorHAnsi" w:hAnsi="Times New Roman" w:cs="Times New Roman"/>
      <w:sz w:val="24"/>
      <w:lang w:eastAsia="en-US"/>
    </w:rPr>
  </w:style>
  <w:style w:type="paragraph" w:styleId="ListBullet2">
    <w:name w:val="List Bullet 2"/>
    <w:basedOn w:val="Normal"/>
    <w:uiPriority w:val="99"/>
    <w:semiHidden/>
    <w:unhideWhenUsed/>
    <w:rsid w:val="00271EF8"/>
    <w:pPr>
      <w:numPr>
        <w:numId w:val="12"/>
      </w:numPr>
      <w:tabs>
        <w:tab w:val="clear" w:pos="643"/>
        <w:tab w:val="num" w:pos="1417"/>
      </w:tabs>
      <w:spacing w:before="120" w:after="120" w:line="240" w:lineRule="auto"/>
      <w:ind w:left="1417" w:hanging="567"/>
      <w:contextualSpacing/>
      <w:jc w:val="both"/>
    </w:pPr>
    <w:rPr>
      <w:rFonts w:ascii="Times New Roman" w:eastAsiaTheme="minorHAnsi" w:hAnsi="Times New Roman" w:cs="Times New Roman"/>
      <w:sz w:val="24"/>
      <w:lang w:eastAsia="en-US"/>
    </w:rPr>
  </w:style>
  <w:style w:type="paragraph" w:styleId="ListBullet3">
    <w:name w:val="List Bullet 3"/>
    <w:basedOn w:val="Normal"/>
    <w:uiPriority w:val="99"/>
    <w:semiHidden/>
    <w:unhideWhenUsed/>
    <w:rsid w:val="00271EF8"/>
    <w:pPr>
      <w:numPr>
        <w:numId w:val="13"/>
      </w:numPr>
      <w:tabs>
        <w:tab w:val="clear" w:pos="926"/>
        <w:tab w:val="num" w:pos="1984"/>
      </w:tabs>
      <w:spacing w:before="120" w:after="120" w:line="240" w:lineRule="auto"/>
      <w:ind w:left="1984" w:hanging="567"/>
      <w:contextualSpacing/>
      <w:jc w:val="both"/>
    </w:pPr>
    <w:rPr>
      <w:rFonts w:ascii="Times New Roman" w:eastAsiaTheme="minorHAnsi" w:hAnsi="Times New Roman" w:cs="Times New Roman"/>
      <w:sz w:val="24"/>
      <w:lang w:eastAsia="en-US"/>
    </w:rPr>
  </w:style>
  <w:style w:type="paragraph" w:styleId="ListBullet4">
    <w:name w:val="List Bullet 4"/>
    <w:basedOn w:val="Normal"/>
    <w:uiPriority w:val="99"/>
    <w:semiHidden/>
    <w:unhideWhenUsed/>
    <w:rsid w:val="00271EF8"/>
    <w:pPr>
      <w:numPr>
        <w:numId w:val="14"/>
      </w:numPr>
      <w:spacing w:before="120" w:after="120" w:line="240" w:lineRule="auto"/>
      <w:contextualSpacing/>
      <w:jc w:val="both"/>
    </w:pPr>
    <w:rPr>
      <w:rFonts w:ascii="Times New Roman" w:eastAsiaTheme="minorHAnsi" w:hAnsi="Times New Roman" w:cs="Times New Roman"/>
      <w:sz w:val="24"/>
      <w:lang w:eastAsia="en-US"/>
    </w:rPr>
  </w:style>
  <w:style w:type="paragraph" w:styleId="CommentSubject">
    <w:name w:val="annotation subject"/>
    <w:basedOn w:val="CommentText"/>
    <w:next w:val="CommentText"/>
    <w:link w:val="CommentSubjectChar"/>
    <w:uiPriority w:val="99"/>
    <w:semiHidden/>
    <w:unhideWhenUsed/>
    <w:rsid w:val="00271EF8"/>
    <w:pPr>
      <w:spacing w:before="120" w:after="120"/>
      <w:jc w:val="both"/>
    </w:pPr>
    <w:rPr>
      <w:rFonts w:ascii="Times New Roman" w:eastAsiaTheme="minorHAnsi" w:hAnsi="Times New Roman" w:cs="Times New Roman"/>
      <w:b/>
      <w:bCs/>
      <w:lang w:eastAsia="en-US"/>
    </w:rPr>
  </w:style>
  <w:style w:type="character" w:customStyle="1" w:styleId="CommentSubjectChar">
    <w:name w:val="Comment Subject Char"/>
    <w:basedOn w:val="CommentTextChar"/>
    <w:link w:val="CommentSubject"/>
    <w:uiPriority w:val="99"/>
    <w:semiHidden/>
    <w:rsid w:val="00271EF8"/>
    <w:rPr>
      <w:rFonts w:ascii="Times New Roman" w:eastAsiaTheme="minorHAnsi" w:hAnsi="Times New Roman" w:cs="Times New Roman"/>
      <w:b/>
      <w:bCs/>
      <w:sz w:val="20"/>
      <w:szCs w:val="20"/>
      <w:lang w:val="ro-RO" w:eastAsia="en-US"/>
    </w:rPr>
  </w:style>
  <w:style w:type="paragraph" w:styleId="Caption">
    <w:name w:val="caption"/>
    <w:basedOn w:val="Normal"/>
    <w:next w:val="Normal"/>
    <w:uiPriority w:val="35"/>
    <w:semiHidden/>
    <w:unhideWhenUsed/>
    <w:qFormat/>
    <w:rsid w:val="00271EF8"/>
    <w:pPr>
      <w:spacing w:after="200" w:line="240" w:lineRule="auto"/>
      <w:jc w:val="both"/>
    </w:pPr>
    <w:rPr>
      <w:rFonts w:ascii="Times New Roman" w:eastAsiaTheme="minorHAnsi" w:hAnsi="Times New Roman" w:cs="Times New Roman"/>
      <w:i/>
      <w:iCs/>
      <w:color w:val="44546A" w:themeColor="text2"/>
      <w:sz w:val="18"/>
      <w:szCs w:val="18"/>
      <w:lang w:eastAsia="en-US"/>
    </w:rPr>
  </w:style>
  <w:style w:type="paragraph" w:styleId="TableofFigures">
    <w:name w:val="table of figures"/>
    <w:basedOn w:val="Normal"/>
    <w:next w:val="Normal"/>
    <w:uiPriority w:val="99"/>
    <w:semiHidden/>
    <w:unhideWhenUsed/>
    <w:rsid w:val="00271EF8"/>
    <w:pPr>
      <w:spacing w:before="120" w:after="0" w:line="240" w:lineRule="auto"/>
      <w:jc w:val="both"/>
    </w:pPr>
    <w:rPr>
      <w:rFonts w:ascii="Times New Roman" w:eastAsiaTheme="minorHAnsi" w:hAnsi="Times New Roman" w:cs="Times New Roman"/>
      <w:sz w:val="24"/>
      <w:lang w:eastAsia="en-US"/>
    </w:rPr>
  </w:style>
  <w:style w:type="paragraph" w:styleId="ListNumber">
    <w:name w:val="List Number"/>
    <w:basedOn w:val="Normal"/>
    <w:uiPriority w:val="99"/>
    <w:semiHidden/>
    <w:unhideWhenUsed/>
    <w:rsid w:val="00271EF8"/>
    <w:pPr>
      <w:numPr>
        <w:numId w:val="15"/>
      </w:numPr>
      <w:tabs>
        <w:tab w:val="clear" w:pos="360"/>
        <w:tab w:val="num" w:pos="3118"/>
      </w:tabs>
      <w:spacing w:before="120" w:after="120" w:line="240" w:lineRule="auto"/>
      <w:ind w:left="3118" w:hanging="567"/>
      <w:contextualSpacing/>
      <w:jc w:val="both"/>
    </w:pPr>
    <w:rPr>
      <w:rFonts w:ascii="Times New Roman" w:eastAsiaTheme="minorHAnsi" w:hAnsi="Times New Roman" w:cs="Times New Roman"/>
      <w:sz w:val="24"/>
      <w:lang w:eastAsia="en-US"/>
    </w:rPr>
  </w:style>
  <w:style w:type="paragraph" w:styleId="ListNumber2">
    <w:name w:val="List Number 2"/>
    <w:basedOn w:val="Normal"/>
    <w:uiPriority w:val="99"/>
    <w:semiHidden/>
    <w:unhideWhenUsed/>
    <w:rsid w:val="00271EF8"/>
    <w:pPr>
      <w:numPr>
        <w:numId w:val="16"/>
      </w:numPr>
      <w:tabs>
        <w:tab w:val="clear" w:pos="643"/>
        <w:tab w:val="num" w:pos="850"/>
      </w:tabs>
      <w:spacing w:before="120" w:after="120" w:line="240" w:lineRule="auto"/>
      <w:ind w:left="850" w:hanging="850"/>
      <w:contextualSpacing/>
      <w:jc w:val="both"/>
    </w:pPr>
    <w:rPr>
      <w:rFonts w:ascii="Times New Roman" w:eastAsiaTheme="minorHAnsi" w:hAnsi="Times New Roman" w:cs="Times New Roman"/>
      <w:sz w:val="24"/>
      <w:lang w:eastAsia="en-US"/>
    </w:rPr>
  </w:style>
  <w:style w:type="paragraph" w:styleId="ListNumber3">
    <w:name w:val="List Number 3"/>
    <w:basedOn w:val="Normal"/>
    <w:uiPriority w:val="99"/>
    <w:semiHidden/>
    <w:unhideWhenUsed/>
    <w:rsid w:val="00271EF8"/>
    <w:pPr>
      <w:numPr>
        <w:numId w:val="17"/>
      </w:numPr>
      <w:tabs>
        <w:tab w:val="clear" w:pos="926"/>
        <w:tab w:val="num" w:pos="850"/>
      </w:tabs>
      <w:spacing w:before="120" w:after="120" w:line="240" w:lineRule="auto"/>
      <w:ind w:left="850" w:hanging="850"/>
      <w:contextualSpacing/>
      <w:jc w:val="both"/>
    </w:pPr>
    <w:rPr>
      <w:rFonts w:ascii="Times New Roman" w:eastAsiaTheme="minorHAnsi" w:hAnsi="Times New Roman" w:cs="Times New Roman"/>
      <w:sz w:val="24"/>
      <w:lang w:eastAsia="en-US"/>
    </w:rPr>
  </w:style>
  <w:style w:type="paragraph" w:styleId="ListNumber4">
    <w:name w:val="List Number 4"/>
    <w:basedOn w:val="Normal"/>
    <w:uiPriority w:val="99"/>
    <w:semiHidden/>
    <w:unhideWhenUsed/>
    <w:rsid w:val="00271EF8"/>
    <w:pPr>
      <w:numPr>
        <w:numId w:val="18"/>
      </w:numPr>
      <w:tabs>
        <w:tab w:val="num" w:pos="850"/>
      </w:tabs>
      <w:spacing w:before="120" w:after="120" w:line="240" w:lineRule="auto"/>
      <w:contextualSpacing/>
      <w:jc w:val="both"/>
    </w:pPr>
    <w:rPr>
      <w:rFonts w:ascii="Times New Roman" w:eastAsiaTheme="minorHAnsi" w:hAnsi="Times New Roman" w:cs="Times New Roman"/>
      <w:sz w:val="24"/>
      <w:lang w:eastAsia="en-US"/>
    </w:rPr>
  </w:style>
  <w:style w:type="character" w:styleId="Hyperlink">
    <w:name w:val="Hyperlink"/>
    <w:basedOn w:val="DefaultParagraphFont"/>
    <w:uiPriority w:val="99"/>
    <w:unhideWhenUsed/>
    <w:rsid w:val="00271EF8"/>
    <w:rPr>
      <w:color w:val="0563C1" w:themeColor="hyperlink"/>
      <w:u w:val="single"/>
    </w:rPr>
  </w:style>
  <w:style w:type="paragraph" w:styleId="FootnoteText">
    <w:name w:val="footnote text"/>
    <w:aliases w:val="Char1,Footnote Text Char3 Char,Footnote Text Char1 Char1 Char,Footnote Text Char2 Char Char Char,Footnote Text Char1 Char1 Char Char Char,Footnote Text Char2 Char Char Char Char Char,Footnote Text Char3,fn,Plonk,o,f,Ch,single space,ft,Plo"/>
    <w:basedOn w:val="Normal"/>
    <w:link w:val="FootnoteTextChar"/>
    <w:uiPriority w:val="99"/>
    <w:unhideWhenUsed/>
    <w:qFormat/>
    <w:rsid w:val="00271EF8"/>
    <w:pPr>
      <w:spacing w:after="0" w:line="240" w:lineRule="auto"/>
      <w:ind w:left="720" w:hanging="720"/>
      <w:jc w:val="both"/>
    </w:pPr>
    <w:rPr>
      <w:rFonts w:ascii="Times New Roman" w:eastAsiaTheme="minorHAnsi" w:hAnsi="Times New Roman" w:cs="Times New Roman"/>
      <w:sz w:val="20"/>
      <w:szCs w:val="20"/>
      <w:lang w:eastAsia="en-US"/>
    </w:rPr>
  </w:style>
  <w:style w:type="character" w:customStyle="1" w:styleId="FootnoteTextChar">
    <w:name w:val="Footnote Text Char"/>
    <w:aliases w:val="Char1 Char,Footnote Text Char3 Char Char,Footnote Text Char1 Char1 Char Char,Footnote Text Char2 Char Char Char Char,Footnote Text Char1 Char1 Char Char Char Char,Footnote Text Char2 Char Char Char Char Char Char,fn Char,Plonk Char"/>
    <w:basedOn w:val="DefaultParagraphFont"/>
    <w:link w:val="FootnoteText"/>
    <w:uiPriority w:val="99"/>
    <w:rsid w:val="00271EF8"/>
    <w:rPr>
      <w:rFonts w:ascii="Times New Roman" w:eastAsiaTheme="minorHAnsi" w:hAnsi="Times New Roman" w:cs="Times New Roman"/>
      <w:sz w:val="20"/>
      <w:szCs w:val="20"/>
      <w:lang w:val="ro-RO" w:eastAsia="en-US"/>
    </w:rPr>
  </w:style>
  <w:style w:type="paragraph" w:styleId="TOCHeading">
    <w:name w:val="TOC Heading"/>
    <w:basedOn w:val="Normal"/>
    <w:next w:val="Normal"/>
    <w:uiPriority w:val="39"/>
    <w:semiHidden/>
    <w:unhideWhenUsed/>
    <w:qFormat/>
    <w:rsid w:val="00271EF8"/>
    <w:pPr>
      <w:spacing w:before="120" w:after="240" w:line="240" w:lineRule="auto"/>
      <w:jc w:val="center"/>
    </w:pPr>
    <w:rPr>
      <w:rFonts w:ascii="Times New Roman" w:eastAsiaTheme="minorHAnsi" w:hAnsi="Times New Roman" w:cs="Times New Roman"/>
      <w:b/>
      <w:sz w:val="28"/>
      <w:lang w:eastAsia="en-US"/>
    </w:rPr>
  </w:style>
  <w:style w:type="paragraph" w:styleId="TOC1">
    <w:name w:val="toc 1"/>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lang w:eastAsia="en-US"/>
    </w:rPr>
  </w:style>
  <w:style w:type="paragraph" w:styleId="TOC2">
    <w:name w:val="toc 2"/>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lang w:eastAsia="en-US"/>
    </w:rPr>
  </w:style>
  <w:style w:type="paragraph" w:styleId="TOC3">
    <w:name w:val="toc 3"/>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lang w:eastAsia="en-US"/>
    </w:rPr>
  </w:style>
  <w:style w:type="paragraph" w:styleId="TOC4">
    <w:name w:val="toc 4"/>
    <w:basedOn w:val="Normal"/>
    <w:next w:val="Normal"/>
    <w:uiPriority w:val="39"/>
    <w:semiHidden/>
    <w:unhideWhenUsed/>
    <w:rsid w:val="00271EF8"/>
    <w:pPr>
      <w:tabs>
        <w:tab w:val="right" w:leader="dot" w:pos="9071"/>
      </w:tabs>
      <w:spacing w:before="60" w:after="120" w:line="240" w:lineRule="auto"/>
      <w:ind w:left="850" w:hanging="850"/>
    </w:pPr>
    <w:rPr>
      <w:rFonts w:ascii="Times New Roman" w:eastAsiaTheme="minorHAnsi" w:hAnsi="Times New Roman" w:cs="Times New Roman"/>
      <w:sz w:val="24"/>
      <w:lang w:eastAsia="en-US"/>
    </w:rPr>
  </w:style>
  <w:style w:type="paragraph" w:styleId="TOC5">
    <w:name w:val="toc 5"/>
    <w:basedOn w:val="Normal"/>
    <w:next w:val="Normal"/>
    <w:uiPriority w:val="39"/>
    <w:semiHidden/>
    <w:unhideWhenUsed/>
    <w:rsid w:val="00271EF8"/>
    <w:pPr>
      <w:tabs>
        <w:tab w:val="right" w:leader="dot" w:pos="9071"/>
      </w:tabs>
      <w:spacing w:before="300" w:after="120" w:line="240" w:lineRule="auto"/>
    </w:pPr>
    <w:rPr>
      <w:rFonts w:ascii="Times New Roman" w:eastAsiaTheme="minorHAnsi" w:hAnsi="Times New Roman" w:cs="Times New Roman"/>
      <w:sz w:val="24"/>
      <w:lang w:eastAsia="en-US"/>
    </w:rPr>
  </w:style>
  <w:style w:type="paragraph" w:styleId="TOC6">
    <w:name w:val="toc 6"/>
    <w:basedOn w:val="Normal"/>
    <w:next w:val="Normal"/>
    <w:uiPriority w:val="39"/>
    <w:semiHidden/>
    <w:unhideWhenUsed/>
    <w:rsid w:val="00271EF8"/>
    <w:pPr>
      <w:tabs>
        <w:tab w:val="right" w:leader="dot" w:pos="9071"/>
      </w:tabs>
      <w:spacing w:before="240" w:after="120" w:line="240" w:lineRule="auto"/>
    </w:pPr>
    <w:rPr>
      <w:rFonts w:ascii="Times New Roman" w:eastAsiaTheme="minorHAnsi" w:hAnsi="Times New Roman" w:cs="Times New Roman"/>
      <w:sz w:val="24"/>
      <w:lang w:eastAsia="en-US"/>
    </w:rPr>
  </w:style>
  <w:style w:type="paragraph" w:styleId="TOC7">
    <w:name w:val="toc 7"/>
    <w:basedOn w:val="Normal"/>
    <w:next w:val="Normal"/>
    <w:uiPriority w:val="39"/>
    <w:semiHidden/>
    <w:unhideWhenUsed/>
    <w:rsid w:val="00271EF8"/>
    <w:pPr>
      <w:tabs>
        <w:tab w:val="right" w:leader="dot" w:pos="9071"/>
      </w:tabs>
      <w:spacing w:before="180" w:after="120" w:line="240" w:lineRule="auto"/>
    </w:pPr>
    <w:rPr>
      <w:rFonts w:ascii="Times New Roman" w:eastAsiaTheme="minorHAnsi" w:hAnsi="Times New Roman" w:cs="Times New Roman"/>
      <w:sz w:val="24"/>
      <w:lang w:eastAsia="en-US"/>
    </w:rPr>
  </w:style>
  <w:style w:type="paragraph" w:styleId="TOC8">
    <w:name w:val="toc 8"/>
    <w:basedOn w:val="Normal"/>
    <w:next w:val="Normal"/>
    <w:uiPriority w:val="39"/>
    <w:semiHidden/>
    <w:unhideWhenUsed/>
    <w:rsid w:val="00271EF8"/>
    <w:pPr>
      <w:tabs>
        <w:tab w:val="right" w:leader="dot" w:pos="9071"/>
      </w:tabs>
      <w:spacing w:before="120" w:after="120" w:line="240" w:lineRule="auto"/>
    </w:pPr>
    <w:rPr>
      <w:rFonts w:ascii="Times New Roman" w:eastAsiaTheme="minorHAnsi" w:hAnsi="Times New Roman" w:cs="Times New Roman"/>
      <w:sz w:val="24"/>
      <w:lang w:eastAsia="en-US"/>
    </w:rPr>
  </w:style>
  <w:style w:type="paragraph" w:styleId="TOC9">
    <w:name w:val="toc 9"/>
    <w:basedOn w:val="Normal"/>
    <w:next w:val="Normal"/>
    <w:uiPriority w:val="39"/>
    <w:semiHidden/>
    <w:unhideWhenUsed/>
    <w:rsid w:val="00271EF8"/>
    <w:pPr>
      <w:tabs>
        <w:tab w:val="right" w:leader="dot" w:pos="9071"/>
      </w:tabs>
      <w:spacing w:before="120" w:after="120" w:line="240" w:lineRule="auto"/>
      <w:jc w:val="both"/>
    </w:pPr>
    <w:rPr>
      <w:rFonts w:ascii="Times New Roman" w:eastAsiaTheme="minorHAnsi" w:hAnsi="Times New Roman" w:cs="Times New Roman"/>
      <w:sz w:val="24"/>
      <w:lang w:eastAsia="en-US"/>
    </w:rPr>
  </w:style>
  <w:style w:type="character" w:styleId="FootnoteReference">
    <w:name w:val="footnote reference"/>
    <w:basedOn w:val="DefaultParagraphFont"/>
    <w:uiPriority w:val="99"/>
    <w:semiHidden/>
    <w:unhideWhenUsed/>
    <w:rsid w:val="00271EF8"/>
    <w:rPr>
      <w:shd w:val="clear" w:color="auto" w:fill="auto"/>
      <w:vertAlign w:val="superscript"/>
    </w:rPr>
  </w:style>
  <w:style w:type="paragraph" w:customStyle="1" w:styleId="HeaderSensitivity">
    <w:name w:val="Header Sensitivity"/>
    <w:basedOn w:val="Normal"/>
    <w:rsid w:val="00271EF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rsid w:val="00271EF8"/>
    <w:pPr>
      <w:spacing w:after="120" w:line="240" w:lineRule="auto"/>
      <w:jc w:val="right"/>
    </w:pPr>
    <w:rPr>
      <w:rFonts w:ascii="Times New Roman" w:hAnsi="Times New Roman" w:cs="Times New Roman"/>
      <w:sz w:val="28"/>
    </w:rPr>
  </w:style>
  <w:style w:type="paragraph" w:customStyle="1" w:styleId="FooterSensitivity">
    <w:name w:val="Footer Sensitivity"/>
    <w:basedOn w:val="Normal"/>
    <w:rsid w:val="00271EF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rsid w:val="00271EF8"/>
    <w:pPr>
      <w:spacing w:before="120" w:after="120" w:line="240" w:lineRule="auto"/>
      <w:ind w:left="850"/>
      <w:jc w:val="both"/>
    </w:pPr>
    <w:rPr>
      <w:rFonts w:ascii="Times New Roman" w:eastAsiaTheme="minorHAnsi" w:hAnsi="Times New Roman" w:cs="Times New Roman"/>
      <w:sz w:val="24"/>
      <w:lang w:eastAsia="en-US"/>
    </w:rPr>
  </w:style>
  <w:style w:type="paragraph" w:customStyle="1" w:styleId="Text2">
    <w:name w:val="Text 2"/>
    <w:basedOn w:val="Normal"/>
    <w:rsid w:val="00271EF8"/>
    <w:pPr>
      <w:spacing w:before="120" w:after="120" w:line="240" w:lineRule="auto"/>
      <w:ind w:left="1417"/>
      <w:jc w:val="both"/>
    </w:pPr>
    <w:rPr>
      <w:rFonts w:ascii="Times New Roman" w:eastAsiaTheme="minorHAnsi" w:hAnsi="Times New Roman" w:cs="Times New Roman"/>
      <w:sz w:val="24"/>
      <w:lang w:eastAsia="en-US"/>
    </w:rPr>
  </w:style>
  <w:style w:type="paragraph" w:customStyle="1" w:styleId="Text3">
    <w:name w:val="Text 3"/>
    <w:basedOn w:val="Normal"/>
    <w:rsid w:val="00271EF8"/>
    <w:pPr>
      <w:spacing w:before="120" w:after="120" w:line="240" w:lineRule="auto"/>
      <w:ind w:left="1984"/>
      <w:jc w:val="both"/>
    </w:pPr>
    <w:rPr>
      <w:rFonts w:ascii="Times New Roman" w:eastAsiaTheme="minorHAnsi" w:hAnsi="Times New Roman" w:cs="Times New Roman"/>
      <w:sz w:val="24"/>
      <w:lang w:eastAsia="en-US"/>
    </w:rPr>
  </w:style>
  <w:style w:type="paragraph" w:customStyle="1" w:styleId="Text4">
    <w:name w:val="Text 4"/>
    <w:basedOn w:val="Normal"/>
    <w:rsid w:val="00271EF8"/>
    <w:pPr>
      <w:spacing w:before="120" w:after="120" w:line="240" w:lineRule="auto"/>
      <w:ind w:left="2551"/>
      <w:jc w:val="both"/>
    </w:pPr>
    <w:rPr>
      <w:rFonts w:ascii="Times New Roman" w:eastAsiaTheme="minorHAnsi" w:hAnsi="Times New Roman" w:cs="Times New Roman"/>
      <w:sz w:val="24"/>
      <w:lang w:eastAsia="en-US"/>
    </w:rPr>
  </w:style>
  <w:style w:type="paragraph" w:customStyle="1" w:styleId="NormalCentered">
    <w:name w:val="Normal Centered"/>
    <w:basedOn w:val="Normal"/>
    <w:rsid w:val="00271EF8"/>
    <w:pPr>
      <w:spacing w:before="120" w:after="120" w:line="240" w:lineRule="auto"/>
      <w:jc w:val="center"/>
    </w:pPr>
    <w:rPr>
      <w:rFonts w:ascii="Times New Roman" w:eastAsiaTheme="minorHAnsi" w:hAnsi="Times New Roman" w:cs="Times New Roman"/>
      <w:sz w:val="24"/>
      <w:lang w:eastAsia="en-US"/>
    </w:rPr>
  </w:style>
  <w:style w:type="paragraph" w:customStyle="1" w:styleId="NormalLeft">
    <w:name w:val="Normal Left"/>
    <w:basedOn w:val="Normal"/>
    <w:rsid w:val="00271EF8"/>
    <w:pPr>
      <w:spacing w:before="120" w:after="120" w:line="240" w:lineRule="auto"/>
    </w:pPr>
    <w:rPr>
      <w:rFonts w:ascii="Times New Roman" w:eastAsiaTheme="minorHAnsi" w:hAnsi="Times New Roman" w:cs="Times New Roman"/>
      <w:sz w:val="24"/>
      <w:lang w:eastAsia="en-US"/>
    </w:rPr>
  </w:style>
  <w:style w:type="paragraph" w:customStyle="1" w:styleId="NormalRight">
    <w:name w:val="Normal Right"/>
    <w:basedOn w:val="Normal"/>
    <w:rsid w:val="00271EF8"/>
    <w:pPr>
      <w:spacing w:before="120" w:after="120" w:line="240" w:lineRule="auto"/>
      <w:jc w:val="right"/>
    </w:pPr>
    <w:rPr>
      <w:rFonts w:ascii="Times New Roman" w:eastAsiaTheme="minorHAnsi" w:hAnsi="Times New Roman" w:cs="Times New Roman"/>
      <w:sz w:val="24"/>
      <w:lang w:eastAsia="en-US"/>
    </w:rPr>
  </w:style>
  <w:style w:type="paragraph" w:customStyle="1" w:styleId="QuotedText">
    <w:name w:val="Quoted Text"/>
    <w:basedOn w:val="Normal"/>
    <w:rsid w:val="00271EF8"/>
    <w:pPr>
      <w:spacing w:before="120" w:after="120" w:line="240" w:lineRule="auto"/>
      <w:ind w:left="1417"/>
      <w:jc w:val="both"/>
    </w:pPr>
    <w:rPr>
      <w:rFonts w:ascii="Times New Roman" w:eastAsiaTheme="minorHAnsi" w:hAnsi="Times New Roman" w:cs="Times New Roman"/>
      <w:sz w:val="24"/>
      <w:lang w:eastAsia="en-US"/>
    </w:rPr>
  </w:style>
  <w:style w:type="paragraph" w:customStyle="1" w:styleId="Point0">
    <w:name w:val="Point 0"/>
    <w:basedOn w:val="Normal"/>
    <w:rsid w:val="00271EF8"/>
    <w:pPr>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Point1">
    <w:name w:val="Point 1"/>
    <w:basedOn w:val="Normal"/>
    <w:rsid w:val="00271EF8"/>
    <w:pPr>
      <w:spacing w:before="120" w:after="120" w:line="240" w:lineRule="auto"/>
      <w:ind w:left="1417" w:hanging="567"/>
      <w:jc w:val="both"/>
    </w:pPr>
    <w:rPr>
      <w:rFonts w:ascii="Times New Roman" w:eastAsiaTheme="minorHAnsi" w:hAnsi="Times New Roman" w:cs="Times New Roman"/>
      <w:sz w:val="24"/>
      <w:lang w:eastAsia="en-US"/>
    </w:rPr>
  </w:style>
  <w:style w:type="paragraph" w:customStyle="1" w:styleId="Point2">
    <w:name w:val="Point 2"/>
    <w:basedOn w:val="Normal"/>
    <w:rsid w:val="00271EF8"/>
    <w:pPr>
      <w:spacing w:before="120" w:after="120" w:line="240" w:lineRule="auto"/>
      <w:ind w:left="1984" w:hanging="567"/>
      <w:jc w:val="both"/>
    </w:pPr>
    <w:rPr>
      <w:rFonts w:ascii="Times New Roman" w:eastAsiaTheme="minorHAnsi" w:hAnsi="Times New Roman" w:cs="Times New Roman"/>
      <w:sz w:val="24"/>
      <w:lang w:eastAsia="en-US"/>
    </w:rPr>
  </w:style>
  <w:style w:type="paragraph" w:customStyle="1" w:styleId="Point3">
    <w:name w:val="Point 3"/>
    <w:basedOn w:val="Normal"/>
    <w:rsid w:val="00271EF8"/>
    <w:pPr>
      <w:spacing w:before="120" w:after="120" w:line="240" w:lineRule="auto"/>
      <w:ind w:left="2551" w:hanging="567"/>
      <w:jc w:val="both"/>
    </w:pPr>
    <w:rPr>
      <w:rFonts w:ascii="Times New Roman" w:eastAsiaTheme="minorHAnsi" w:hAnsi="Times New Roman" w:cs="Times New Roman"/>
      <w:sz w:val="24"/>
      <w:lang w:eastAsia="en-US"/>
    </w:rPr>
  </w:style>
  <w:style w:type="paragraph" w:customStyle="1" w:styleId="Point4">
    <w:name w:val="Point 4"/>
    <w:basedOn w:val="Normal"/>
    <w:rsid w:val="00271EF8"/>
    <w:pPr>
      <w:spacing w:before="120" w:after="120" w:line="240" w:lineRule="auto"/>
      <w:ind w:left="3118" w:hanging="567"/>
      <w:jc w:val="both"/>
    </w:pPr>
    <w:rPr>
      <w:rFonts w:ascii="Times New Roman" w:eastAsiaTheme="minorHAnsi" w:hAnsi="Times New Roman" w:cs="Times New Roman"/>
      <w:sz w:val="24"/>
      <w:lang w:eastAsia="en-US"/>
    </w:rPr>
  </w:style>
  <w:style w:type="paragraph" w:customStyle="1" w:styleId="Tiret0">
    <w:name w:val="Tiret 0"/>
    <w:basedOn w:val="Point0"/>
    <w:rsid w:val="00271EF8"/>
    <w:pPr>
      <w:numPr>
        <w:numId w:val="19"/>
      </w:numPr>
      <w:tabs>
        <w:tab w:val="clear" w:pos="850"/>
        <w:tab w:val="num" w:pos="1417"/>
      </w:tabs>
      <w:ind w:left="1417" w:hanging="567"/>
    </w:pPr>
  </w:style>
  <w:style w:type="paragraph" w:customStyle="1" w:styleId="Tiret1">
    <w:name w:val="Tiret 1"/>
    <w:basedOn w:val="Point1"/>
    <w:rsid w:val="00271EF8"/>
    <w:pPr>
      <w:numPr>
        <w:numId w:val="20"/>
      </w:numPr>
      <w:tabs>
        <w:tab w:val="clear" w:pos="1417"/>
        <w:tab w:val="num" w:pos="1984"/>
      </w:tabs>
      <w:ind w:left="1984"/>
    </w:pPr>
  </w:style>
  <w:style w:type="paragraph" w:customStyle="1" w:styleId="Tiret2">
    <w:name w:val="Tiret 2"/>
    <w:basedOn w:val="Point2"/>
    <w:rsid w:val="00271EF8"/>
    <w:pPr>
      <w:numPr>
        <w:numId w:val="21"/>
      </w:numPr>
      <w:tabs>
        <w:tab w:val="clear" w:pos="1984"/>
        <w:tab w:val="num" w:pos="2551"/>
      </w:tabs>
      <w:ind w:left="2551"/>
    </w:pPr>
  </w:style>
  <w:style w:type="paragraph" w:customStyle="1" w:styleId="Tiret3">
    <w:name w:val="Tiret 3"/>
    <w:basedOn w:val="Point3"/>
    <w:rsid w:val="00271EF8"/>
    <w:pPr>
      <w:numPr>
        <w:numId w:val="22"/>
      </w:numPr>
      <w:tabs>
        <w:tab w:val="clear" w:pos="2551"/>
        <w:tab w:val="num" w:pos="3118"/>
      </w:tabs>
      <w:ind w:left="3118"/>
    </w:pPr>
  </w:style>
  <w:style w:type="paragraph" w:customStyle="1" w:styleId="Tiret4">
    <w:name w:val="Tiret 4"/>
    <w:basedOn w:val="Point4"/>
    <w:rsid w:val="00271EF8"/>
    <w:pPr>
      <w:numPr>
        <w:numId w:val="23"/>
      </w:numPr>
      <w:tabs>
        <w:tab w:val="clear" w:pos="3118"/>
        <w:tab w:val="num" w:pos="709"/>
      </w:tabs>
      <w:ind w:left="709" w:hanging="709"/>
    </w:pPr>
  </w:style>
  <w:style w:type="paragraph" w:customStyle="1" w:styleId="PointDouble0">
    <w:name w:val="PointDouble 0"/>
    <w:basedOn w:val="Normal"/>
    <w:rsid w:val="00271EF8"/>
    <w:pPr>
      <w:tabs>
        <w:tab w:val="left" w:pos="850"/>
      </w:tabs>
      <w:spacing w:before="120" w:after="120" w:line="240" w:lineRule="auto"/>
      <w:ind w:left="1417" w:hanging="1417"/>
      <w:jc w:val="both"/>
    </w:pPr>
    <w:rPr>
      <w:rFonts w:ascii="Times New Roman" w:eastAsiaTheme="minorHAnsi" w:hAnsi="Times New Roman" w:cs="Times New Roman"/>
      <w:sz w:val="24"/>
      <w:lang w:eastAsia="en-US"/>
    </w:rPr>
  </w:style>
  <w:style w:type="paragraph" w:customStyle="1" w:styleId="PointDouble1">
    <w:name w:val="PointDouble 1"/>
    <w:basedOn w:val="Normal"/>
    <w:rsid w:val="00271EF8"/>
    <w:pPr>
      <w:tabs>
        <w:tab w:val="left" w:pos="1417"/>
      </w:tabs>
      <w:spacing w:before="120" w:after="120" w:line="240" w:lineRule="auto"/>
      <w:ind w:left="1984" w:hanging="1134"/>
      <w:jc w:val="both"/>
    </w:pPr>
    <w:rPr>
      <w:rFonts w:ascii="Times New Roman" w:eastAsiaTheme="minorHAnsi" w:hAnsi="Times New Roman" w:cs="Times New Roman"/>
      <w:sz w:val="24"/>
      <w:lang w:eastAsia="en-US"/>
    </w:rPr>
  </w:style>
  <w:style w:type="paragraph" w:customStyle="1" w:styleId="PointDouble2">
    <w:name w:val="PointDouble 2"/>
    <w:basedOn w:val="Normal"/>
    <w:rsid w:val="00271EF8"/>
    <w:pPr>
      <w:tabs>
        <w:tab w:val="left" w:pos="1984"/>
      </w:tabs>
      <w:spacing w:before="120" w:after="120" w:line="240" w:lineRule="auto"/>
      <w:ind w:left="2551" w:hanging="1134"/>
      <w:jc w:val="both"/>
    </w:pPr>
    <w:rPr>
      <w:rFonts w:ascii="Times New Roman" w:eastAsiaTheme="minorHAnsi" w:hAnsi="Times New Roman" w:cs="Times New Roman"/>
      <w:sz w:val="24"/>
      <w:lang w:eastAsia="en-US"/>
    </w:rPr>
  </w:style>
  <w:style w:type="paragraph" w:customStyle="1" w:styleId="PointDouble3">
    <w:name w:val="PointDouble 3"/>
    <w:basedOn w:val="Normal"/>
    <w:rsid w:val="00271EF8"/>
    <w:pPr>
      <w:tabs>
        <w:tab w:val="left" w:pos="2551"/>
      </w:tabs>
      <w:spacing w:before="120" w:after="120" w:line="240" w:lineRule="auto"/>
      <w:ind w:left="3118" w:hanging="1134"/>
      <w:jc w:val="both"/>
    </w:pPr>
    <w:rPr>
      <w:rFonts w:ascii="Times New Roman" w:eastAsiaTheme="minorHAnsi" w:hAnsi="Times New Roman" w:cs="Times New Roman"/>
      <w:sz w:val="24"/>
      <w:lang w:eastAsia="en-US"/>
    </w:rPr>
  </w:style>
  <w:style w:type="paragraph" w:customStyle="1" w:styleId="PointDouble4">
    <w:name w:val="PointDouble 4"/>
    <w:basedOn w:val="Normal"/>
    <w:rsid w:val="00271EF8"/>
    <w:pPr>
      <w:tabs>
        <w:tab w:val="left" w:pos="3118"/>
      </w:tabs>
      <w:spacing w:before="120" w:after="120" w:line="240" w:lineRule="auto"/>
      <w:ind w:left="3685" w:hanging="1134"/>
      <w:jc w:val="both"/>
    </w:pPr>
    <w:rPr>
      <w:rFonts w:ascii="Times New Roman" w:eastAsiaTheme="minorHAnsi" w:hAnsi="Times New Roman" w:cs="Times New Roman"/>
      <w:sz w:val="24"/>
      <w:lang w:eastAsia="en-US"/>
    </w:rPr>
  </w:style>
  <w:style w:type="paragraph" w:customStyle="1" w:styleId="PointTriple0">
    <w:name w:val="PointTriple 0"/>
    <w:basedOn w:val="Normal"/>
    <w:rsid w:val="00271EF8"/>
    <w:pPr>
      <w:tabs>
        <w:tab w:val="left" w:pos="850"/>
        <w:tab w:val="left" w:pos="1417"/>
      </w:tabs>
      <w:spacing w:before="120" w:after="120" w:line="240" w:lineRule="auto"/>
      <w:ind w:left="1984" w:hanging="1984"/>
      <w:jc w:val="both"/>
    </w:pPr>
    <w:rPr>
      <w:rFonts w:ascii="Times New Roman" w:eastAsiaTheme="minorHAnsi" w:hAnsi="Times New Roman" w:cs="Times New Roman"/>
      <w:sz w:val="24"/>
      <w:lang w:eastAsia="en-US"/>
    </w:rPr>
  </w:style>
  <w:style w:type="paragraph" w:customStyle="1" w:styleId="PointTriple1">
    <w:name w:val="PointTriple 1"/>
    <w:basedOn w:val="Normal"/>
    <w:rsid w:val="00271EF8"/>
    <w:pPr>
      <w:tabs>
        <w:tab w:val="left" w:pos="1417"/>
        <w:tab w:val="left" w:pos="1984"/>
      </w:tabs>
      <w:spacing w:before="120" w:after="120" w:line="240" w:lineRule="auto"/>
      <w:ind w:left="2551" w:hanging="1701"/>
      <w:jc w:val="both"/>
    </w:pPr>
    <w:rPr>
      <w:rFonts w:ascii="Times New Roman" w:eastAsiaTheme="minorHAnsi" w:hAnsi="Times New Roman" w:cs="Times New Roman"/>
      <w:sz w:val="24"/>
      <w:lang w:eastAsia="en-US"/>
    </w:rPr>
  </w:style>
  <w:style w:type="paragraph" w:customStyle="1" w:styleId="PointTriple2">
    <w:name w:val="PointTriple 2"/>
    <w:basedOn w:val="Normal"/>
    <w:rsid w:val="00271EF8"/>
    <w:pPr>
      <w:tabs>
        <w:tab w:val="left" w:pos="1984"/>
        <w:tab w:val="left" w:pos="2551"/>
      </w:tabs>
      <w:spacing w:before="120" w:after="120" w:line="240" w:lineRule="auto"/>
      <w:ind w:left="3118" w:hanging="1701"/>
      <w:jc w:val="both"/>
    </w:pPr>
    <w:rPr>
      <w:rFonts w:ascii="Times New Roman" w:eastAsiaTheme="minorHAnsi" w:hAnsi="Times New Roman" w:cs="Times New Roman"/>
      <w:sz w:val="24"/>
      <w:lang w:eastAsia="en-US"/>
    </w:rPr>
  </w:style>
  <w:style w:type="paragraph" w:customStyle="1" w:styleId="PointTriple3">
    <w:name w:val="PointTriple 3"/>
    <w:basedOn w:val="Normal"/>
    <w:rsid w:val="00271EF8"/>
    <w:pPr>
      <w:tabs>
        <w:tab w:val="left" w:pos="2551"/>
        <w:tab w:val="left" w:pos="3118"/>
      </w:tabs>
      <w:spacing w:before="120" w:after="120" w:line="240" w:lineRule="auto"/>
      <w:ind w:left="3685" w:hanging="1701"/>
      <w:jc w:val="both"/>
    </w:pPr>
    <w:rPr>
      <w:rFonts w:ascii="Times New Roman" w:eastAsiaTheme="minorHAnsi" w:hAnsi="Times New Roman" w:cs="Times New Roman"/>
      <w:sz w:val="24"/>
      <w:lang w:eastAsia="en-US"/>
    </w:rPr>
  </w:style>
  <w:style w:type="paragraph" w:customStyle="1" w:styleId="PointTriple4">
    <w:name w:val="PointTriple 4"/>
    <w:basedOn w:val="Normal"/>
    <w:rsid w:val="00271EF8"/>
    <w:pPr>
      <w:tabs>
        <w:tab w:val="left" w:pos="3118"/>
        <w:tab w:val="left" w:pos="3685"/>
      </w:tabs>
      <w:spacing w:before="120" w:after="120" w:line="240" w:lineRule="auto"/>
      <w:ind w:left="4252" w:hanging="1701"/>
      <w:jc w:val="both"/>
    </w:pPr>
    <w:rPr>
      <w:rFonts w:ascii="Times New Roman" w:eastAsiaTheme="minorHAnsi" w:hAnsi="Times New Roman" w:cs="Times New Roman"/>
      <w:sz w:val="24"/>
      <w:lang w:eastAsia="en-US"/>
    </w:rPr>
  </w:style>
  <w:style w:type="paragraph" w:customStyle="1" w:styleId="NumPar1">
    <w:name w:val="NumPar 1"/>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NumPar2">
    <w:name w:val="NumPar 2"/>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NumPar3">
    <w:name w:val="NumPar 3"/>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NumPar4">
    <w:name w:val="NumPar 4"/>
    <w:basedOn w:val="Normal"/>
    <w:next w:val="Text1"/>
    <w:rsid w:val="00271EF8"/>
    <w:pPr>
      <w:tabs>
        <w:tab w:val="num" w:pos="850"/>
      </w:tabs>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ManualNumPar1">
    <w:name w:val="Manual NumPar 1"/>
    <w:basedOn w:val="Normal"/>
    <w:next w:val="Text1"/>
    <w:rsid w:val="00271EF8"/>
    <w:pPr>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ManualNumPar2">
    <w:name w:val="Manual NumPar 2"/>
    <w:basedOn w:val="Normal"/>
    <w:next w:val="Text1"/>
    <w:rsid w:val="00271EF8"/>
    <w:pPr>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ManualNumPar3">
    <w:name w:val="Manual NumPar 3"/>
    <w:basedOn w:val="Normal"/>
    <w:next w:val="Text1"/>
    <w:rsid w:val="00271EF8"/>
    <w:pPr>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ManualNumPar4">
    <w:name w:val="Manual NumPar 4"/>
    <w:basedOn w:val="Normal"/>
    <w:next w:val="Text1"/>
    <w:rsid w:val="00271EF8"/>
    <w:pPr>
      <w:spacing w:before="120" w:after="120" w:line="240" w:lineRule="auto"/>
      <w:ind w:left="850" w:hanging="850"/>
      <w:jc w:val="both"/>
    </w:pPr>
    <w:rPr>
      <w:rFonts w:ascii="Times New Roman" w:eastAsiaTheme="minorHAnsi" w:hAnsi="Times New Roman" w:cs="Times New Roman"/>
      <w:sz w:val="24"/>
      <w:lang w:eastAsia="en-US"/>
    </w:rPr>
  </w:style>
  <w:style w:type="paragraph" w:customStyle="1" w:styleId="QuotedNumPar">
    <w:name w:val="Quoted NumPar"/>
    <w:basedOn w:val="Normal"/>
    <w:rsid w:val="00271EF8"/>
    <w:pPr>
      <w:spacing w:before="120" w:after="120" w:line="240" w:lineRule="auto"/>
      <w:ind w:left="1417" w:hanging="567"/>
      <w:jc w:val="both"/>
    </w:pPr>
    <w:rPr>
      <w:rFonts w:ascii="Times New Roman" w:eastAsiaTheme="minorHAnsi" w:hAnsi="Times New Roman" w:cs="Times New Roman"/>
      <w:sz w:val="24"/>
      <w:lang w:eastAsia="en-US"/>
    </w:rPr>
  </w:style>
  <w:style w:type="paragraph" w:customStyle="1" w:styleId="ManualHeading1">
    <w:name w:val="Manual Heading 1"/>
    <w:basedOn w:val="Normal"/>
    <w:next w:val="Text1"/>
    <w:rsid w:val="00271EF8"/>
    <w:pPr>
      <w:keepNext/>
      <w:tabs>
        <w:tab w:val="left" w:pos="850"/>
      </w:tabs>
      <w:spacing w:before="360" w:after="120" w:line="240" w:lineRule="auto"/>
      <w:ind w:left="850" w:hanging="850"/>
      <w:jc w:val="both"/>
      <w:outlineLvl w:val="0"/>
    </w:pPr>
    <w:rPr>
      <w:rFonts w:ascii="Times New Roman" w:eastAsiaTheme="minorHAnsi" w:hAnsi="Times New Roman" w:cs="Times New Roman"/>
      <w:b/>
      <w:smallCaps/>
      <w:sz w:val="24"/>
      <w:lang w:eastAsia="en-US"/>
    </w:rPr>
  </w:style>
  <w:style w:type="paragraph" w:customStyle="1" w:styleId="ManualHeading2">
    <w:name w:val="Manual Heading 2"/>
    <w:basedOn w:val="Normal"/>
    <w:next w:val="Text1"/>
    <w:rsid w:val="00271EF8"/>
    <w:pPr>
      <w:keepNext/>
      <w:tabs>
        <w:tab w:val="left" w:pos="850"/>
      </w:tabs>
      <w:spacing w:before="120" w:after="120" w:line="240" w:lineRule="auto"/>
      <w:ind w:left="850" w:hanging="850"/>
      <w:jc w:val="both"/>
      <w:outlineLvl w:val="1"/>
    </w:pPr>
    <w:rPr>
      <w:rFonts w:ascii="Times New Roman" w:eastAsiaTheme="minorHAnsi" w:hAnsi="Times New Roman" w:cs="Times New Roman"/>
      <w:b/>
      <w:sz w:val="24"/>
      <w:lang w:eastAsia="en-US"/>
    </w:rPr>
  </w:style>
  <w:style w:type="paragraph" w:customStyle="1" w:styleId="ManualHeading3">
    <w:name w:val="Manual Heading 3"/>
    <w:basedOn w:val="Normal"/>
    <w:next w:val="Text1"/>
    <w:rsid w:val="00271EF8"/>
    <w:pPr>
      <w:keepNext/>
      <w:tabs>
        <w:tab w:val="left" w:pos="850"/>
      </w:tabs>
      <w:spacing w:before="120" w:after="120" w:line="240" w:lineRule="auto"/>
      <w:ind w:left="850" w:hanging="850"/>
      <w:jc w:val="both"/>
      <w:outlineLvl w:val="2"/>
    </w:pPr>
    <w:rPr>
      <w:rFonts w:ascii="Times New Roman" w:eastAsiaTheme="minorHAnsi" w:hAnsi="Times New Roman" w:cs="Times New Roman"/>
      <w:i/>
      <w:sz w:val="24"/>
      <w:lang w:eastAsia="en-US"/>
    </w:rPr>
  </w:style>
  <w:style w:type="paragraph" w:customStyle="1" w:styleId="ManualHeading4">
    <w:name w:val="Manual Heading 4"/>
    <w:basedOn w:val="Normal"/>
    <w:next w:val="Text1"/>
    <w:rsid w:val="00271EF8"/>
    <w:pPr>
      <w:keepNext/>
      <w:tabs>
        <w:tab w:val="left" w:pos="850"/>
      </w:tabs>
      <w:spacing w:before="120" w:after="120" w:line="240" w:lineRule="auto"/>
      <w:ind w:left="850" w:hanging="850"/>
      <w:jc w:val="both"/>
      <w:outlineLvl w:val="3"/>
    </w:pPr>
    <w:rPr>
      <w:rFonts w:ascii="Times New Roman" w:eastAsiaTheme="minorHAnsi" w:hAnsi="Times New Roman" w:cs="Times New Roman"/>
      <w:sz w:val="24"/>
      <w:lang w:eastAsia="en-US"/>
    </w:rPr>
  </w:style>
  <w:style w:type="paragraph" w:customStyle="1" w:styleId="ChapterTitle">
    <w:name w:val="ChapterTitle"/>
    <w:basedOn w:val="Normal"/>
    <w:next w:val="Normal"/>
    <w:rsid w:val="00271EF8"/>
    <w:pPr>
      <w:keepNext/>
      <w:spacing w:before="120" w:after="360" w:line="240" w:lineRule="auto"/>
      <w:jc w:val="center"/>
    </w:pPr>
    <w:rPr>
      <w:rFonts w:ascii="Times New Roman" w:eastAsiaTheme="minorHAnsi" w:hAnsi="Times New Roman" w:cs="Times New Roman"/>
      <w:b/>
      <w:sz w:val="32"/>
      <w:lang w:eastAsia="en-US"/>
    </w:rPr>
  </w:style>
  <w:style w:type="paragraph" w:customStyle="1" w:styleId="PartTitle">
    <w:name w:val="PartTitle"/>
    <w:basedOn w:val="Normal"/>
    <w:next w:val="ChapterTitle"/>
    <w:rsid w:val="00271EF8"/>
    <w:pPr>
      <w:keepNext/>
      <w:pageBreakBefore/>
      <w:spacing w:before="120" w:after="360" w:line="240" w:lineRule="auto"/>
      <w:jc w:val="center"/>
    </w:pPr>
    <w:rPr>
      <w:rFonts w:ascii="Times New Roman" w:eastAsiaTheme="minorHAnsi" w:hAnsi="Times New Roman" w:cs="Times New Roman"/>
      <w:b/>
      <w:sz w:val="36"/>
      <w:lang w:eastAsia="en-US"/>
    </w:rPr>
  </w:style>
  <w:style w:type="paragraph" w:customStyle="1" w:styleId="SectionTitle">
    <w:name w:val="SectionTitle"/>
    <w:basedOn w:val="Normal"/>
    <w:next w:val="Heading1"/>
    <w:rsid w:val="00271EF8"/>
    <w:pPr>
      <w:keepNext/>
      <w:spacing w:before="120" w:after="360" w:line="240" w:lineRule="auto"/>
      <w:jc w:val="center"/>
    </w:pPr>
    <w:rPr>
      <w:rFonts w:ascii="Times New Roman" w:eastAsiaTheme="minorHAnsi" w:hAnsi="Times New Roman" w:cs="Times New Roman"/>
      <w:b/>
      <w:smallCaps/>
      <w:sz w:val="28"/>
      <w:lang w:eastAsia="en-US"/>
    </w:rPr>
  </w:style>
  <w:style w:type="paragraph" w:customStyle="1" w:styleId="TableTitle">
    <w:name w:val="Table Title"/>
    <w:basedOn w:val="Normal"/>
    <w:next w:val="Normal"/>
    <w:rsid w:val="00271EF8"/>
    <w:pPr>
      <w:spacing w:before="120" w:after="120" w:line="240" w:lineRule="auto"/>
      <w:jc w:val="center"/>
    </w:pPr>
    <w:rPr>
      <w:rFonts w:ascii="Times New Roman" w:eastAsiaTheme="minorHAnsi" w:hAnsi="Times New Roman" w:cs="Times New Roman"/>
      <w:b/>
      <w:sz w:val="24"/>
      <w:lang w:eastAsia="en-US"/>
    </w:rPr>
  </w:style>
  <w:style w:type="character" w:customStyle="1" w:styleId="Marker">
    <w:name w:val="Marker"/>
    <w:basedOn w:val="DefaultParagraphFont"/>
    <w:rsid w:val="00271EF8"/>
    <w:rPr>
      <w:color w:val="0000FF"/>
      <w:shd w:val="clear" w:color="auto" w:fill="auto"/>
    </w:rPr>
  </w:style>
  <w:style w:type="character" w:customStyle="1" w:styleId="Marker1">
    <w:name w:val="Marker1"/>
    <w:basedOn w:val="DefaultParagraphFont"/>
    <w:rsid w:val="00271EF8"/>
    <w:rPr>
      <w:color w:val="008000"/>
      <w:shd w:val="clear" w:color="auto" w:fill="auto"/>
    </w:rPr>
  </w:style>
  <w:style w:type="character" w:customStyle="1" w:styleId="Marker2">
    <w:name w:val="Marker2"/>
    <w:basedOn w:val="DefaultParagraphFont"/>
    <w:rsid w:val="00271EF8"/>
    <w:rPr>
      <w:color w:val="FF0000"/>
      <w:shd w:val="clear" w:color="auto" w:fill="auto"/>
    </w:rPr>
  </w:style>
  <w:style w:type="paragraph" w:customStyle="1" w:styleId="Point0number">
    <w:name w:val="Point 0 (number)"/>
    <w:basedOn w:val="Normal"/>
    <w:rsid w:val="00271EF8"/>
    <w:pPr>
      <w:numPr>
        <w:numId w:val="24"/>
      </w:numPr>
      <w:tabs>
        <w:tab w:val="clear" w:pos="850"/>
      </w:tabs>
      <w:spacing w:before="120" w:after="120" w:line="240" w:lineRule="auto"/>
      <w:ind w:left="1275" w:hanging="420"/>
      <w:jc w:val="both"/>
    </w:pPr>
    <w:rPr>
      <w:rFonts w:ascii="Times New Roman" w:eastAsiaTheme="minorHAnsi" w:hAnsi="Times New Roman" w:cs="Times New Roman"/>
      <w:sz w:val="24"/>
      <w:lang w:eastAsia="en-US"/>
    </w:rPr>
  </w:style>
  <w:style w:type="paragraph" w:customStyle="1" w:styleId="Point1number">
    <w:name w:val="Point 1 (number)"/>
    <w:basedOn w:val="Normal"/>
    <w:rsid w:val="00271EF8"/>
    <w:pPr>
      <w:numPr>
        <w:ilvl w:val="2"/>
        <w:numId w:val="24"/>
      </w:numPr>
      <w:tabs>
        <w:tab w:val="clear" w:pos="1417"/>
      </w:tabs>
      <w:spacing w:before="120" w:after="120" w:line="240" w:lineRule="auto"/>
      <w:ind w:left="2655" w:hanging="180"/>
      <w:jc w:val="both"/>
    </w:pPr>
    <w:rPr>
      <w:rFonts w:ascii="Times New Roman" w:eastAsiaTheme="minorHAnsi" w:hAnsi="Times New Roman" w:cs="Times New Roman"/>
      <w:sz w:val="24"/>
      <w:lang w:eastAsia="en-US"/>
    </w:rPr>
  </w:style>
  <w:style w:type="paragraph" w:customStyle="1" w:styleId="Point2number">
    <w:name w:val="Point 2 (number)"/>
    <w:basedOn w:val="Normal"/>
    <w:rsid w:val="00271EF8"/>
    <w:pPr>
      <w:numPr>
        <w:ilvl w:val="4"/>
        <w:numId w:val="24"/>
      </w:numPr>
      <w:tabs>
        <w:tab w:val="clear" w:pos="1984"/>
      </w:tabs>
      <w:spacing w:before="120" w:after="120" w:line="240" w:lineRule="auto"/>
      <w:ind w:left="4095" w:hanging="360"/>
      <w:jc w:val="both"/>
    </w:pPr>
    <w:rPr>
      <w:rFonts w:ascii="Times New Roman" w:eastAsiaTheme="minorHAnsi" w:hAnsi="Times New Roman" w:cs="Times New Roman"/>
      <w:sz w:val="24"/>
      <w:lang w:eastAsia="en-US"/>
    </w:rPr>
  </w:style>
  <w:style w:type="paragraph" w:customStyle="1" w:styleId="Point3number">
    <w:name w:val="Point 3 (number)"/>
    <w:basedOn w:val="Normal"/>
    <w:rsid w:val="00271EF8"/>
    <w:pPr>
      <w:numPr>
        <w:ilvl w:val="6"/>
        <w:numId w:val="24"/>
      </w:numPr>
      <w:tabs>
        <w:tab w:val="clear" w:pos="2551"/>
      </w:tabs>
      <w:spacing w:before="120" w:after="120" w:line="240" w:lineRule="auto"/>
      <w:ind w:left="5535" w:hanging="360"/>
      <w:jc w:val="both"/>
    </w:pPr>
    <w:rPr>
      <w:rFonts w:ascii="Times New Roman" w:eastAsiaTheme="minorHAnsi" w:hAnsi="Times New Roman" w:cs="Times New Roman"/>
      <w:sz w:val="24"/>
      <w:lang w:eastAsia="en-US"/>
    </w:rPr>
  </w:style>
  <w:style w:type="paragraph" w:customStyle="1" w:styleId="Point0letter">
    <w:name w:val="Point 0 (letter)"/>
    <w:basedOn w:val="Normal"/>
    <w:rsid w:val="00271EF8"/>
    <w:pPr>
      <w:numPr>
        <w:ilvl w:val="1"/>
        <w:numId w:val="24"/>
      </w:numPr>
      <w:tabs>
        <w:tab w:val="clear" w:pos="850"/>
      </w:tabs>
      <w:spacing w:before="120" w:after="120" w:line="240" w:lineRule="auto"/>
      <w:ind w:left="1935" w:hanging="360"/>
      <w:jc w:val="both"/>
    </w:pPr>
    <w:rPr>
      <w:rFonts w:ascii="Times New Roman" w:eastAsiaTheme="minorHAnsi" w:hAnsi="Times New Roman" w:cs="Times New Roman"/>
      <w:sz w:val="24"/>
      <w:lang w:eastAsia="en-US"/>
    </w:rPr>
  </w:style>
  <w:style w:type="paragraph" w:customStyle="1" w:styleId="Point1letter">
    <w:name w:val="Point 1 (letter)"/>
    <w:basedOn w:val="Normal"/>
    <w:rsid w:val="00271EF8"/>
    <w:pPr>
      <w:numPr>
        <w:ilvl w:val="3"/>
        <w:numId w:val="24"/>
      </w:numPr>
      <w:tabs>
        <w:tab w:val="clear" w:pos="1417"/>
      </w:tabs>
      <w:spacing w:before="120" w:after="120" w:line="240" w:lineRule="auto"/>
      <w:ind w:left="3375" w:hanging="360"/>
      <w:jc w:val="both"/>
    </w:pPr>
    <w:rPr>
      <w:rFonts w:ascii="Times New Roman" w:eastAsiaTheme="minorHAnsi" w:hAnsi="Times New Roman" w:cs="Times New Roman"/>
      <w:sz w:val="24"/>
      <w:lang w:eastAsia="en-US"/>
    </w:rPr>
  </w:style>
  <w:style w:type="paragraph" w:customStyle="1" w:styleId="Point2letter">
    <w:name w:val="Point 2 (letter)"/>
    <w:basedOn w:val="Normal"/>
    <w:rsid w:val="00271EF8"/>
    <w:pPr>
      <w:numPr>
        <w:ilvl w:val="5"/>
        <w:numId w:val="24"/>
      </w:numPr>
      <w:tabs>
        <w:tab w:val="clear" w:pos="1984"/>
      </w:tabs>
      <w:spacing w:before="120" w:after="120" w:line="240" w:lineRule="auto"/>
      <w:ind w:left="4815" w:hanging="180"/>
      <w:jc w:val="both"/>
    </w:pPr>
    <w:rPr>
      <w:rFonts w:ascii="Times New Roman" w:eastAsiaTheme="minorHAnsi" w:hAnsi="Times New Roman" w:cs="Times New Roman"/>
      <w:sz w:val="24"/>
      <w:lang w:eastAsia="en-US"/>
    </w:rPr>
  </w:style>
  <w:style w:type="paragraph" w:customStyle="1" w:styleId="Point3letter">
    <w:name w:val="Point 3 (letter)"/>
    <w:basedOn w:val="Normal"/>
    <w:rsid w:val="00271EF8"/>
    <w:pPr>
      <w:numPr>
        <w:ilvl w:val="7"/>
        <w:numId w:val="24"/>
      </w:numPr>
      <w:tabs>
        <w:tab w:val="clear" w:pos="2551"/>
      </w:tabs>
      <w:spacing w:before="120" w:after="120" w:line="240" w:lineRule="auto"/>
      <w:ind w:left="6255" w:hanging="360"/>
      <w:jc w:val="both"/>
    </w:pPr>
    <w:rPr>
      <w:rFonts w:ascii="Times New Roman" w:eastAsiaTheme="minorHAnsi" w:hAnsi="Times New Roman" w:cs="Times New Roman"/>
      <w:sz w:val="24"/>
      <w:lang w:eastAsia="en-US"/>
    </w:rPr>
  </w:style>
  <w:style w:type="paragraph" w:customStyle="1" w:styleId="Point4letter">
    <w:name w:val="Point 4 (letter)"/>
    <w:basedOn w:val="Normal"/>
    <w:rsid w:val="00271EF8"/>
    <w:pPr>
      <w:numPr>
        <w:ilvl w:val="8"/>
        <w:numId w:val="24"/>
      </w:numPr>
      <w:tabs>
        <w:tab w:val="clear" w:pos="3118"/>
      </w:tabs>
      <w:spacing w:before="120" w:after="120" w:line="240" w:lineRule="auto"/>
      <w:ind w:left="6975" w:hanging="180"/>
      <w:jc w:val="both"/>
    </w:pPr>
    <w:rPr>
      <w:rFonts w:ascii="Times New Roman" w:eastAsiaTheme="minorHAnsi" w:hAnsi="Times New Roman" w:cs="Times New Roman"/>
      <w:sz w:val="24"/>
      <w:lang w:eastAsia="en-US"/>
    </w:rPr>
  </w:style>
  <w:style w:type="paragraph" w:customStyle="1" w:styleId="Bullet0">
    <w:name w:val="Bullet 0"/>
    <w:basedOn w:val="Normal"/>
    <w:rsid w:val="00271EF8"/>
    <w:pPr>
      <w:numPr>
        <w:numId w:val="25"/>
      </w:numPr>
      <w:tabs>
        <w:tab w:val="clear" w:pos="850"/>
      </w:tabs>
      <w:spacing w:before="120" w:after="120" w:line="240" w:lineRule="auto"/>
      <w:ind w:left="1570" w:hanging="360"/>
      <w:jc w:val="both"/>
    </w:pPr>
    <w:rPr>
      <w:rFonts w:ascii="Times New Roman" w:eastAsiaTheme="minorHAnsi" w:hAnsi="Times New Roman" w:cs="Times New Roman"/>
      <w:sz w:val="24"/>
      <w:lang w:eastAsia="en-US"/>
    </w:rPr>
  </w:style>
  <w:style w:type="paragraph" w:customStyle="1" w:styleId="Bullet1">
    <w:name w:val="Bullet 1"/>
    <w:basedOn w:val="Normal"/>
    <w:rsid w:val="00271EF8"/>
    <w:pPr>
      <w:numPr>
        <w:numId w:val="26"/>
      </w:numPr>
      <w:tabs>
        <w:tab w:val="clear" w:pos="1417"/>
      </w:tabs>
      <w:spacing w:before="120" w:after="120" w:line="240" w:lineRule="auto"/>
      <w:ind w:left="1570" w:hanging="360"/>
      <w:jc w:val="both"/>
    </w:pPr>
    <w:rPr>
      <w:rFonts w:ascii="Times New Roman" w:eastAsiaTheme="minorHAnsi" w:hAnsi="Times New Roman" w:cs="Times New Roman"/>
      <w:sz w:val="24"/>
      <w:lang w:eastAsia="en-US"/>
    </w:rPr>
  </w:style>
  <w:style w:type="paragraph" w:customStyle="1" w:styleId="Bullet2">
    <w:name w:val="Bullet 2"/>
    <w:basedOn w:val="Normal"/>
    <w:rsid w:val="00271EF8"/>
    <w:pPr>
      <w:numPr>
        <w:numId w:val="27"/>
      </w:numPr>
      <w:tabs>
        <w:tab w:val="clear" w:pos="1984"/>
      </w:tabs>
      <w:spacing w:before="120" w:after="120" w:line="240" w:lineRule="auto"/>
      <w:ind w:left="720" w:hanging="360"/>
      <w:jc w:val="both"/>
    </w:pPr>
    <w:rPr>
      <w:rFonts w:ascii="Times New Roman" w:eastAsiaTheme="minorHAnsi" w:hAnsi="Times New Roman" w:cs="Times New Roman"/>
      <w:sz w:val="24"/>
      <w:lang w:eastAsia="en-US"/>
    </w:rPr>
  </w:style>
  <w:style w:type="paragraph" w:customStyle="1" w:styleId="Bullet3">
    <w:name w:val="Bullet 3"/>
    <w:basedOn w:val="Normal"/>
    <w:rsid w:val="00271EF8"/>
    <w:pPr>
      <w:numPr>
        <w:numId w:val="28"/>
      </w:numPr>
      <w:tabs>
        <w:tab w:val="clear" w:pos="2551"/>
      </w:tabs>
      <w:spacing w:before="120" w:after="120" w:line="240" w:lineRule="auto"/>
      <w:ind w:left="720" w:hanging="360"/>
      <w:jc w:val="both"/>
    </w:pPr>
    <w:rPr>
      <w:rFonts w:ascii="Times New Roman" w:eastAsiaTheme="minorHAnsi" w:hAnsi="Times New Roman" w:cs="Times New Roman"/>
      <w:sz w:val="24"/>
      <w:lang w:eastAsia="en-US"/>
    </w:rPr>
  </w:style>
  <w:style w:type="paragraph" w:customStyle="1" w:styleId="Bullet4">
    <w:name w:val="Bullet 4"/>
    <w:basedOn w:val="Normal"/>
    <w:rsid w:val="00271EF8"/>
    <w:pPr>
      <w:numPr>
        <w:numId w:val="29"/>
      </w:numPr>
      <w:tabs>
        <w:tab w:val="clear" w:pos="3118"/>
      </w:tabs>
      <w:spacing w:before="120" w:after="120" w:line="240" w:lineRule="auto"/>
      <w:ind w:left="720" w:hanging="360"/>
      <w:jc w:val="both"/>
    </w:pPr>
    <w:rPr>
      <w:rFonts w:ascii="Times New Roman" w:eastAsiaTheme="minorHAnsi" w:hAnsi="Times New Roman" w:cs="Times New Roman"/>
      <w:sz w:val="24"/>
      <w:lang w:eastAsia="en-US"/>
    </w:rPr>
  </w:style>
  <w:style w:type="paragraph" w:customStyle="1" w:styleId="Langue">
    <w:name w:val="Langue"/>
    <w:basedOn w:val="Normal"/>
    <w:next w:val="Rfrenceinterne"/>
    <w:rsid w:val="00271EF8"/>
    <w:pPr>
      <w:framePr w:wrap="around" w:vAnchor="page" w:hAnchor="text" w:xAlign="center" w:y="14741"/>
      <w:spacing w:after="600" w:line="240" w:lineRule="auto"/>
      <w:jc w:val="center"/>
    </w:pPr>
    <w:rPr>
      <w:rFonts w:ascii="Times New Roman" w:eastAsiaTheme="minorHAnsi" w:hAnsi="Times New Roman" w:cs="Times New Roman"/>
      <w:b/>
      <w:caps/>
      <w:sz w:val="24"/>
      <w:lang w:eastAsia="en-US"/>
    </w:rPr>
  </w:style>
  <w:style w:type="paragraph" w:customStyle="1" w:styleId="Nomdelinstitution">
    <w:name w:val="Nom de l'institution"/>
    <w:basedOn w:val="Normal"/>
    <w:next w:val="Emission"/>
    <w:rsid w:val="00271EF8"/>
    <w:pPr>
      <w:spacing w:after="0" w:line="240" w:lineRule="auto"/>
    </w:pPr>
    <w:rPr>
      <w:rFonts w:ascii="Arial" w:eastAsiaTheme="minorHAnsi" w:hAnsi="Arial" w:cs="Arial"/>
      <w:sz w:val="24"/>
      <w:lang w:eastAsia="en-US"/>
    </w:rPr>
  </w:style>
  <w:style w:type="paragraph" w:customStyle="1" w:styleId="Emission">
    <w:name w:val="Emission"/>
    <w:basedOn w:val="Normal"/>
    <w:next w:val="Rfrenceinstitutionnelle"/>
    <w:rsid w:val="00271EF8"/>
    <w:pPr>
      <w:spacing w:after="0" w:line="240" w:lineRule="auto"/>
      <w:ind w:left="5103"/>
    </w:pPr>
    <w:rPr>
      <w:rFonts w:ascii="Times New Roman" w:eastAsiaTheme="minorHAnsi" w:hAnsi="Times New Roman" w:cs="Times New Roman"/>
      <w:sz w:val="24"/>
      <w:lang w:eastAsia="en-US"/>
    </w:rPr>
  </w:style>
  <w:style w:type="paragraph" w:customStyle="1" w:styleId="Rfrenceinstitutionnelle">
    <w:name w:val="Référence institutionnelle"/>
    <w:basedOn w:val="Normal"/>
    <w:next w:val="Confidentialit"/>
    <w:rsid w:val="00271EF8"/>
    <w:pPr>
      <w:spacing w:after="240" w:line="240" w:lineRule="auto"/>
      <w:ind w:left="5103"/>
    </w:pPr>
    <w:rPr>
      <w:rFonts w:ascii="Times New Roman" w:eastAsiaTheme="minorHAnsi" w:hAnsi="Times New Roman" w:cs="Times New Roman"/>
      <w:sz w:val="24"/>
      <w:lang w:eastAsia="en-US"/>
    </w:rPr>
  </w:style>
  <w:style w:type="paragraph" w:customStyle="1" w:styleId="Pagedecouverture">
    <w:name w:val="Page de couverture"/>
    <w:basedOn w:val="Normal"/>
    <w:next w:val="Normal"/>
    <w:rsid w:val="00271EF8"/>
    <w:pPr>
      <w:spacing w:after="0" w:line="240" w:lineRule="auto"/>
      <w:jc w:val="both"/>
    </w:pPr>
    <w:rPr>
      <w:rFonts w:ascii="Times New Roman" w:eastAsiaTheme="minorHAnsi" w:hAnsi="Times New Roman" w:cs="Times New Roman"/>
      <w:sz w:val="24"/>
      <w:lang w:eastAsia="en-US"/>
    </w:rPr>
  </w:style>
  <w:style w:type="paragraph" w:customStyle="1" w:styleId="Declassification">
    <w:name w:val="Declassification"/>
    <w:basedOn w:val="Normal"/>
    <w:next w:val="Normal"/>
    <w:rsid w:val="00271EF8"/>
    <w:pPr>
      <w:spacing w:after="0" w:line="240" w:lineRule="auto"/>
      <w:jc w:val="both"/>
    </w:pPr>
    <w:rPr>
      <w:rFonts w:ascii="Times New Roman" w:eastAsiaTheme="minorHAnsi" w:hAnsi="Times New Roman" w:cs="Times New Roman"/>
      <w:sz w:val="24"/>
      <w:lang w:eastAsia="en-US"/>
    </w:rPr>
  </w:style>
  <w:style w:type="paragraph" w:customStyle="1" w:styleId="Disclaimer">
    <w:name w:val="Disclaimer"/>
    <w:basedOn w:val="Normal"/>
    <w:rsid w:val="00271EF8"/>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eastAsiaTheme="minorHAnsi" w:hAnsi="Times New Roman" w:cs="Times New Roman"/>
      <w:sz w:val="24"/>
      <w:lang w:eastAsia="en-US"/>
    </w:rPr>
  </w:style>
  <w:style w:type="paragraph" w:customStyle="1" w:styleId="SecurityMarking">
    <w:name w:val="SecurityMarking"/>
    <w:basedOn w:val="Normal"/>
    <w:rsid w:val="00271EF8"/>
    <w:pPr>
      <w:spacing w:after="0" w:line="276" w:lineRule="auto"/>
      <w:ind w:left="5103"/>
    </w:pPr>
    <w:rPr>
      <w:rFonts w:ascii="Times New Roman" w:eastAsiaTheme="minorHAnsi" w:hAnsi="Times New Roman" w:cs="Times New Roman"/>
      <w:sz w:val="28"/>
      <w:lang w:eastAsia="en-US"/>
    </w:rPr>
  </w:style>
  <w:style w:type="paragraph" w:customStyle="1" w:styleId="DateMarking">
    <w:name w:val="DateMarking"/>
    <w:basedOn w:val="Normal"/>
    <w:rsid w:val="00271EF8"/>
    <w:pPr>
      <w:spacing w:after="0" w:line="276" w:lineRule="auto"/>
      <w:ind w:left="5103"/>
    </w:pPr>
    <w:rPr>
      <w:rFonts w:ascii="Times New Roman" w:eastAsiaTheme="minorHAnsi" w:hAnsi="Times New Roman" w:cs="Times New Roman"/>
      <w:i/>
      <w:sz w:val="28"/>
      <w:lang w:eastAsia="en-US"/>
    </w:rPr>
  </w:style>
  <w:style w:type="paragraph" w:customStyle="1" w:styleId="ReleasableTo">
    <w:name w:val="ReleasableTo"/>
    <w:basedOn w:val="Normal"/>
    <w:rsid w:val="00271EF8"/>
    <w:pPr>
      <w:spacing w:after="0" w:line="276" w:lineRule="auto"/>
      <w:ind w:left="5103"/>
    </w:pPr>
    <w:rPr>
      <w:rFonts w:ascii="Times New Roman" w:eastAsiaTheme="minorHAnsi" w:hAnsi="Times New Roman" w:cs="Times New Roman"/>
      <w:i/>
      <w:sz w:val="28"/>
      <w:lang w:eastAsia="en-US"/>
    </w:rPr>
  </w:style>
  <w:style w:type="paragraph" w:customStyle="1" w:styleId="Annexetitreexpos">
    <w:name w:val="Annexe titre (exposé)"/>
    <w:basedOn w:val="Normal"/>
    <w:next w:val="Normal"/>
    <w:rsid w:val="00271EF8"/>
    <w:pPr>
      <w:spacing w:before="120" w:after="120" w:line="240" w:lineRule="auto"/>
      <w:jc w:val="center"/>
    </w:pPr>
    <w:rPr>
      <w:rFonts w:ascii="Times New Roman" w:eastAsiaTheme="minorHAnsi" w:hAnsi="Times New Roman" w:cs="Times New Roman"/>
      <w:b/>
      <w:sz w:val="24"/>
      <w:u w:val="single"/>
      <w:lang w:eastAsia="en-US"/>
    </w:rPr>
  </w:style>
  <w:style w:type="paragraph" w:customStyle="1" w:styleId="Annexetitre">
    <w:name w:val="Annexe titre"/>
    <w:basedOn w:val="Normal"/>
    <w:next w:val="Normal"/>
    <w:rsid w:val="00271EF8"/>
    <w:pPr>
      <w:spacing w:before="120" w:after="120" w:line="240" w:lineRule="auto"/>
      <w:jc w:val="center"/>
    </w:pPr>
    <w:rPr>
      <w:rFonts w:ascii="Times New Roman" w:eastAsiaTheme="minorHAnsi" w:hAnsi="Times New Roman" w:cs="Times New Roman"/>
      <w:b/>
      <w:sz w:val="24"/>
      <w:u w:val="single"/>
      <w:lang w:eastAsia="en-US"/>
    </w:rPr>
  </w:style>
  <w:style w:type="paragraph" w:customStyle="1" w:styleId="Annexetitrefichefinancire">
    <w:name w:val="Annexe titre (fiche financière)"/>
    <w:basedOn w:val="Normal"/>
    <w:next w:val="Normal"/>
    <w:rsid w:val="00271EF8"/>
    <w:pPr>
      <w:spacing w:before="120" w:after="120" w:line="240" w:lineRule="auto"/>
      <w:jc w:val="center"/>
    </w:pPr>
    <w:rPr>
      <w:rFonts w:ascii="Times New Roman" w:eastAsiaTheme="minorHAnsi" w:hAnsi="Times New Roman" w:cs="Times New Roman"/>
      <w:b/>
      <w:sz w:val="24"/>
      <w:u w:val="single"/>
      <w:lang w:eastAsia="en-US"/>
    </w:rPr>
  </w:style>
  <w:style w:type="paragraph" w:customStyle="1" w:styleId="Applicationdirecte">
    <w:name w:val="Application directe"/>
    <w:basedOn w:val="Normal"/>
    <w:next w:val="Fait"/>
    <w:rsid w:val="00271EF8"/>
    <w:pPr>
      <w:spacing w:before="480" w:after="120" w:line="240" w:lineRule="auto"/>
      <w:jc w:val="both"/>
    </w:pPr>
    <w:rPr>
      <w:rFonts w:ascii="Times New Roman" w:eastAsiaTheme="minorHAnsi" w:hAnsi="Times New Roman" w:cs="Times New Roman"/>
      <w:sz w:val="24"/>
      <w:lang w:eastAsia="en-US"/>
    </w:rPr>
  </w:style>
  <w:style w:type="paragraph" w:customStyle="1" w:styleId="Avertissementtitre">
    <w:name w:val="Avertissement titre"/>
    <w:basedOn w:val="Normal"/>
    <w:next w:val="Normal"/>
    <w:rsid w:val="00271EF8"/>
    <w:pPr>
      <w:keepNext/>
      <w:spacing w:before="480" w:after="120" w:line="240" w:lineRule="auto"/>
      <w:jc w:val="both"/>
    </w:pPr>
    <w:rPr>
      <w:rFonts w:ascii="Times New Roman" w:eastAsiaTheme="minorHAnsi" w:hAnsi="Times New Roman" w:cs="Times New Roman"/>
      <w:sz w:val="24"/>
      <w:u w:val="single"/>
      <w:lang w:eastAsia="en-US"/>
    </w:rPr>
  </w:style>
  <w:style w:type="paragraph" w:customStyle="1" w:styleId="Confidence">
    <w:name w:val="Confidence"/>
    <w:basedOn w:val="Normal"/>
    <w:next w:val="Normal"/>
    <w:rsid w:val="00271EF8"/>
    <w:pPr>
      <w:spacing w:before="360" w:after="120" w:line="240" w:lineRule="auto"/>
      <w:jc w:val="center"/>
    </w:pPr>
    <w:rPr>
      <w:rFonts w:ascii="Times New Roman" w:eastAsiaTheme="minorHAnsi" w:hAnsi="Times New Roman" w:cs="Times New Roman"/>
      <w:sz w:val="24"/>
      <w:lang w:eastAsia="en-US"/>
    </w:rPr>
  </w:style>
  <w:style w:type="paragraph" w:customStyle="1" w:styleId="Confidentialit">
    <w:name w:val="Confidentialité"/>
    <w:basedOn w:val="Normal"/>
    <w:next w:val="TypedudocumentPagedecouverture"/>
    <w:rsid w:val="00271EF8"/>
    <w:pPr>
      <w:spacing w:before="240" w:after="240" w:line="240" w:lineRule="auto"/>
      <w:ind w:left="5103"/>
    </w:pPr>
    <w:rPr>
      <w:rFonts w:ascii="Times New Roman" w:eastAsiaTheme="minorHAnsi" w:hAnsi="Times New Roman" w:cs="Times New Roman"/>
      <w:i/>
      <w:sz w:val="32"/>
      <w:lang w:eastAsia="en-US"/>
    </w:rPr>
  </w:style>
  <w:style w:type="paragraph" w:customStyle="1" w:styleId="Considrant">
    <w:name w:val="Considérant"/>
    <w:basedOn w:val="Normal"/>
    <w:rsid w:val="00271EF8"/>
    <w:pPr>
      <w:numPr>
        <w:numId w:val="30"/>
      </w:numPr>
      <w:tabs>
        <w:tab w:val="clear" w:pos="709"/>
      </w:tabs>
      <w:spacing w:before="120" w:after="120" w:line="240" w:lineRule="auto"/>
      <w:ind w:left="720" w:hanging="360"/>
      <w:jc w:val="both"/>
    </w:pPr>
    <w:rPr>
      <w:rFonts w:ascii="Times New Roman" w:eastAsiaTheme="minorHAnsi" w:hAnsi="Times New Roman" w:cs="Times New Roman"/>
      <w:sz w:val="24"/>
      <w:lang w:eastAsia="en-US"/>
    </w:rPr>
  </w:style>
  <w:style w:type="paragraph" w:customStyle="1" w:styleId="Corrigendum">
    <w:name w:val="Corrigendum"/>
    <w:basedOn w:val="Normal"/>
    <w:next w:val="Normal"/>
    <w:rsid w:val="00271EF8"/>
    <w:pPr>
      <w:spacing w:after="240" w:line="240" w:lineRule="auto"/>
    </w:pPr>
    <w:rPr>
      <w:rFonts w:ascii="Times New Roman" w:eastAsiaTheme="minorHAnsi" w:hAnsi="Times New Roman" w:cs="Times New Roman"/>
      <w:sz w:val="24"/>
      <w:lang w:eastAsia="en-US"/>
    </w:rPr>
  </w:style>
  <w:style w:type="paragraph" w:customStyle="1" w:styleId="Datedadoption">
    <w:name w:val="Date d'adoption"/>
    <w:basedOn w:val="Normal"/>
    <w:next w:val="IntrtEEE"/>
    <w:rsid w:val="00271EF8"/>
    <w:pPr>
      <w:spacing w:before="360" w:after="0" w:line="240" w:lineRule="auto"/>
      <w:jc w:val="center"/>
    </w:pPr>
    <w:rPr>
      <w:rFonts w:ascii="Times New Roman" w:eastAsiaTheme="minorHAnsi" w:hAnsi="Times New Roman" w:cs="Times New Roman"/>
      <w:b/>
      <w:sz w:val="24"/>
      <w:lang w:eastAsia="en-US"/>
    </w:rPr>
  </w:style>
  <w:style w:type="paragraph" w:customStyle="1" w:styleId="Exposdesmotifstitre">
    <w:name w:val="Exposé des motifs titre"/>
    <w:basedOn w:val="Normal"/>
    <w:next w:val="Normal"/>
    <w:rsid w:val="00271EF8"/>
    <w:pPr>
      <w:spacing w:before="120" w:after="120" w:line="240" w:lineRule="auto"/>
      <w:jc w:val="center"/>
    </w:pPr>
    <w:rPr>
      <w:rFonts w:ascii="Times New Roman" w:eastAsiaTheme="minorHAnsi" w:hAnsi="Times New Roman" w:cs="Times New Roman"/>
      <w:b/>
      <w:sz w:val="24"/>
      <w:u w:val="single"/>
      <w:lang w:eastAsia="en-US"/>
    </w:rPr>
  </w:style>
  <w:style w:type="paragraph" w:customStyle="1" w:styleId="Fait">
    <w:name w:val="Fait à"/>
    <w:basedOn w:val="Normal"/>
    <w:next w:val="Institutionquisigne"/>
    <w:rsid w:val="00271EF8"/>
    <w:pPr>
      <w:keepNext/>
      <w:spacing w:before="120" w:after="0" w:line="240" w:lineRule="auto"/>
      <w:jc w:val="both"/>
    </w:pPr>
    <w:rPr>
      <w:rFonts w:ascii="Times New Roman" w:eastAsiaTheme="minorHAnsi" w:hAnsi="Times New Roman" w:cs="Times New Roman"/>
      <w:sz w:val="24"/>
      <w:lang w:eastAsia="en-US"/>
    </w:rPr>
  </w:style>
  <w:style w:type="paragraph" w:customStyle="1" w:styleId="Formuledadoption">
    <w:name w:val="Formule d'adoption"/>
    <w:basedOn w:val="Normal"/>
    <w:next w:val="Titrearticle"/>
    <w:rsid w:val="00271EF8"/>
    <w:pPr>
      <w:keepNext/>
      <w:spacing w:before="120" w:after="120" w:line="240" w:lineRule="auto"/>
      <w:jc w:val="both"/>
    </w:pPr>
    <w:rPr>
      <w:rFonts w:ascii="Times New Roman" w:eastAsiaTheme="minorHAnsi" w:hAnsi="Times New Roman" w:cs="Times New Roman"/>
      <w:sz w:val="24"/>
      <w:lang w:eastAsia="en-US"/>
    </w:rPr>
  </w:style>
  <w:style w:type="paragraph" w:customStyle="1" w:styleId="Institutionquiagit">
    <w:name w:val="Institution qui agit"/>
    <w:basedOn w:val="Normal"/>
    <w:next w:val="Normal"/>
    <w:rsid w:val="00271EF8"/>
    <w:pPr>
      <w:keepNext/>
      <w:spacing w:before="600" w:after="120" w:line="240" w:lineRule="auto"/>
      <w:jc w:val="both"/>
    </w:pPr>
    <w:rPr>
      <w:rFonts w:ascii="Times New Roman" w:eastAsiaTheme="minorHAnsi" w:hAnsi="Times New Roman" w:cs="Times New Roman"/>
      <w:sz w:val="24"/>
      <w:lang w:eastAsia="en-US"/>
    </w:rPr>
  </w:style>
  <w:style w:type="paragraph" w:customStyle="1" w:styleId="Institutionquisigne">
    <w:name w:val="Institution qui signe"/>
    <w:basedOn w:val="Normal"/>
    <w:next w:val="Personnequisigne"/>
    <w:rsid w:val="00271EF8"/>
    <w:pPr>
      <w:keepNext/>
      <w:tabs>
        <w:tab w:val="left" w:pos="4252"/>
      </w:tabs>
      <w:spacing w:before="720" w:after="0" w:line="240" w:lineRule="auto"/>
      <w:jc w:val="both"/>
    </w:pPr>
    <w:rPr>
      <w:rFonts w:ascii="Times New Roman" w:eastAsiaTheme="minorHAnsi" w:hAnsi="Times New Roman" w:cs="Times New Roman"/>
      <w:i/>
      <w:sz w:val="24"/>
      <w:lang w:eastAsia="en-US"/>
    </w:rPr>
  </w:style>
  <w:style w:type="paragraph" w:customStyle="1" w:styleId="ManualConsidrant">
    <w:name w:val="Manual Considérant"/>
    <w:basedOn w:val="Normal"/>
    <w:rsid w:val="00271EF8"/>
    <w:pPr>
      <w:spacing w:before="120" w:after="120" w:line="240" w:lineRule="auto"/>
      <w:ind w:left="709" w:hanging="709"/>
      <w:jc w:val="both"/>
    </w:pPr>
    <w:rPr>
      <w:rFonts w:ascii="Times New Roman" w:eastAsiaTheme="minorHAnsi" w:hAnsi="Times New Roman" w:cs="Times New Roman"/>
      <w:sz w:val="24"/>
      <w:lang w:eastAsia="en-US"/>
    </w:rPr>
  </w:style>
  <w:style w:type="paragraph" w:customStyle="1" w:styleId="Personnequisigne">
    <w:name w:val="Personne qui signe"/>
    <w:basedOn w:val="Normal"/>
    <w:next w:val="Institutionquisigne"/>
    <w:rsid w:val="00271EF8"/>
    <w:pPr>
      <w:tabs>
        <w:tab w:val="left" w:pos="4252"/>
      </w:tabs>
      <w:spacing w:after="0" w:line="240" w:lineRule="auto"/>
    </w:pPr>
    <w:rPr>
      <w:rFonts w:ascii="Times New Roman" w:eastAsiaTheme="minorHAnsi" w:hAnsi="Times New Roman" w:cs="Times New Roman"/>
      <w:i/>
      <w:sz w:val="24"/>
      <w:lang w:eastAsia="en-US"/>
    </w:rPr>
  </w:style>
  <w:style w:type="paragraph" w:customStyle="1" w:styleId="Rfrenceinterinstitutionnelle">
    <w:name w:val="Référence interinstitutionnelle"/>
    <w:basedOn w:val="Normal"/>
    <w:next w:val="Statut"/>
    <w:rsid w:val="00271EF8"/>
    <w:pPr>
      <w:spacing w:after="0" w:line="240" w:lineRule="auto"/>
      <w:ind w:left="5103"/>
    </w:pPr>
    <w:rPr>
      <w:rFonts w:ascii="Times New Roman" w:eastAsiaTheme="minorHAnsi" w:hAnsi="Times New Roman" w:cs="Times New Roman"/>
      <w:sz w:val="24"/>
      <w:lang w:eastAsia="en-US"/>
    </w:rPr>
  </w:style>
  <w:style w:type="paragraph" w:customStyle="1" w:styleId="Rfrenceinterne">
    <w:name w:val="Référence interne"/>
    <w:basedOn w:val="Normal"/>
    <w:next w:val="Rfrenceinterinstitutionnelle"/>
    <w:rsid w:val="00271EF8"/>
    <w:pPr>
      <w:spacing w:after="0" w:line="240" w:lineRule="auto"/>
      <w:ind w:left="5103"/>
    </w:pPr>
    <w:rPr>
      <w:rFonts w:ascii="Times New Roman" w:eastAsiaTheme="minorHAnsi" w:hAnsi="Times New Roman" w:cs="Times New Roman"/>
      <w:sz w:val="24"/>
      <w:lang w:eastAsia="en-US"/>
    </w:rPr>
  </w:style>
  <w:style w:type="paragraph" w:customStyle="1" w:styleId="Statut">
    <w:name w:val="Statut"/>
    <w:basedOn w:val="Normal"/>
    <w:next w:val="Typedudocument"/>
    <w:rsid w:val="00271EF8"/>
    <w:pPr>
      <w:spacing w:after="240" w:line="240" w:lineRule="auto"/>
      <w:jc w:val="center"/>
    </w:pPr>
    <w:rPr>
      <w:rFonts w:ascii="Times New Roman" w:eastAsiaTheme="minorHAnsi" w:hAnsi="Times New Roman" w:cs="Times New Roman"/>
      <w:sz w:val="24"/>
      <w:lang w:eastAsia="en-US"/>
    </w:rPr>
  </w:style>
  <w:style w:type="paragraph" w:customStyle="1" w:styleId="Titrearticle">
    <w:name w:val="Titre article"/>
    <w:basedOn w:val="Normal"/>
    <w:next w:val="Normal"/>
    <w:rsid w:val="00271EF8"/>
    <w:pPr>
      <w:keepNext/>
      <w:spacing w:before="360" w:after="120" w:line="240" w:lineRule="auto"/>
      <w:jc w:val="center"/>
    </w:pPr>
    <w:rPr>
      <w:rFonts w:ascii="Times New Roman" w:eastAsiaTheme="minorHAnsi" w:hAnsi="Times New Roman" w:cs="Times New Roman"/>
      <w:i/>
      <w:sz w:val="24"/>
      <w:lang w:eastAsia="en-US"/>
    </w:rPr>
  </w:style>
  <w:style w:type="paragraph" w:customStyle="1" w:styleId="Typedudocument">
    <w:name w:val="Type du document"/>
    <w:basedOn w:val="Normal"/>
    <w:next w:val="Accompagnant"/>
    <w:rsid w:val="00271EF8"/>
    <w:pPr>
      <w:spacing w:before="360" w:after="180" w:line="240" w:lineRule="auto"/>
      <w:jc w:val="center"/>
    </w:pPr>
    <w:rPr>
      <w:rFonts w:ascii="Times New Roman" w:eastAsiaTheme="minorHAnsi" w:hAnsi="Times New Roman" w:cs="Times New Roman"/>
      <w:b/>
      <w:sz w:val="24"/>
      <w:lang w:eastAsia="en-US"/>
    </w:rPr>
  </w:style>
  <w:style w:type="character" w:customStyle="1" w:styleId="Added">
    <w:name w:val="Added"/>
    <w:basedOn w:val="DefaultParagraphFont"/>
    <w:rsid w:val="00271EF8"/>
    <w:rPr>
      <w:b/>
      <w:u w:val="single"/>
      <w:shd w:val="clear" w:color="auto" w:fill="auto"/>
    </w:rPr>
  </w:style>
  <w:style w:type="character" w:customStyle="1" w:styleId="Deleted">
    <w:name w:val="Deleted"/>
    <w:basedOn w:val="DefaultParagraphFont"/>
    <w:rsid w:val="00271EF8"/>
    <w:rPr>
      <w:strike/>
      <w:dstrike w:val="0"/>
      <w:shd w:val="clear" w:color="auto" w:fill="auto"/>
    </w:rPr>
  </w:style>
  <w:style w:type="paragraph" w:customStyle="1" w:styleId="Address">
    <w:name w:val="Address"/>
    <w:basedOn w:val="Normal"/>
    <w:next w:val="Normal"/>
    <w:rsid w:val="00271EF8"/>
    <w:pPr>
      <w:keepLines/>
      <w:spacing w:before="120" w:after="120" w:line="360" w:lineRule="auto"/>
      <w:ind w:left="3402"/>
    </w:pPr>
    <w:rPr>
      <w:rFonts w:ascii="Times New Roman" w:eastAsiaTheme="minorHAnsi" w:hAnsi="Times New Roman" w:cs="Times New Roman"/>
      <w:sz w:val="24"/>
      <w:lang w:eastAsia="en-US"/>
    </w:rPr>
  </w:style>
  <w:style w:type="paragraph" w:customStyle="1" w:styleId="Objetexterne">
    <w:name w:val="Objet externe"/>
    <w:basedOn w:val="Normal"/>
    <w:next w:val="Normal"/>
    <w:rsid w:val="00271EF8"/>
    <w:pPr>
      <w:spacing w:before="120" w:after="120" w:line="240" w:lineRule="auto"/>
      <w:jc w:val="both"/>
    </w:pPr>
    <w:rPr>
      <w:rFonts w:ascii="Times New Roman" w:eastAsiaTheme="minorHAnsi" w:hAnsi="Times New Roman" w:cs="Times New Roman"/>
      <w:i/>
      <w:caps/>
      <w:sz w:val="24"/>
      <w:lang w:eastAsia="en-US"/>
    </w:rPr>
  </w:style>
  <w:style w:type="paragraph" w:customStyle="1" w:styleId="Supertitre">
    <w:name w:val="Supertitre"/>
    <w:basedOn w:val="Normal"/>
    <w:next w:val="Normal"/>
    <w:rsid w:val="00271EF8"/>
    <w:pPr>
      <w:spacing w:after="600" w:line="240" w:lineRule="auto"/>
      <w:jc w:val="center"/>
    </w:pPr>
    <w:rPr>
      <w:rFonts w:ascii="Times New Roman" w:eastAsiaTheme="minorHAnsi" w:hAnsi="Times New Roman" w:cs="Times New Roman"/>
      <w:b/>
      <w:sz w:val="24"/>
      <w:lang w:eastAsia="en-US"/>
    </w:rPr>
  </w:style>
  <w:style w:type="paragraph" w:customStyle="1" w:styleId="Languesfaisantfoi">
    <w:name w:val="Langues faisant foi"/>
    <w:basedOn w:val="Normal"/>
    <w:next w:val="Normal"/>
    <w:rsid w:val="00271EF8"/>
    <w:pPr>
      <w:spacing w:before="360" w:after="0" w:line="240" w:lineRule="auto"/>
      <w:jc w:val="center"/>
    </w:pPr>
    <w:rPr>
      <w:rFonts w:ascii="Times New Roman" w:eastAsiaTheme="minorHAnsi" w:hAnsi="Times New Roman" w:cs="Times New Roman"/>
      <w:sz w:val="24"/>
      <w:lang w:eastAsia="en-US"/>
    </w:rPr>
  </w:style>
  <w:style w:type="paragraph" w:customStyle="1" w:styleId="Rfrencecroise">
    <w:name w:val="Référence croisée"/>
    <w:basedOn w:val="Normal"/>
    <w:rsid w:val="00271EF8"/>
    <w:pPr>
      <w:spacing w:after="0" w:line="240" w:lineRule="auto"/>
      <w:jc w:val="center"/>
    </w:pPr>
    <w:rPr>
      <w:rFonts w:ascii="Times New Roman" w:eastAsiaTheme="minorHAnsi" w:hAnsi="Times New Roman" w:cs="Times New Roman"/>
      <w:sz w:val="24"/>
      <w:lang w:eastAsia="en-US"/>
    </w:rPr>
  </w:style>
  <w:style w:type="paragraph" w:customStyle="1" w:styleId="Fichefinanciretitre">
    <w:name w:val="Fiche financière titre"/>
    <w:basedOn w:val="Normal"/>
    <w:next w:val="Normal"/>
    <w:rsid w:val="00271EF8"/>
    <w:pPr>
      <w:spacing w:before="120" w:after="120" w:line="240" w:lineRule="auto"/>
      <w:jc w:val="center"/>
    </w:pPr>
    <w:rPr>
      <w:rFonts w:ascii="Times New Roman" w:eastAsiaTheme="minorHAnsi" w:hAnsi="Times New Roman" w:cs="Times New Roman"/>
      <w:b/>
      <w:sz w:val="24"/>
      <w:u w:val="single"/>
      <w:lang w:eastAsia="en-US"/>
    </w:rPr>
  </w:style>
  <w:style w:type="paragraph" w:customStyle="1" w:styleId="DatedadoptionPagedecouverture">
    <w:name w:val="Date d'adoption (Page de couverture)"/>
    <w:basedOn w:val="Datedadoption"/>
    <w:next w:val="IntrtEEEPagedecouverture"/>
    <w:rsid w:val="00271EF8"/>
  </w:style>
  <w:style w:type="paragraph" w:customStyle="1" w:styleId="RfrenceinterinstitutionnellePagedecouverture">
    <w:name w:val="Référence interinstitutionnelle (Page de couverture)"/>
    <w:basedOn w:val="Rfrenceinterinstitutionnelle"/>
    <w:next w:val="Confidentialit"/>
    <w:rsid w:val="00271EF8"/>
  </w:style>
  <w:style w:type="paragraph" w:customStyle="1" w:styleId="StatutPagedecouverture">
    <w:name w:val="Statut (Page de couverture)"/>
    <w:basedOn w:val="Statut"/>
    <w:next w:val="TypedudocumentPagedecouverture"/>
    <w:rsid w:val="00271EF8"/>
  </w:style>
  <w:style w:type="paragraph" w:customStyle="1" w:styleId="TypedudocumentPagedecouverture">
    <w:name w:val="Type du document (Page de couverture)"/>
    <w:basedOn w:val="Typedudocument"/>
    <w:next w:val="AccompagnantPagedecouverture"/>
    <w:rsid w:val="00271EF8"/>
  </w:style>
  <w:style w:type="paragraph" w:customStyle="1" w:styleId="Volume">
    <w:name w:val="Volume"/>
    <w:basedOn w:val="Normal"/>
    <w:next w:val="Confidentialit"/>
    <w:rsid w:val="00271EF8"/>
    <w:pPr>
      <w:spacing w:after="240" w:line="240" w:lineRule="auto"/>
      <w:ind w:left="5103"/>
    </w:pPr>
    <w:rPr>
      <w:rFonts w:ascii="Times New Roman" w:eastAsiaTheme="minorHAnsi" w:hAnsi="Times New Roman" w:cs="Times New Roman"/>
      <w:sz w:val="24"/>
      <w:lang w:eastAsia="en-US"/>
    </w:rPr>
  </w:style>
  <w:style w:type="paragraph" w:customStyle="1" w:styleId="IntrtEEE">
    <w:name w:val="Intérêt EEE"/>
    <w:basedOn w:val="Languesfaisantfoi"/>
    <w:next w:val="Normal"/>
    <w:rsid w:val="00271EF8"/>
    <w:pPr>
      <w:spacing w:after="240"/>
    </w:pPr>
  </w:style>
  <w:style w:type="paragraph" w:customStyle="1" w:styleId="Accompagnant">
    <w:name w:val="Accompagnant"/>
    <w:basedOn w:val="Normal"/>
    <w:next w:val="Typeacteprincipal"/>
    <w:rsid w:val="00271EF8"/>
    <w:pPr>
      <w:spacing w:before="180" w:after="240" w:line="240" w:lineRule="auto"/>
      <w:jc w:val="center"/>
    </w:pPr>
    <w:rPr>
      <w:rFonts w:ascii="Times New Roman" w:eastAsiaTheme="minorHAnsi" w:hAnsi="Times New Roman" w:cs="Times New Roman"/>
      <w:b/>
      <w:sz w:val="24"/>
      <w:lang w:eastAsia="en-US"/>
    </w:rPr>
  </w:style>
  <w:style w:type="paragraph" w:customStyle="1" w:styleId="Typeacteprincipal">
    <w:name w:val="Type acte principal"/>
    <w:basedOn w:val="Normal"/>
    <w:next w:val="Objetacteprincipal"/>
    <w:rsid w:val="00271EF8"/>
    <w:pPr>
      <w:spacing w:after="240" w:line="240" w:lineRule="auto"/>
      <w:jc w:val="center"/>
    </w:pPr>
    <w:rPr>
      <w:rFonts w:ascii="Times New Roman" w:eastAsiaTheme="minorHAnsi" w:hAnsi="Times New Roman" w:cs="Times New Roman"/>
      <w:b/>
      <w:sz w:val="24"/>
      <w:lang w:eastAsia="en-US"/>
    </w:rPr>
  </w:style>
  <w:style w:type="paragraph" w:customStyle="1" w:styleId="Objetacteprincipal">
    <w:name w:val="Objet acte principal"/>
    <w:basedOn w:val="Normal"/>
    <w:next w:val="Titrearticle"/>
    <w:rsid w:val="00271EF8"/>
    <w:pPr>
      <w:spacing w:after="360" w:line="240" w:lineRule="auto"/>
      <w:jc w:val="center"/>
    </w:pPr>
    <w:rPr>
      <w:rFonts w:ascii="Times New Roman" w:eastAsiaTheme="minorHAnsi" w:hAnsi="Times New Roman" w:cs="Times New Roman"/>
      <w:b/>
      <w:sz w:val="24"/>
      <w:lang w:eastAsia="en-US"/>
    </w:rPr>
  </w:style>
  <w:style w:type="paragraph" w:customStyle="1" w:styleId="IntrtEEEPagedecouverture">
    <w:name w:val="Intérêt EEE (Page de couverture)"/>
    <w:basedOn w:val="IntrtEEE"/>
    <w:next w:val="Rfrencecroise"/>
    <w:rsid w:val="00271EF8"/>
  </w:style>
  <w:style w:type="paragraph" w:customStyle="1" w:styleId="AccompagnantPagedecouverture">
    <w:name w:val="Accompagnant (Page de couverture)"/>
    <w:basedOn w:val="Accompagnant"/>
    <w:next w:val="TypeacteprincipalPagedecouverture"/>
    <w:rsid w:val="00271EF8"/>
  </w:style>
  <w:style w:type="paragraph" w:customStyle="1" w:styleId="TypeacteprincipalPagedecouverture">
    <w:name w:val="Type acte principal (Page de couverture)"/>
    <w:basedOn w:val="Typeacteprincipal"/>
    <w:next w:val="ObjetacteprincipalPagedecouverture"/>
    <w:rsid w:val="00271EF8"/>
  </w:style>
  <w:style w:type="paragraph" w:customStyle="1" w:styleId="ObjetacteprincipalPagedecouverture">
    <w:name w:val="Objet acte principal (Page de couverture)"/>
    <w:basedOn w:val="Objetacteprincipal"/>
    <w:next w:val="Rfrencecroise"/>
    <w:rsid w:val="00271EF8"/>
  </w:style>
  <w:style w:type="paragraph" w:customStyle="1" w:styleId="LanguesfaisantfoiPagedecouverture">
    <w:name w:val="Langues faisant foi (Page de couverture)"/>
    <w:basedOn w:val="Normal"/>
    <w:next w:val="Normal"/>
    <w:rsid w:val="00271EF8"/>
    <w:pPr>
      <w:spacing w:before="360" w:after="0" w:line="240" w:lineRule="auto"/>
      <w:jc w:val="center"/>
    </w:pPr>
    <w:rPr>
      <w:rFonts w:ascii="Times New Roman" w:eastAsiaTheme="minorHAnsi" w:hAnsi="Times New Roman" w:cs="Times New Roman"/>
      <w:sz w:val="24"/>
      <w:lang w:eastAsia="en-US"/>
    </w:rPr>
  </w:style>
  <w:style w:type="character" w:styleId="FollowedHyperlink">
    <w:name w:val="FollowedHyperlink"/>
    <w:basedOn w:val="DefaultParagraphFont"/>
    <w:uiPriority w:val="99"/>
    <w:semiHidden/>
    <w:unhideWhenUsed/>
    <w:rsid w:val="00271EF8"/>
    <w:rPr>
      <w:color w:val="954F72"/>
      <w:u w:val="single"/>
    </w:rPr>
  </w:style>
  <w:style w:type="paragraph" w:customStyle="1" w:styleId="msonormal0">
    <w:name w:val="msonormal"/>
    <w:basedOn w:val="Normal"/>
    <w:rsid w:val="00271E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271EF8"/>
    <w:pPr>
      <w:spacing w:before="100" w:beforeAutospacing="1" w:after="100" w:afterAutospacing="1" w:line="240" w:lineRule="auto"/>
    </w:pPr>
    <w:rPr>
      <w:rFonts w:ascii="Calibri" w:eastAsia="Times New Roman" w:hAnsi="Calibri" w:cs="Calibri"/>
      <w:color w:val="006100"/>
      <w:lang w:eastAsia="en-GB"/>
    </w:rPr>
  </w:style>
  <w:style w:type="paragraph" w:customStyle="1" w:styleId="font6">
    <w:name w:val="font6"/>
    <w:basedOn w:val="Normal"/>
    <w:rsid w:val="00271EF8"/>
    <w:pPr>
      <w:spacing w:before="100" w:beforeAutospacing="1" w:after="100" w:afterAutospacing="1" w:line="240" w:lineRule="auto"/>
    </w:pPr>
    <w:rPr>
      <w:rFonts w:ascii="Calibri" w:eastAsia="Times New Roman" w:hAnsi="Calibri" w:cs="Calibri"/>
      <w:b/>
      <w:bCs/>
      <w:color w:val="006100"/>
      <w:lang w:eastAsia="en-GB"/>
    </w:rPr>
  </w:style>
  <w:style w:type="paragraph" w:customStyle="1" w:styleId="font7">
    <w:name w:val="font7"/>
    <w:basedOn w:val="Normal"/>
    <w:rsid w:val="00271EF8"/>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8">
    <w:name w:val="font8"/>
    <w:basedOn w:val="Normal"/>
    <w:rsid w:val="00271EF8"/>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xl68">
    <w:name w:val="xl68"/>
    <w:basedOn w:val="Normal"/>
    <w:rsid w:val="00271E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0">
    <w:name w:val="xl70"/>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71">
    <w:name w:val="xl71"/>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72">
    <w:name w:val="xl72"/>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73">
    <w:name w:val="xl73"/>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74">
    <w:name w:val="xl74"/>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75">
    <w:name w:val="xl75"/>
    <w:basedOn w:val="Normal"/>
    <w:rsid w:val="00271EF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76">
    <w:name w:val="xl76"/>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77">
    <w:name w:val="xl77"/>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3A3838"/>
      <w:sz w:val="24"/>
      <w:szCs w:val="24"/>
      <w:lang w:eastAsia="en-GB"/>
    </w:rPr>
  </w:style>
  <w:style w:type="paragraph" w:customStyle="1" w:styleId="xl78">
    <w:name w:val="xl78"/>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79">
    <w:name w:val="xl79"/>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80">
    <w:name w:val="xl80"/>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3A3838"/>
      <w:sz w:val="24"/>
      <w:szCs w:val="24"/>
      <w:lang w:eastAsia="en-GB"/>
    </w:rPr>
  </w:style>
  <w:style w:type="paragraph" w:customStyle="1" w:styleId="xl81">
    <w:name w:val="xl81"/>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82">
    <w:name w:val="xl82"/>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83">
    <w:name w:val="xl83"/>
    <w:basedOn w:val="Normal"/>
    <w:rsid w:val="00271EF8"/>
    <w:pPr>
      <w:pBdr>
        <w:top w:val="single" w:sz="8"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84">
    <w:name w:val="xl84"/>
    <w:basedOn w:val="Normal"/>
    <w:rsid w:val="00271EF8"/>
    <w:pPr>
      <w:pBdr>
        <w:top w:val="single" w:sz="8"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85">
    <w:name w:val="xl85"/>
    <w:basedOn w:val="Normal"/>
    <w:rsid w:val="00271EF8"/>
    <w:pPr>
      <w:pBdr>
        <w:top w:val="single" w:sz="4" w:space="0" w:color="auto"/>
        <w:left w:val="single" w:sz="4" w:space="0" w:color="auto"/>
        <w:bottom w:val="single" w:sz="8"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86">
    <w:name w:val="xl86"/>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87">
    <w:name w:val="xl87"/>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88">
    <w:name w:val="xl88"/>
    <w:basedOn w:val="Normal"/>
    <w:rsid w:val="00271EF8"/>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9">
    <w:name w:val="xl89"/>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90">
    <w:name w:val="xl90"/>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91">
    <w:name w:val="xl91"/>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3A3838"/>
      <w:sz w:val="24"/>
      <w:szCs w:val="24"/>
      <w:lang w:eastAsia="en-GB"/>
    </w:rPr>
  </w:style>
  <w:style w:type="paragraph" w:customStyle="1" w:styleId="xl92">
    <w:name w:val="xl92"/>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3A3838"/>
      <w:sz w:val="24"/>
      <w:szCs w:val="24"/>
      <w:lang w:eastAsia="en-GB"/>
    </w:rPr>
  </w:style>
  <w:style w:type="paragraph" w:customStyle="1" w:styleId="xl93">
    <w:name w:val="xl93"/>
    <w:basedOn w:val="Normal"/>
    <w:rsid w:val="00271EF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GB"/>
    </w:rPr>
  </w:style>
  <w:style w:type="paragraph" w:customStyle="1" w:styleId="xl94">
    <w:name w:val="xl94"/>
    <w:basedOn w:val="Normal"/>
    <w:rsid w:val="00271EF8"/>
    <w:pPr>
      <w:pBdr>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top"/>
    </w:pPr>
    <w:rPr>
      <w:rFonts w:ascii="Times New Roman" w:eastAsia="Times New Roman" w:hAnsi="Times New Roman" w:cs="Times New Roman"/>
      <w:color w:val="006100"/>
      <w:sz w:val="24"/>
      <w:szCs w:val="24"/>
      <w:lang w:eastAsia="en-GB"/>
    </w:rPr>
  </w:style>
  <w:style w:type="paragraph" w:customStyle="1" w:styleId="xl95">
    <w:name w:val="xl95"/>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6">
    <w:name w:val="xl96"/>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7">
    <w:name w:val="xl97"/>
    <w:basedOn w:val="Normal"/>
    <w:rsid w:val="00271EF8"/>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98">
    <w:name w:val="xl98"/>
    <w:basedOn w:val="Normal"/>
    <w:rsid w:val="00271EF8"/>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99">
    <w:name w:val="xl99"/>
    <w:basedOn w:val="Normal"/>
    <w:rsid w:val="00271EF8"/>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00">
    <w:name w:val="xl100"/>
    <w:basedOn w:val="Normal"/>
    <w:rsid w:val="00271EF8"/>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1">
    <w:name w:val="xl101"/>
    <w:basedOn w:val="Normal"/>
    <w:rsid w:val="00271EF8"/>
    <w:pPr>
      <w:pBdr>
        <w:top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02">
    <w:name w:val="xl102"/>
    <w:basedOn w:val="Normal"/>
    <w:rsid w:val="00271EF8"/>
    <w:pPr>
      <w:pBdr>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3">
    <w:name w:val="xl103"/>
    <w:basedOn w:val="Normal"/>
    <w:rsid w:val="00271EF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FooterCoverPage">
    <w:name w:val="Footer Cover Page"/>
    <w:basedOn w:val="Normal"/>
    <w:link w:val="FooterCoverPageChar"/>
    <w:rsid w:val="00271EF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271EF8"/>
    <w:rPr>
      <w:rFonts w:ascii="Times New Roman" w:hAnsi="Times New Roman" w:cs="Times New Roman"/>
      <w:sz w:val="24"/>
    </w:rPr>
  </w:style>
  <w:style w:type="paragraph" w:customStyle="1" w:styleId="HeaderCoverPage">
    <w:name w:val="Header Cover Page"/>
    <w:basedOn w:val="Normal"/>
    <w:link w:val="HeaderCoverPageChar"/>
    <w:rsid w:val="00271EF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271EF8"/>
    <w:rPr>
      <w:rFonts w:ascii="Times New Roman" w:hAnsi="Times New Roman" w:cs="Times New Roman"/>
      <w:sz w:val="24"/>
    </w:rPr>
  </w:style>
  <w:style w:type="paragraph" w:customStyle="1" w:styleId="ManualHeading">
    <w:name w:val="Manual Heading é"/>
    <w:basedOn w:val="Normal"/>
    <w:rsid w:val="00271EF8"/>
    <w:pPr>
      <w:keepNext/>
      <w:tabs>
        <w:tab w:val="left" w:pos="850"/>
      </w:tabs>
      <w:spacing w:before="360" w:after="120" w:line="240" w:lineRule="auto"/>
      <w:ind w:left="850" w:hanging="850"/>
      <w:jc w:val="both"/>
      <w:outlineLvl w:val="0"/>
    </w:pPr>
    <w:rPr>
      <w:rFonts w:ascii="Times New Roman" w:eastAsiaTheme="minorHAnsi" w:hAnsi="Times New Roman" w:cs="Times New Roman"/>
      <w:b/>
      <w:smallCaps/>
      <w:sz w:val="24"/>
      <w:lang w:eastAsia="en-US"/>
    </w:rPr>
  </w:style>
  <w:style w:type="character" w:customStyle="1" w:styleId="normaltextrun">
    <w:name w:val="normaltextrun"/>
    <w:basedOn w:val="DefaultParagraphFont"/>
    <w:rsid w:val="00271EF8"/>
  </w:style>
  <w:style w:type="character" w:customStyle="1" w:styleId="findhit">
    <w:name w:val="findhit"/>
    <w:basedOn w:val="DefaultParagraphFont"/>
    <w:rsid w:val="00271EF8"/>
  </w:style>
  <w:style w:type="numbering" w:customStyle="1" w:styleId="NoList2">
    <w:name w:val="No List2"/>
    <w:next w:val="NoList"/>
    <w:uiPriority w:val="99"/>
    <w:semiHidden/>
    <w:unhideWhenUsed/>
    <w:rsid w:val="00271EF8"/>
  </w:style>
  <w:style w:type="paragraph" w:styleId="NormalWeb">
    <w:name w:val="Normal (Web)"/>
    <w:basedOn w:val="Normal"/>
    <w:uiPriority w:val="99"/>
    <w:unhideWhenUsed/>
    <w:rsid w:val="00271EF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agraph">
    <w:name w:val="paragraph"/>
    <w:basedOn w:val="Normal"/>
    <w:rsid w:val="00271EF8"/>
    <w:pPr>
      <w:spacing w:before="100" w:beforeAutospacing="1" w:after="100" w:afterAutospacing="1" w:line="240" w:lineRule="auto"/>
    </w:pPr>
    <w:rPr>
      <w:rFonts w:ascii="Times New Roman" w:eastAsia="Calibri" w:hAnsi="Times New Roman" w:cs="Times New Roman"/>
      <w:sz w:val="24"/>
      <w:szCs w:val="24"/>
      <w:lang w:eastAsia="fr-BE"/>
    </w:rPr>
  </w:style>
  <w:style w:type="paragraph" w:customStyle="1" w:styleId="Anonymauthor">
    <w:name w:val="Anonym author"/>
    <w:basedOn w:val="CommentText"/>
    <w:rsid w:val="00271EF8"/>
    <w:pPr>
      <w:spacing w:before="120" w:after="120"/>
      <w:jc w:val="both"/>
    </w:pPr>
    <w:rPr>
      <w:rFonts w:ascii="Times New Roman" w:eastAsiaTheme="minorHAnsi" w:hAnsi="Times New Roman" w:cs="Times New Roman"/>
      <w:lang w:eastAsia="en-US"/>
    </w:rPr>
  </w:style>
  <w:style w:type="paragraph" w:customStyle="1" w:styleId="P68B1DB1-Normal3">
    <w:name w:val="P68B1DB1-Normal3"/>
    <w:basedOn w:val="Normal"/>
    <w:uiPriority w:val="99"/>
    <w:rsid w:val="00271EF8"/>
    <w:pPr>
      <w:spacing w:line="256" w:lineRule="auto"/>
    </w:pPr>
    <w:rPr>
      <w:rFonts w:ascii="Arial" w:eastAsiaTheme="minorHAnsi" w:hAnsi="Arial" w:cs="Arial"/>
      <w:sz w:val="24"/>
      <w:szCs w:val="20"/>
    </w:rPr>
  </w:style>
  <w:style w:type="character" w:customStyle="1" w:styleId="viiyi">
    <w:name w:val="viiyi"/>
    <w:basedOn w:val="DefaultParagraphFont"/>
    <w:rsid w:val="00271EF8"/>
  </w:style>
  <w:style w:type="character" w:customStyle="1" w:styleId="jlqj4b">
    <w:name w:val="jlqj4b"/>
    <w:basedOn w:val="DefaultParagraphFont"/>
    <w:rsid w:val="00271EF8"/>
  </w:style>
  <w:style w:type="paragraph" w:customStyle="1" w:styleId="P68B1DB1-Normal10">
    <w:name w:val="P68B1DB1-Normal10"/>
    <w:basedOn w:val="Normal"/>
    <w:rsid w:val="00271EF8"/>
    <w:rPr>
      <w:rFonts w:ascii="Arial" w:eastAsiaTheme="minorHAnsi" w:hAnsi="Arial" w:cs="Arial"/>
      <w:i/>
      <w:sz w:val="24"/>
      <w:szCs w:val="20"/>
      <w:lang w:eastAsia="en-US"/>
    </w:rPr>
  </w:style>
  <w:style w:type="paragraph" w:styleId="Subtitle">
    <w:name w:val="Subtitle"/>
    <w:basedOn w:val="Normal"/>
    <w:next w:val="Normal"/>
    <w:link w:val="SubtitleChar"/>
    <w:uiPriority w:val="11"/>
    <w:qFormat/>
    <w:rsid w:val="00271EF8"/>
    <w:pPr>
      <w:keepNext/>
      <w:keepLines/>
      <w:spacing w:before="360" w:after="80" w:line="240" w:lineRule="auto"/>
      <w:jc w:val="both"/>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uiPriority w:val="11"/>
    <w:rsid w:val="00271EF8"/>
    <w:rPr>
      <w:rFonts w:ascii="Georgia" w:eastAsia="Georgia" w:hAnsi="Georgia" w:cs="Georgia"/>
      <w:i/>
      <w:color w:val="666666"/>
      <w:sz w:val="48"/>
      <w:szCs w:val="48"/>
      <w:lang w:val="ro-RO" w:eastAsia="en-US"/>
    </w:rPr>
  </w:style>
  <w:style w:type="paragraph" w:styleId="HTMLPreformatted">
    <w:name w:val="HTML Preformatted"/>
    <w:basedOn w:val="Normal"/>
    <w:link w:val="HTMLPreformattedChar"/>
    <w:uiPriority w:val="99"/>
    <w:unhideWhenUsed/>
    <w:rsid w:val="00271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271EF8"/>
    <w:rPr>
      <w:rFonts w:ascii="Courier New" w:eastAsia="Times New Roman" w:hAnsi="Courier New" w:cs="Courier New"/>
      <w:sz w:val="20"/>
      <w:szCs w:val="20"/>
      <w:lang w:val="ro-RO" w:eastAsia="en-US"/>
    </w:rPr>
  </w:style>
  <w:style w:type="character" w:customStyle="1" w:styleId="y2iqfc">
    <w:name w:val="y2iqfc"/>
    <w:basedOn w:val="DefaultParagraphFont"/>
    <w:rsid w:val="00271EF8"/>
  </w:style>
  <w:style w:type="character" w:customStyle="1" w:styleId="eop">
    <w:name w:val="eop"/>
    <w:basedOn w:val="DefaultParagraphFont"/>
    <w:rsid w:val="00271EF8"/>
  </w:style>
  <w:style w:type="paragraph" w:customStyle="1" w:styleId="P68B1DB1-Normal15">
    <w:name w:val="P68B1DB1-Normal15"/>
    <w:basedOn w:val="Normal"/>
    <w:rsid w:val="00271EF8"/>
    <w:pPr>
      <w:spacing w:before="120" w:after="120" w:line="240" w:lineRule="auto"/>
      <w:jc w:val="both"/>
    </w:pPr>
    <w:rPr>
      <w:rFonts w:ascii="Times New Roman" w:eastAsiaTheme="minorHAnsi" w:hAnsi="Times New Roman" w:cs="Times New Roman"/>
      <w:sz w:val="18"/>
      <w:szCs w:val="20"/>
      <w:highlight w:val="yellow"/>
      <w:lang w:eastAsia="en-GB"/>
    </w:rPr>
  </w:style>
  <w:style w:type="character" w:styleId="Emphasis">
    <w:name w:val="Emphasis"/>
    <w:basedOn w:val="DefaultParagraphFont"/>
    <w:uiPriority w:val="20"/>
    <w:qFormat/>
    <w:rsid w:val="00271EF8"/>
    <w:rPr>
      <w:i/>
      <w:iCs/>
    </w:rPr>
  </w:style>
  <w:style w:type="character" w:customStyle="1" w:styleId="apple-converted-space">
    <w:name w:val="apple-converted-space"/>
    <w:basedOn w:val="DefaultParagraphFont"/>
    <w:rsid w:val="00271EF8"/>
  </w:style>
  <w:style w:type="paragraph" w:styleId="Title">
    <w:name w:val="Title"/>
    <w:basedOn w:val="Normal"/>
    <w:next w:val="Normal"/>
    <w:link w:val="TitleChar"/>
    <w:uiPriority w:val="10"/>
    <w:qFormat/>
    <w:rsid w:val="00271EF8"/>
    <w:pPr>
      <w:keepNext/>
      <w:keepLines/>
      <w:spacing w:before="480" w:after="120" w:line="240" w:lineRule="auto"/>
      <w:jc w:val="both"/>
    </w:pPr>
    <w:rPr>
      <w:rFonts w:ascii="Times New Roman" w:eastAsia="Times New Roman" w:hAnsi="Times New Roman" w:cs="Times New Roman"/>
      <w:b/>
      <w:sz w:val="72"/>
      <w:szCs w:val="72"/>
      <w:lang w:eastAsia="en-GB"/>
    </w:rPr>
  </w:style>
  <w:style w:type="character" w:customStyle="1" w:styleId="TitleChar">
    <w:name w:val="Title Char"/>
    <w:basedOn w:val="DefaultParagraphFont"/>
    <w:link w:val="Title"/>
    <w:uiPriority w:val="10"/>
    <w:rsid w:val="00271EF8"/>
    <w:rPr>
      <w:rFonts w:ascii="Times New Roman" w:eastAsia="Times New Roman" w:hAnsi="Times New Roman" w:cs="Times New Roman"/>
      <w:b/>
      <w:sz w:val="72"/>
      <w:szCs w:val="72"/>
      <w:lang w:val="ro-RO" w:eastAsia="en-GB"/>
    </w:rPr>
  </w:style>
  <w:style w:type="character" w:customStyle="1" w:styleId="Bodytext2">
    <w:name w:val="Body text|2"/>
    <w:basedOn w:val="DefaultParagraphFont"/>
    <w:semiHidden/>
    <w:rsid w:val="00271EF8"/>
    <w:rPr>
      <w:rFonts w:ascii="Arial" w:eastAsia="Arial" w:hAnsi="Arial" w:cs="Arial" w:hint="default"/>
      <w:b w:val="0"/>
      <w:bCs w:val="0"/>
      <w:i w:val="0"/>
      <w:iCs w:val="0"/>
      <w:smallCaps w:val="0"/>
      <w:strike w:val="0"/>
      <w:dstrike w:val="0"/>
      <w:color w:val="000000"/>
      <w:position w:val="0"/>
      <w:sz w:val="16"/>
      <w:u w:val="none"/>
      <w:effect w:val="none"/>
    </w:rPr>
  </w:style>
  <w:style w:type="character" w:customStyle="1" w:styleId="spellingerror">
    <w:name w:val="spellingerror"/>
    <w:basedOn w:val="DefaultParagraphFont"/>
    <w:rsid w:val="00271EF8"/>
  </w:style>
  <w:style w:type="character" w:customStyle="1" w:styleId="UnresolvedMention1">
    <w:name w:val="Unresolved Mention1"/>
    <w:basedOn w:val="DefaultParagraphFont"/>
    <w:uiPriority w:val="99"/>
    <w:semiHidden/>
    <w:unhideWhenUsed/>
    <w:rsid w:val="00271EF8"/>
    <w:rPr>
      <w:color w:val="605E5C"/>
      <w:shd w:val="clear" w:color="auto" w:fill="E1DFDD"/>
    </w:rPr>
  </w:style>
  <w:style w:type="paragraph" w:customStyle="1" w:styleId="P68B1DB1-Normal6">
    <w:name w:val="P68B1DB1-Normal6"/>
    <w:basedOn w:val="Normal"/>
    <w:uiPriority w:val="1"/>
    <w:rsid w:val="00271EF8"/>
    <w:rPr>
      <w:rFonts w:ascii="Times New Roman" w:eastAsia="Times New Roman" w:hAnsi="Times New Roman" w:cs="Times New Roman"/>
      <w:sz w:val="24"/>
      <w:szCs w:val="20"/>
    </w:rPr>
  </w:style>
  <w:style w:type="paragraph" w:customStyle="1" w:styleId="P68B1DB1-ListParagraph12">
    <w:name w:val="P68B1DB1-ListParagraph12"/>
    <w:basedOn w:val="ListParagraph"/>
    <w:rsid w:val="00271EF8"/>
    <w:rPr>
      <w:rFonts w:ascii="Times New Roman" w:eastAsia="Times New Roman" w:hAnsi="Times New Roman" w:cs="Times New Roman"/>
      <w:sz w:val="24"/>
      <w:szCs w:val="20"/>
      <w:lang w:eastAsia="en-IE"/>
    </w:rPr>
  </w:style>
  <w:style w:type="paragraph" w:customStyle="1" w:styleId="P68B1DB1-Normal2">
    <w:name w:val="P68B1DB1-Normal2"/>
    <w:basedOn w:val="Normal"/>
    <w:rsid w:val="00271EF8"/>
    <w:rPr>
      <w:rFonts w:ascii="Times New Roman" w:eastAsia="Calibri" w:hAnsi="Times New Roman" w:cs="Times New Roman"/>
      <w:szCs w:val="20"/>
    </w:rPr>
  </w:style>
  <w:style w:type="character" w:customStyle="1" w:styleId="ListLabel1791text">
    <w:name w:val="ListLabel 1791_text"/>
    <w:qFormat/>
    <w:rsid w:val="00271EF8"/>
    <w:rPr>
      <w:rFonts w:ascii="Times New Roman" w:hAnsi="Times New Roman"/>
      <w:sz w:val="24"/>
    </w:rPr>
  </w:style>
  <w:style w:type="table" w:styleId="TableGrid">
    <w:name w:val="Table Grid"/>
    <w:basedOn w:val="TableNormal"/>
    <w:uiPriority w:val="59"/>
    <w:rsid w:val="00271EF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ucationalResources">
    <w:name w:val="Educational Resources"/>
    <w:basedOn w:val="Normal"/>
    <w:rsid w:val="00271EF8"/>
    <w:pPr>
      <w:spacing w:after="0" w:line="276" w:lineRule="auto"/>
    </w:pPr>
    <w:rPr>
      <w:rFonts w:eastAsiaTheme="minorHAnsi"/>
      <w:color w:val="000000"/>
      <w:lang w:eastAsia="en-US"/>
    </w:rPr>
  </w:style>
  <w:style w:type="paragraph" w:customStyle="1" w:styleId="TechnicalBlock">
    <w:name w:val="Technical Block"/>
    <w:basedOn w:val="Normal"/>
    <w:link w:val="TechnicalBlockChar"/>
    <w:rsid w:val="00271EF8"/>
    <w:pPr>
      <w:spacing w:after="240" w:line="240" w:lineRule="auto"/>
      <w:jc w:val="center"/>
    </w:pPr>
    <w:rPr>
      <w:rFonts w:eastAsiaTheme="minorHAnsi"/>
      <w:lang w:eastAsia="en-US"/>
    </w:rPr>
  </w:style>
  <w:style w:type="character" w:customStyle="1" w:styleId="TechnicalBlockChar">
    <w:name w:val="Technical Block Char"/>
    <w:basedOn w:val="DefaultParagraphFont"/>
    <w:link w:val="TechnicalBlock"/>
    <w:rsid w:val="00271EF8"/>
    <w:rPr>
      <w:rFonts w:eastAsiaTheme="minorHAnsi"/>
      <w:lang w:val="ro-RO" w:eastAsia="en-US"/>
    </w:rPr>
  </w:style>
  <w:style w:type="paragraph" w:customStyle="1" w:styleId="EntText">
    <w:name w:val="EntText"/>
    <w:basedOn w:val="Normal"/>
    <w:rsid w:val="00271EF8"/>
    <w:pPr>
      <w:spacing w:before="120" w:after="120" w:line="360" w:lineRule="auto"/>
    </w:pPr>
    <w:rPr>
      <w:rFonts w:ascii="Times New Roman" w:eastAsiaTheme="minorHAnsi" w:hAnsi="Times New Roman" w:cs="Times New Roman"/>
      <w:sz w:val="24"/>
      <w:lang w:eastAsia="en-US"/>
    </w:rPr>
  </w:style>
  <w:style w:type="paragraph" w:customStyle="1" w:styleId="Lignefinal">
    <w:name w:val="Ligne final"/>
    <w:basedOn w:val="Normal"/>
    <w:next w:val="Normal"/>
    <w:rsid w:val="00271EF8"/>
    <w:pPr>
      <w:pBdr>
        <w:bottom w:val="single" w:sz="4" w:space="0" w:color="000000"/>
      </w:pBdr>
      <w:spacing w:before="360" w:after="120" w:line="360" w:lineRule="auto"/>
      <w:ind w:left="3400" w:right="3400"/>
      <w:jc w:val="center"/>
    </w:pPr>
    <w:rPr>
      <w:rFonts w:ascii="Times New Roman" w:eastAsiaTheme="minorHAnsi" w:hAnsi="Times New Roman" w:cs="Times New Roman"/>
      <w:b/>
      <w:sz w:val="24"/>
      <w:lang w:eastAsia="en-US"/>
    </w:rPr>
  </w:style>
  <w:style w:type="paragraph" w:customStyle="1" w:styleId="pj">
    <w:name w:val="p.j."/>
    <w:basedOn w:val="Normal"/>
    <w:link w:val="pjChar"/>
    <w:rsid w:val="00271EF8"/>
    <w:pPr>
      <w:spacing w:before="1200" w:after="120" w:line="240" w:lineRule="auto"/>
      <w:ind w:left="1440" w:hanging="1440"/>
    </w:pPr>
    <w:rPr>
      <w:rFonts w:ascii="Times New Roman" w:eastAsiaTheme="minorHAnsi" w:hAnsi="Times New Roman" w:cs="Times New Roman"/>
      <w:sz w:val="24"/>
      <w:lang w:eastAsia="en-US"/>
    </w:rPr>
  </w:style>
  <w:style w:type="character" w:customStyle="1" w:styleId="pjChar">
    <w:name w:val="p.j. Char"/>
    <w:basedOn w:val="TechnicalBlockChar"/>
    <w:link w:val="pj"/>
    <w:rsid w:val="00271EF8"/>
    <w:rPr>
      <w:rFonts w:ascii="Times New Roman" w:eastAsiaTheme="minorHAnsi" w:hAnsi="Times New Roman" w:cs="Times New Roman"/>
      <w:sz w:val="24"/>
      <w:lang w:val="ro-RO" w:eastAsia="en-US"/>
    </w:rPr>
  </w:style>
  <w:style w:type="paragraph" w:customStyle="1" w:styleId="nbbordered">
    <w:name w:val="nb bordered"/>
    <w:basedOn w:val="Normal"/>
    <w:link w:val="nbborderedChar"/>
    <w:rsid w:val="00271EF8"/>
    <w:pPr>
      <w:pBdr>
        <w:top w:val="single" w:sz="4" w:space="1" w:color="auto"/>
        <w:left w:val="single" w:sz="4" w:space="4" w:color="auto"/>
        <w:bottom w:val="single" w:sz="4" w:space="1" w:color="auto"/>
        <w:right w:val="single" w:sz="4" w:space="4" w:color="auto"/>
        <w:between w:val="single" w:sz="4" w:space="0" w:color="auto"/>
      </w:pBdr>
      <w:spacing w:line="240" w:lineRule="auto"/>
      <w:ind w:left="480" w:hanging="480"/>
    </w:pPr>
    <w:rPr>
      <w:rFonts w:ascii="Times New Roman" w:eastAsiaTheme="minorHAnsi" w:hAnsi="Times New Roman" w:cs="Times New Roman"/>
      <w:b/>
      <w:sz w:val="24"/>
      <w:lang w:eastAsia="en-US"/>
    </w:rPr>
  </w:style>
  <w:style w:type="character" w:customStyle="1" w:styleId="nbborderedChar">
    <w:name w:val="nb bordered Char"/>
    <w:basedOn w:val="TechnicalBlockChar"/>
    <w:link w:val="nbbordered"/>
    <w:rsid w:val="00271EF8"/>
    <w:rPr>
      <w:rFonts w:ascii="Times New Roman" w:eastAsiaTheme="minorHAnsi" w:hAnsi="Times New Roman" w:cs="Times New Roman"/>
      <w:b/>
      <w:sz w:val="24"/>
      <w:lang w:val="ro-RO" w:eastAsia="en-US"/>
    </w:rPr>
  </w:style>
  <w:style w:type="paragraph" w:customStyle="1" w:styleId="HeaderCouncil">
    <w:name w:val="Header Council"/>
    <w:basedOn w:val="Normal"/>
    <w:link w:val="HeaderCouncilChar"/>
    <w:rsid w:val="00271EF8"/>
    <w:pPr>
      <w:spacing w:after="0" w:line="276" w:lineRule="auto"/>
    </w:pPr>
    <w:rPr>
      <w:rFonts w:eastAsiaTheme="minorHAnsi"/>
      <w:noProof/>
      <w:sz w:val="2"/>
      <w:lang w:eastAsia="en-US"/>
    </w:rPr>
  </w:style>
  <w:style w:type="character" w:customStyle="1" w:styleId="HeaderCouncilChar">
    <w:name w:val="Header Council Char"/>
    <w:basedOn w:val="DefaultParagraphFont"/>
    <w:link w:val="HeaderCouncil"/>
    <w:rsid w:val="00271EF8"/>
    <w:rPr>
      <w:rFonts w:eastAsiaTheme="minorHAnsi"/>
      <w:noProof/>
      <w:sz w:val="2"/>
      <w:lang w:val="ro-RO" w:eastAsia="en-US"/>
    </w:rPr>
  </w:style>
  <w:style w:type="paragraph" w:customStyle="1" w:styleId="HeaderCouncilLarge">
    <w:name w:val="Header Council Large"/>
    <w:basedOn w:val="Normal"/>
    <w:link w:val="HeaderCouncilLargeChar"/>
    <w:rsid w:val="00271EF8"/>
    <w:pPr>
      <w:spacing w:after="440" w:line="276" w:lineRule="auto"/>
    </w:pPr>
    <w:rPr>
      <w:rFonts w:eastAsiaTheme="minorHAnsi"/>
      <w:noProof/>
      <w:sz w:val="2"/>
      <w:lang w:eastAsia="en-US"/>
    </w:rPr>
  </w:style>
  <w:style w:type="character" w:customStyle="1" w:styleId="HeaderCouncilLargeChar">
    <w:name w:val="Header Council Large Char"/>
    <w:basedOn w:val="DefaultParagraphFont"/>
    <w:link w:val="HeaderCouncilLarge"/>
    <w:rsid w:val="00271EF8"/>
    <w:rPr>
      <w:rFonts w:eastAsiaTheme="minorHAnsi"/>
      <w:noProof/>
      <w:sz w:val="2"/>
      <w:lang w:val="ro-RO" w:eastAsia="en-US"/>
    </w:rPr>
  </w:style>
  <w:style w:type="paragraph" w:customStyle="1" w:styleId="FooterCouncil">
    <w:name w:val="Footer Council"/>
    <w:basedOn w:val="Normal"/>
    <w:link w:val="FooterCouncilChar"/>
    <w:rsid w:val="00271EF8"/>
    <w:pPr>
      <w:spacing w:after="0" w:line="276" w:lineRule="auto"/>
    </w:pPr>
    <w:rPr>
      <w:rFonts w:eastAsiaTheme="minorHAnsi"/>
      <w:noProof/>
      <w:sz w:val="2"/>
      <w:lang w:eastAsia="en-US"/>
    </w:rPr>
  </w:style>
  <w:style w:type="character" w:customStyle="1" w:styleId="FooterCouncilChar">
    <w:name w:val="Footer Council Char"/>
    <w:basedOn w:val="DefaultParagraphFont"/>
    <w:link w:val="FooterCouncil"/>
    <w:rsid w:val="00271EF8"/>
    <w:rPr>
      <w:rFonts w:eastAsiaTheme="minorHAnsi"/>
      <w:noProof/>
      <w:sz w:val="2"/>
      <w:lang w:val="ro-RO" w:eastAsia="en-US"/>
    </w:rPr>
  </w:style>
  <w:style w:type="paragraph" w:customStyle="1" w:styleId="FooterText">
    <w:name w:val="Footer Text"/>
    <w:basedOn w:val="Normal"/>
    <w:rsid w:val="00271EF8"/>
    <w:pPr>
      <w:spacing w:after="0" w:line="240" w:lineRule="auto"/>
    </w:pPr>
    <w:rPr>
      <w:rFonts w:ascii="Times New Roman" w:eastAsia="Times New Roman" w:hAnsi="Times New Roman" w:cs="Times New Roman"/>
      <w:sz w:val="24"/>
      <w:szCs w:val="24"/>
      <w:lang w:eastAsia="en-US"/>
    </w:rPr>
  </w:style>
  <w:style w:type="character" w:styleId="PlaceholderText">
    <w:name w:val="Placeholder Text"/>
    <w:basedOn w:val="DefaultParagraphFont"/>
    <w:uiPriority w:val="99"/>
    <w:semiHidden/>
    <w:rsid w:val="00271EF8"/>
    <w:rPr>
      <w:color w:val="808080"/>
    </w:rPr>
  </w:style>
  <w:style w:type="character" w:customStyle="1" w:styleId="UnresolvedMention">
    <w:name w:val="Unresolved Mention"/>
    <w:basedOn w:val="DefaultParagraphFont"/>
    <w:uiPriority w:val="99"/>
    <w:semiHidden/>
    <w:unhideWhenUsed/>
    <w:rsid w:val="00500CF9"/>
    <w:rPr>
      <w:color w:val="605E5C"/>
      <w:shd w:val="clear" w:color="auto" w:fill="E1DFDD"/>
    </w:rPr>
  </w:style>
  <w:style w:type="character" w:customStyle="1" w:styleId="Mention1">
    <w:name w:val="Mention1"/>
    <w:basedOn w:val="DefaultParagraphFont"/>
    <w:uiPriority w:val="99"/>
    <w:unhideWhenUsed/>
    <w:rsid w:val="002B1133"/>
    <w:rPr>
      <w:color w:val="2B579A"/>
      <w:shd w:val="clear" w:color="auto" w:fill="E6E6E6"/>
    </w:rPr>
  </w:style>
  <w:style w:type="paragraph" w:customStyle="1" w:styleId="P68B1DB1-Normal8">
    <w:name w:val="P68B1DB1-Normal8"/>
    <w:basedOn w:val="Normal"/>
    <w:rsid w:val="009F596F"/>
    <w:pPr>
      <w:spacing w:after="0" w:line="240" w:lineRule="auto"/>
    </w:pPr>
    <w:rPr>
      <w:rFonts w:ascii="Trebuchet MS" w:eastAsia="Trebuchet MS" w:hAnsi="Trebuchet MS" w:cs="Trebuchet MS"/>
      <w:kern w:val="2"/>
      <w:szCs w:val="20"/>
      <w:lang w:eastAsia="en-US"/>
      <w14:ligatures w14:val="standardContextual"/>
    </w:rPr>
  </w:style>
  <w:style w:type="paragraph" w:customStyle="1" w:styleId="P68B1DB1-Normal9">
    <w:name w:val="P68B1DB1-Normal9"/>
    <w:basedOn w:val="Normal"/>
    <w:rsid w:val="009F596F"/>
    <w:pPr>
      <w:spacing w:after="0" w:line="240" w:lineRule="auto"/>
    </w:pPr>
    <w:rPr>
      <w:rFonts w:ascii="Trebuchet MS" w:eastAsia="Times New Roman" w:hAnsi="Trebuchet MS" w:cs="Times New Roman"/>
      <w:kern w:val="2"/>
      <w:szCs w:val="20"/>
      <w:lang w:eastAsia="en-US"/>
      <w14:ligatures w14:val="standardContextual"/>
    </w:rPr>
  </w:style>
  <w:style w:type="paragraph" w:customStyle="1" w:styleId="P68B1DB1-Normal7">
    <w:name w:val="P68B1DB1-Normal7"/>
    <w:basedOn w:val="Normal"/>
    <w:uiPriority w:val="1"/>
    <w:rsid w:val="009F596F"/>
    <w:rPr>
      <w:rFonts w:ascii="Trebuchet MS" w:eastAsia="Times New Roman" w:hAnsi="Trebuchet MS" w:cs="Times New Roman"/>
      <w:b/>
      <w:bCs/>
      <w:color w:val="000000" w:themeColor="text1"/>
      <w:sz w:val="24"/>
      <w:szCs w:val="24"/>
      <w:lang w:eastAsia="en-US"/>
    </w:rPr>
  </w:style>
  <w:style w:type="paragraph" w:customStyle="1" w:styleId="P68B1DB1-Normal11">
    <w:name w:val="P68B1DB1-Normal11"/>
    <w:basedOn w:val="Normal"/>
    <w:uiPriority w:val="1"/>
    <w:rsid w:val="009F596F"/>
    <w:rPr>
      <w:rFonts w:ascii="Trebuchet MS" w:eastAsia="Calibri" w:hAnsi="Trebuchet MS" w:cs="Times New Roman"/>
      <w:color w:val="000000" w:themeColor="text1"/>
      <w:sz w:val="20"/>
      <w:szCs w:val="20"/>
      <w:lang w:eastAsia="en-US"/>
    </w:rPr>
  </w:style>
  <w:style w:type="character" w:customStyle="1" w:styleId="UnresolvedMention10">
    <w:name w:val="Unresolved Mention10"/>
    <w:basedOn w:val="DefaultParagraphFont"/>
    <w:uiPriority w:val="99"/>
    <w:semiHidden/>
    <w:unhideWhenUsed/>
    <w:rsid w:val="001A05B1"/>
    <w:rPr>
      <w:color w:val="605E5C"/>
      <w:shd w:val="clear" w:color="auto" w:fill="E1DFDD"/>
    </w:rPr>
  </w:style>
  <w:style w:type="character" w:customStyle="1" w:styleId="UnresolvedMention100">
    <w:name w:val="Unresolved Mention100"/>
    <w:basedOn w:val="DefaultParagraphFont"/>
    <w:uiPriority w:val="99"/>
    <w:semiHidden/>
    <w:unhideWhenUsed/>
    <w:rsid w:val="001A05B1"/>
    <w:rPr>
      <w:color w:val="605E5C"/>
      <w:shd w:val="clear" w:color="auto" w:fill="E1DFDD"/>
    </w:rPr>
  </w:style>
  <w:style w:type="character" w:customStyle="1" w:styleId="UnresolvedMention1000">
    <w:name w:val="Unresolved Mention1000"/>
    <w:basedOn w:val="DefaultParagraphFont"/>
    <w:uiPriority w:val="99"/>
    <w:semiHidden/>
    <w:unhideWhenUsed/>
    <w:rsid w:val="001A0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9238">
      <w:bodyDiv w:val="1"/>
      <w:marLeft w:val="0"/>
      <w:marRight w:val="0"/>
      <w:marTop w:val="0"/>
      <w:marBottom w:val="0"/>
      <w:divBdr>
        <w:top w:val="none" w:sz="0" w:space="0" w:color="auto"/>
        <w:left w:val="none" w:sz="0" w:space="0" w:color="auto"/>
        <w:bottom w:val="none" w:sz="0" w:space="0" w:color="auto"/>
        <w:right w:val="none" w:sz="0" w:space="0" w:color="auto"/>
      </w:divBdr>
      <w:divsChild>
        <w:div w:id="498160007">
          <w:marLeft w:val="0"/>
          <w:marRight w:val="0"/>
          <w:marTop w:val="0"/>
          <w:marBottom w:val="0"/>
          <w:divBdr>
            <w:top w:val="none" w:sz="0" w:space="0" w:color="auto"/>
            <w:left w:val="none" w:sz="0" w:space="0" w:color="auto"/>
            <w:bottom w:val="none" w:sz="0" w:space="0" w:color="auto"/>
            <w:right w:val="none" w:sz="0" w:space="0" w:color="auto"/>
          </w:divBdr>
          <w:divsChild>
            <w:div w:id="172693679">
              <w:marLeft w:val="0"/>
              <w:marRight w:val="0"/>
              <w:marTop w:val="0"/>
              <w:marBottom w:val="0"/>
              <w:divBdr>
                <w:top w:val="none" w:sz="0" w:space="0" w:color="auto"/>
                <w:left w:val="none" w:sz="0" w:space="0" w:color="auto"/>
                <w:bottom w:val="none" w:sz="0" w:space="0" w:color="auto"/>
                <w:right w:val="none" w:sz="0" w:space="0" w:color="auto"/>
              </w:divBdr>
            </w:div>
            <w:div w:id="923533831">
              <w:marLeft w:val="0"/>
              <w:marRight w:val="0"/>
              <w:marTop w:val="0"/>
              <w:marBottom w:val="0"/>
              <w:divBdr>
                <w:top w:val="none" w:sz="0" w:space="0" w:color="auto"/>
                <w:left w:val="none" w:sz="0" w:space="0" w:color="auto"/>
                <w:bottom w:val="none" w:sz="0" w:space="0" w:color="auto"/>
                <w:right w:val="none" w:sz="0" w:space="0" w:color="auto"/>
              </w:divBdr>
            </w:div>
            <w:div w:id="1027216706">
              <w:marLeft w:val="0"/>
              <w:marRight w:val="0"/>
              <w:marTop w:val="0"/>
              <w:marBottom w:val="0"/>
              <w:divBdr>
                <w:top w:val="none" w:sz="0" w:space="0" w:color="auto"/>
                <w:left w:val="none" w:sz="0" w:space="0" w:color="auto"/>
                <w:bottom w:val="none" w:sz="0" w:space="0" w:color="auto"/>
                <w:right w:val="none" w:sz="0" w:space="0" w:color="auto"/>
              </w:divBdr>
            </w:div>
            <w:div w:id="1914386609">
              <w:marLeft w:val="0"/>
              <w:marRight w:val="0"/>
              <w:marTop w:val="0"/>
              <w:marBottom w:val="0"/>
              <w:divBdr>
                <w:top w:val="none" w:sz="0" w:space="0" w:color="auto"/>
                <w:left w:val="none" w:sz="0" w:space="0" w:color="auto"/>
                <w:bottom w:val="none" w:sz="0" w:space="0" w:color="auto"/>
                <w:right w:val="none" w:sz="0" w:space="0" w:color="auto"/>
              </w:divBdr>
            </w:div>
            <w:div w:id="20217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3096">
      <w:bodyDiv w:val="1"/>
      <w:marLeft w:val="0"/>
      <w:marRight w:val="0"/>
      <w:marTop w:val="0"/>
      <w:marBottom w:val="0"/>
      <w:divBdr>
        <w:top w:val="none" w:sz="0" w:space="0" w:color="auto"/>
        <w:left w:val="none" w:sz="0" w:space="0" w:color="auto"/>
        <w:bottom w:val="none" w:sz="0" w:space="0" w:color="auto"/>
        <w:right w:val="none" w:sz="0" w:space="0" w:color="auto"/>
      </w:divBdr>
    </w:div>
    <w:div w:id="323051507">
      <w:bodyDiv w:val="1"/>
      <w:marLeft w:val="0"/>
      <w:marRight w:val="0"/>
      <w:marTop w:val="0"/>
      <w:marBottom w:val="0"/>
      <w:divBdr>
        <w:top w:val="none" w:sz="0" w:space="0" w:color="auto"/>
        <w:left w:val="none" w:sz="0" w:space="0" w:color="auto"/>
        <w:bottom w:val="none" w:sz="0" w:space="0" w:color="auto"/>
        <w:right w:val="none" w:sz="0" w:space="0" w:color="auto"/>
      </w:divBdr>
    </w:div>
    <w:div w:id="520513635">
      <w:bodyDiv w:val="1"/>
      <w:marLeft w:val="0"/>
      <w:marRight w:val="0"/>
      <w:marTop w:val="0"/>
      <w:marBottom w:val="0"/>
      <w:divBdr>
        <w:top w:val="none" w:sz="0" w:space="0" w:color="auto"/>
        <w:left w:val="none" w:sz="0" w:space="0" w:color="auto"/>
        <w:bottom w:val="none" w:sz="0" w:space="0" w:color="auto"/>
        <w:right w:val="none" w:sz="0" w:space="0" w:color="auto"/>
      </w:divBdr>
    </w:div>
    <w:div w:id="1225068927">
      <w:bodyDiv w:val="1"/>
      <w:marLeft w:val="0"/>
      <w:marRight w:val="0"/>
      <w:marTop w:val="0"/>
      <w:marBottom w:val="0"/>
      <w:divBdr>
        <w:top w:val="none" w:sz="0" w:space="0" w:color="auto"/>
        <w:left w:val="none" w:sz="0" w:space="0" w:color="auto"/>
        <w:bottom w:val="none" w:sz="0" w:space="0" w:color="auto"/>
        <w:right w:val="none" w:sz="0" w:space="0" w:color="auto"/>
      </w:divBdr>
    </w:div>
    <w:div w:id="204867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44.xml"/><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footer" Target="footer26.xml"/><Relationship Id="rId84" Type="http://schemas.openxmlformats.org/officeDocument/2006/relationships/header" Target="header37.xml"/><Relationship Id="rId138" Type="http://schemas.openxmlformats.org/officeDocument/2006/relationships/header" Target="header64.xml"/><Relationship Id="rId159" Type="http://schemas.openxmlformats.org/officeDocument/2006/relationships/footer" Target="footer74.xml"/><Relationship Id="rId324" Type="http://schemas.openxmlformats.org/officeDocument/2006/relationships/footer" Target="footer156.xml"/><Relationship Id="rId345" Type="http://schemas.openxmlformats.org/officeDocument/2006/relationships/footer" Target="footer166.xml"/><Relationship Id="rId366" Type="http://schemas.openxmlformats.org/officeDocument/2006/relationships/footer" Target="footer177.xml"/><Relationship Id="rId387" Type="http://schemas.microsoft.com/office/2019/05/relationships/documenttasks" Target="documenttasks/documenttasks1.xml"/><Relationship Id="rId170" Type="http://schemas.openxmlformats.org/officeDocument/2006/relationships/footer" Target="footer79.xml"/><Relationship Id="rId191" Type="http://schemas.openxmlformats.org/officeDocument/2006/relationships/footer" Target="footer90.xml"/><Relationship Id="rId205" Type="http://schemas.openxmlformats.org/officeDocument/2006/relationships/header" Target="header98.xml"/><Relationship Id="rId226" Type="http://schemas.openxmlformats.org/officeDocument/2006/relationships/header" Target="header108.xml"/><Relationship Id="rId247" Type="http://schemas.openxmlformats.org/officeDocument/2006/relationships/header" Target="header118.xml"/><Relationship Id="rId107" Type="http://schemas.openxmlformats.org/officeDocument/2006/relationships/footer" Target="footer48.xml"/><Relationship Id="rId268" Type="http://schemas.openxmlformats.org/officeDocument/2006/relationships/footer" Target="footer128.xml"/><Relationship Id="rId289" Type="http://schemas.openxmlformats.org/officeDocument/2006/relationships/header" Target="header139.xml"/><Relationship Id="rId11" Type="http://schemas.openxmlformats.org/officeDocument/2006/relationships/image" Target="media/image1.emf"/><Relationship Id="rId32" Type="http://schemas.openxmlformats.org/officeDocument/2006/relationships/footer" Target="footer10.xml"/><Relationship Id="rId53" Type="http://schemas.openxmlformats.org/officeDocument/2006/relationships/footer" Target="footer21.xml"/><Relationship Id="rId74" Type="http://schemas.openxmlformats.org/officeDocument/2006/relationships/footer" Target="footer31.xml"/><Relationship Id="rId128" Type="http://schemas.openxmlformats.org/officeDocument/2006/relationships/footer" Target="footer58.xml"/><Relationship Id="rId149" Type="http://schemas.openxmlformats.org/officeDocument/2006/relationships/footer" Target="footer69.xml"/><Relationship Id="rId314" Type="http://schemas.openxmlformats.org/officeDocument/2006/relationships/header" Target="header152.xml"/><Relationship Id="rId335" Type="http://schemas.openxmlformats.org/officeDocument/2006/relationships/header" Target="header162.xml"/><Relationship Id="rId356" Type="http://schemas.openxmlformats.org/officeDocument/2006/relationships/header" Target="header173.xml"/><Relationship Id="rId377" Type="http://schemas.openxmlformats.org/officeDocument/2006/relationships/header" Target="header183.xml"/><Relationship Id="rId5" Type="http://schemas.openxmlformats.org/officeDocument/2006/relationships/numbering" Target="numbering.xml"/><Relationship Id="rId95" Type="http://schemas.openxmlformats.org/officeDocument/2006/relationships/footer" Target="footer42.xml"/><Relationship Id="rId160" Type="http://schemas.openxmlformats.org/officeDocument/2006/relationships/header" Target="header75.xml"/><Relationship Id="rId181" Type="http://schemas.openxmlformats.org/officeDocument/2006/relationships/header" Target="header86.xml"/><Relationship Id="rId216" Type="http://schemas.openxmlformats.org/officeDocument/2006/relationships/header" Target="header103.xml"/><Relationship Id="rId237" Type="http://schemas.openxmlformats.org/officeDocument/2006/relationships/footer" Target="footer112.xml"/><Relationship Id="rId258" Type="http://schemas.openxmlformats.org/officeDocument/2006/relationships/footer" Target="footer123.xml"/><Relationship Id="rId279" Type="http://schemas.openxmlformats.org/officeDocument/2006/relationships/footer" Target="footer133.xml"/><Relationship Id="rId22" Type="http://schemas.openxmlformats.org/officeDocument/2006/relationships/header" Target="header6.xml"/><Relationship Id="rId43" Type="http://schemas.openxmlformats.org/officeDocument/2006/relationships/header" Target="header17.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header" Target="header65.xml"/><Relationship Id="rId290" Type="http://schemas.openxmlformats.org/officeDocument/2006/relationships/header" Target="header140.xml"/><Relationship Id="rId304" Type="http://schemas.openxmlformats.org/officeDocument/2006/relationships/footer" Target="footer146.xml"/><Relationship Id="rId325" Type="http://schemas.openxmlformats.org/officeDocument/2006/relationships/header" Target="header157.xml"/><Relationship Id="rId346" Type="http://schemas.openxmlformats.org/officeDocument/2006/relationships/footer" Target="footer167.xml"/><Relationship Id="rId367" Type="http://schemas.openxmlformats.org/officeDocument/2006/relationships/header" Target="header178.xml"/><Relationship Id="rId85" Type="http://schemas.openxmlformats.org/officeDocument/2006/relationships/header" Target="header38.xml"/><Relationship Id="rId150" Type="http://schemas.openxmlformats.org/officeDocument/2006/relationships/header" Target="header70.xml"/><Relationship Id="rId171" Type="http://schemas.openxmlformats.org/officeDocument/2006/relationships/footer" Target="footer80.xml"/><Relationship Id="rId192" Type="http://schemas.openxmlformats.org/officeDocument/2006/relationships/header" Target="header91.xml"/><Relationship Id="rId206" Type="http://schemas.openxmlformats.org/officeDocument/2006/relationships/footer" Target="footer97.xml"/><Relationship Id="rId227" Type="http://schemas.openxmlformats.org/officeDocument/2006/relationships/footer" Target="footer108.xml"/><Relationship Id="rId248" Type="http://schemas.openxmlformats.org/officeDocument/2006/relationships/header" Target="header119.xml"/><Relationship Id="rId269" Type="http://schemas.openxmlformats.org/officeDocument/2006/relationships/header" Target="header129.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9.xml"/><Relationship Id="rId129" Type="http://schemas.openxmlformats.org/officeDocument/2006/relationships/footer" Target="footer59.xml"/><Relationship Id="rId280" Type="http://schemas.openxmlformats.org/officeDocument/2006/relationships/footer" Target="footer134.xml"/><Relationship Id="rId315" Type="http://schemas.openxmlformats.org/officeDocument/2006/relationships/footer" Target="footer151.xml"/><Relationship Id="rId336" Type="http://schemas.openxmlformats.org/officeDocument/2006/relationships/footer" Target="footer162.xml"/><Relationship Id="rId357" Type="http://schemas.openxmlformats.org/officeDocument/2006/relationships/footer" Target="footer172.xml"/><Relationship Id="rId54" Type="http://schemas.openxmlformats.org/officeDocument/2006/relationships/header" Target="header22.xml"/><Relationship Id="rId75" Type="http://schemas.openxmlformats.org/officeDocument/2006/relationships/footer" Target="footer32.xml"/><Relationship Id="rId96" Type="http://schemas.openxmlformats.org/officeDocument/2006/relationships/header" Target="header43.xml"/><Relationship Id="rId140" Type="http://schemas.openxmlformats.org/officeDocument/2006/relationships/footer" Target="footer64.xml"/><Relationship Id="rId161" Type="http://schemas.openxmlformats.org/officeDocument/2006/relationships/footer" Target="footer75.xml"/><Relationship Id="rId182" Type="http://schemas.openxmlformats.org/officeDocument/2006/relationships/footer" Target="footer85.xml"/><Relationship Id="rId217" Type="http://schemas.openxmlformats.org/officeDocument/2006/relationships/header" Target="header104.xml"/><Relationship Id="rId378" Type="http://schemas.openxmlformats.org/officeDocument/2006/relationships/footer" Target="footer183.xml"/><Relationship Id="rId6" Type="http://schemas.openxmlformats.org/officeDocument/2006/relationships/styles" Target="styles.xml"/><Relationship Id="rId238" Type="http://schemas.openxmlformats.org/officeDocument/2006/relationships/footer" Target="footer113.xml"/><Relationship Id="rId259" Type="http://schemas.openxmlformats.org/officeDocument/2006/relationships/header" Target="header124.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footer" Target="footer129.xml"/><Relationship Id="rId291" Type="http://schemas.openxmlformats.org/officeDocument/2006/relationships/footer" Target="footer139.xml"/><Relationship Id="rId305" Type="http://schemas.openxmlformats.org/officeDocument/2006/relationships/header" Target="header147.xml"/><Relationship Id="rId326" Type="http://schemas.openxmlformats.org/officeDocument/2006/relationships/header" Target="header158.xml"/><Relationship Id="rId347" Type="http://schemas.openxmlformats.org/officeDocument/2006/relationships/header" Target="header168.xml"/><Relationship Id="rId44" Type="http://schemas.openxmlformats.org/officeDocument/2006/relationships/footer" Target="footer16.xml"/><Relationship Id="rId65" Type="http://schemas.openxmlformats.org/officeDocument/2006/relationships/footer" Target="footer27.xml"/><Relationship Id="rId86" Type="http://schemas.openxmlformats.org/officeDocument/2006/relationships/footer" Target="footer37.xml"/><Relationship Id="rId130" Type="http://schemas.openxmlformats.org/officeDocument/2006/relationships/header" Target="header60.xml"/><Relationship Id="rId151" Type="http://schemas.openxmlformats.org/officeDocument/2006/relationships/header" Target="header71.xml"/><Relationship Id="rId368" Type="http://schemas.openxmlformats.org/officeDocument/2006/relationships/header" Target="header179.xml"/><Relationship Id="rId172" Type="http://schemas.openxmlformats.org/officeDocument/2006/relationships/header" Target="header81.xml"/><Relationship Id="rId193" Type="http://schemas.openxmlformats.org/officeDocument/2006/relationships/header" Target="header92.xml"/><Relationship Id="rId207" Type="http://schemas.openxmlformats.org/officeDocument/2006/relationships/footer" Target="footer98.xml"/><Relationship Id="rId228" Type="http://schemas.openxmlformats.org/officeDocument/2006/relationships/hyperlink" Target="https://ec.europa.eu/regional_policy/en/information/maps/quality_of_life/" TargetMode="External"/><Relationship Id="rId249" Type="http://schemas.openxmlformats.org/officeDocument/2006/relationships/footer" Target="footer118.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header" Target="header125.xml"/><Relationship Id="rId281" Type="http://schemas.openxmlformats.org/officeDocument/2006/relationships/header" Target="header135.xml"/><Relationship Id="rId316" Type="http://schemas.openxmlformats.org/officeDocument/2006/relationships/footer" Target="footer152.xml"/><Relationship Id="rId337" Type="http://schemas.openxmlformats.org/officeDocument/2006/relationships/header" Target="header163.xml"/><Relationship Id="rId34" Type="http://schemas.openxmlformats.org/officeDocument/2006/relationships/header" Target="header12.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4.xml"/><Relationship Id="rId120" Type="http://schemas.openxmlformats.org/officeDocument/2006/relationships/header" Target="header55.xml"/><Relationship Id="rId141" Type="http://schemas.openxmlformats.org/officeDocument/2006/relationships/footer" Target="footer65.xml"/><Relationship Id="rId358" Type="http://schemas.openxmlformats.org/officeDocument/2006/relationships/footer" Target="footer173.xml"/><Relationship Id="rId379" Type="http://schemas.openxmlformats.org/officeDocument/2006/relationships/header" Target="header184.xml"/><Relationship Id="rId7" Type="http://schemas.openxmlformats.org/officeDocument/2006/relationships/settings" Target="settings.xml"/><Relationship Id="rId162" Type="http://schemas.openxmlformats.org/officeDocument/2006/relationships/header" Target="header76.xml"/><Relationship Id="rId183" Type="http://schemas.openxmlformats.org/officeDocument/2006/relationships/footer" Target="footer86.xml"/><Relationship Id="rId218" Type="http://schemas.openxmlformats.org/officeDocument/2006/relationships/footer" Target="footer103.xml"/><Relationship Id="rId239" Type="http://schemas.openxmlformats.org/officeDocument/2006/relationships/header" Target="header114.xml"/><Relationship Id="rId250" Type="http://schemas.openxmlformats.org/officeDocument/2006/relationships/footer" Target="footer119.xml"/><Relationship Id="rId271" Type="http://schemas.openxmlformats.org/officeDocument/2006/relationships/header" Target="header130.xml"/><Relationship Id="rId292" Type="http://schemas.openxmlformats.org/officeDocument/2006/relationships/footer" Target="footer140.xml"/><Relationship Id="rId306" Type="http://schemas.openxmlformats.org/officeDocument/2006/relationships/footer" Target="footer147.xml"/><Relationship Id="rId24" Type="http://schemas.openxmlformats.org/officeDocument/2006/relationships/header" Target="header7.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footer" Target="footer49.xml"/><Relationship Id="rId131" Type="http://schemas.openxmlformats.org/officeDocument/2006/relationships/footer" Target="footer60.xml"/><Relationship Id="rId327" Type="http://schemas.openxmlformats.org/officeDocument/2006/relationships/footer" Target="footer157.xml"/><Relationship Id="rId348" Type="http://schemas.openxmlformats.org/officeDocument/2006/relationships/footer" Target="footer168.xml"/><Relationship Id="rId369" Type="http://schemas.openxmlformats.org/officeDocument/2006/relationships/footer" Target="footer178.xml"/><Relationship Id="rId152" Type="http://schemas.openxmlformats.org/officeDocument/2006/relationships/footer" Target="footer70.xml"/><Relationship Id="rId173" Type="http://schemas.openxmlformats.org/officeDocument/2006/relationships/footer" Target="footer81.xml"/><Relationship Id="rId194" Type="http://schemas.openxmlformats.org/officeDocument/2006/relationships/footer" Target="footer91.xml"/><Relationship Id="rId208" Type="http://schemas.openxmlformats.org/officeDocument/2006/relationships/header" Target="header99.xml"/><Relationship Id="rId229" Type="http://schemas.openxmlformats.org/officeDocument/2006/relationships/header" Target="header109.xml"/><Relationship Id="rId380" Type="http://schemas.openxmlformats.org/officeDocument/2006/relationships/header" Target="header185.xml"/><Relationship Id="rId240" Type="http://schemas.openxmlformats.org/officeDocument/2006/relationships/footer" Target="footer114.xml"/><Relationship Id="rId261" Type="http://schemas.openxmlformats.org/officeDocument/2006/relationships/footer" Target="footer124.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footer" Target="footer135.xml"/><Relationship Id="rId317" Type="http://schemas.openxmlformats.org/officeDocument/2006/relationships/header" Target="header153.xml"/><Relationship Id="rId338" Type="http://schemas.openxmlformats.org/officeDocument/2006/relationships/header" Target="header164.xml"/><Relationship Id="rId359" Type="http://schemas.openxmlformats.org/officeDocument/2006/relationships/header" Target="header174.xml"/><Relationship Id="rId8" Type="http://schemas.openxmlformats.org/officeDocument/2006/relationships/webSettings" Target="webSettings.xml"/><Relationship Id="rId98" Type="http://schemas.openxmlformats.org/officeDocument/2006/relationships/footer" Target="footer43.xml"/><Relationship Id="rId121" Type="http://schemas.openxmlformats.org/officeDocument/2006/relationships/header" Target="header56.xml"/><Relationship Id="rId142" Type="http://schemas.openxmlformats.org/officeDocument/2006/relationships/header" Target="header66.xml"/><Relationship Id="rId163" Type="http://schemas.openxmlformats.org/officeDocument/2006/relationships/header" Target="header77.xml"/><Relationship Id="rId184" Type="http://schemas.openxmlformats.org/officeDocument/2006/relationships/header" Target="header87.xml"/><Relationship Id="rId219" Type="http://schemas.openxmlformats.org/officeDocument/2006/relationships/footer" Target="footer104.xml"/><Relationship Id="rId370" Type="http://schemas.openxmlformats.org/officeDocument/2006/relationships/footer" Target="footer179.xml"/><Relationship Id="rId230" Type="http://schemas.openxmlformats.org/officeDocument/2006/relationships/header" Target="header110.xml"/><Relationship Id="rId251" Type="http://schemas.openxmlformats.org/officeDocument/2006/relationships/header" Target="header120.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272" Type="http://schemas.openxmlformats.org/officeDocument/2006/relationships/header" Target="header131.xml"/><Relationship Id="rId293" Type="http://schemas.openxmlformats.org/officeDocument/2006/relationships/header" Target="header141.xml"/><Relationship Id="rId307" Type="http://schemas.openxmlformats.org/officeDocument/2006/relationships/header" Target="header148.xml"/><Relationship Id="rId328" Type="http://schemas.openxmlformats.org/officeDocument/2006/relationships/footer" Target="footer158.xml"/><Relationship Id="rId349" Type="http://schemas.openxmlformats.org/officeDocument/2006/relationships/header" Target="header169.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2.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footer" Target="footer174.xml"/><Relationship Id="rId381" Type="http://schemas.openxmlformats.org/officeDocument/2006/relationships/footer" Target="footer184.xml"/><Relationship Id="rId220" Type="http://schemas.openxmlformats.org/officeDocument/2006/relationships/header" Target="header105.xml"/><Relationship Id="rId241" Type="http://schemas.openxmlformats.org/officeDocument/2006/relationships/header" Target="header115.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262" Type="http://schemas.openxmlformats.org/officeDocument/2006/relationships/footer" Target="footer125.xml"/><Relationship Id="rId283" Type="http://schemas.openxmlformats.org/officeDocument/2006/relationships/header" Target="header136.xml"/><Relationship Id="rId318" Type="http://schemas.openxmlformats.org/officeDocument/2006/relationships/footer" Target="footer153.xml"/><Relationship Id="rId339" Type="http://schemas.openxmlformats.org/officeDocument/2006/relationships/footer" Target="footer163.xml"/><Relationship Id="rId78" Type="http://schemas.openxmlformats.org/officeDocument/2006/relationships/header" Target="header3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43" Type="http://schemas.openxmlformats.org/officeDocument/2006/relationships/footer" Target="footer66.xml"/><Relationship Id="rId164" Type="http://schemas.openxmlformats.org/officeDocument/2006/relationships/footer" Target="footer76.xml"/><Relationship Id="rId185" Type="http://schemas.openxmlformats.org/officeDocument/2006/relationships/footer" Target="footer87.xml"/><Relationship Id="rId350" Type="http://schemas.openxmlformats.org/officeDocument/2006/relationships/header" Target="header170.xml"/><Relationship Id="rId371" Type="http://schemas.openxmlformats.org/officeDocument/2006/relationships/header" Target="header180.xml"/><Relationship Id="rId9" Type="http://schemas.openxmlformats.org/officeDocument/2006/relationships/footnotes" Target="footnotes.xml"/><Relationship Id="rId210" Type="http://schemas.openxmlformats.org/officeDocument/2006/relationships/header" Target="header100.xml"/><Relationship Id="rId26" Type="http://schemas.openxmlformats.org/officeDocument/2006/relationships/footer" Target="footer7.xml"/><Relationship Id="rId231" Type="http://schemas.openxmlformats.org/officeDocument/2006/relationships/footer" Target="footer109.xml"/><Relationship Id="rId252" Type="http://schemas.openxmlformats.org/officeDocument/2006/relationships/footer" Target="footer120.xml"/><Relationship Id="rId273" Type="http://schemas.openxmlformats.org/officeDocument/2006/relationships/footer" Target="footer130.xml"/><Relationship Id="rId294" Type="http://schemas.openxmlformats.org/officeDocument/2006/relationships/footer" Target="footer141.xml"/><Relationship Id="rId308" Type="http://schemas.openxmlformats.org/officeDocument/2006/relationships/header" Target="header149.xml"/><Relationship Id="rId329" Type="http://schemas.openxmlformats.org/officeDocument/2006/relationships/header" Target="header159.xml"/><Relationship Id="rId47" Type="http://schemas.openxmlformats.org/officeDocument/2006/relationships/footer" Target="footer18.xml"/><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2.xml"/><Relationship Id="rId154" Type="http://schemas.openxmlformats.org/officeDocument/2006/relationships/header" Target="header72.xml"/><Relationship Id="rId175" Type="http://schemas.openxmlformats.org/officeDocument/2006/relationships/header" Target="header83.xml"/><Relationship Id="rId340" Type="http://schemas.openxmlformats.org/officeDocument/2006/relationships/footer" Target="footer164.xml"/><Relationship Id="rId361" Type="http://schemas.openxmlformats.org/officeDocument/2006/relationships/header" Target="header175.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footer" Target="footer185.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header" Target="header116.xml"/><Relationship Id="rId263" Type="http://schemas.openxmlformats.org/officeDocument/2006/relationships/header" Target="header126.xml"/><Relationship Id="rId284" Type="http://schemas.openxmlformats.org/officeDocument/2006/relationships/header" Target="header137.xml"/><Relationship Id="rId319" Type="http://schemas.openxmlformats.org/officeDocument/2006/relationships/header" Target="header154.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footer" Target="footer159.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69.xml"/><Relationship Id="rId372" Type="http://schemas.openxmlformats.org/officeDocument/2006/relationships/footer" Target="footer180.xml"/><Relationship Id="rId211" Type="http://schemas.openxmlformats.org/officeDocument/2006/relationships/header" Target="header101.xml"/><Relationship Id="rId232" Type="http://schemas.openxmlformats.org/officeDocument/2006/relationships/footer" Target="footer110.xml"/><Relationship Id="rId253" Type="http://schemas.openxmlformats.org/officeDocument/2006/relationships/header" Target="header121.xml"/><Relationship Id="rId274" Type="http://schemas.openxmlformats.org/officeDocument/2006/relationships/footer" Target="footer131.xml"/><Relationship Id="rId295" Type="http://schemas.openxmlformats.org/officeDocument/2006/relationships/header" Target="header142.xml"/><Relationship Id="rId309" Type="http://schemas.openxmlformats.org/officeDocument/2006/relationships/footer" Target="footer148.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header" Target="header155.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header" Target="header165.xml"/><Relationship Id="rId362" Type="http://schemas.openxmlformats.org/officeDocument/2006/relationships/header" Target="header176.xml"/><Relationship Id="rId383" Type="http://schemas.openxmlformats.org/officeDocument/2006/relationships/header" Target="header186.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5.xml"/><Relationship Id="rId264" Type="http://schemas.openxmlformats.org/officeDocument/2006/relationships/footer" Target="footer126.xml"/><Relationship Id="rId285" Type="http://schemas.openxmlformats.org/officeDocument/2006/relationships/footer" Target="footer136.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footer" Target="footer149.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0.xml"/><Relationship Id="rId352" Type="http://schemas.openxmlformats.org/officeDocument/2006/relationships/footer" Target="footer170.xml"/><Relationship Id="rId373" Type="http://schemas.openxmlformats.org/officeDocument/2006/relationships/header" Target="header181.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header" Target="header111.xml"/><Relationship Id="rId254" Type="http://schemas.openxmlformats.org/officeDocument/2006/relationships/header" Target="header122.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header" Target="header132.xml"/><Relationship Id="rId296" Type="http://schemas.openxmlformats.org/officeDocument/2006/relationships/header" Target="header143.xml"/><Relationship Id="rId300" Type="http://schemas.openxmlformats.org/officeDocument/2006/relationships/footer" Target="footer144.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4.xml"/><Relationship Id="rId342" Type="http://schemas.openxmlformats.org/officeDocument/2006/relationships/footer" Target="footer165.xml"/><Relationship Id="rId363" Type="http://schemas.openxmlformats.org/officeDocument/2006/relationships/footer" Target="footer175.xml"/><Relationship Id="rId384" Type="http://schemas.openxmlformats.org/officeDocument/2006/relationships/footer" Target="footer186.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footer" Target="footer116.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7.xml"/><Relationship Id="rId286" Type="http://schemas.openxmlformats.org/officeDocument/2006/relationships/footer" Target="footer137.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header" Target="header150.xml"/><Relationship Id="rId332" Type="http://schemas.openxmlformats.org/officeDocument/2006/relationships/header" Target="header161.xml"/><Relationship Id="rId353" Type="http://schemas.openxmlformats.org/officeDocument/2006/relationships/header" Target="header171.xml"/><Relationship Id="rId374" Type="http://schemas.openxmlformats.org/officeDocument/2006/relationships/header" Target="header182.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footer" Target="foot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1.xml"/><Relationship Id="rId276" Type="http://schemas.openxmlformats.org/officeDocument/2006/relationships/footer" Target="footer132.xml"/><Relationship Id="rId297" Type="http://schemas.openxmlformats.org/officeDocument/2006/relationships/footer" Target="footer142.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5.xml"/><Relationship Id="rId322" Type="http://schemas.openxmlformats.org/officeDocument/2006/relationships/footer" Target="footer155.xml"/><Relationship Id="rId343" Type="http://schemas.openxmlformats.org/officeDocument/2006/relationships/header" Target="header166.xml"/><Relationship Id="rId364" Type="http://schemas.openxmlformats.org/officeDocument/2006/relationships/footer" Target="footer176.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fontTable" Target="fontTable.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header" Target="header117.xml"/><Relationship Id="rId266" Type="http://schemas.openxmlformats.org/officeDocument/2006/relationships/header" Target="header128.xml"/><Relationship Id="rId287" Type="http://schemas.openxmlformats.org/officeDocument/2006/relationships/header" Target="header13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footer" Target="footer150.xml"/><Relationship Id="rId333" Type="http://schemas.openxmlformats.org/officeDocument/2006/relationships/footer" Target="footer160.xml"/><Relationship Id="rId354" Type="http://schemas.openxmlformats.org/officeDocument/2006/relationships/footer" Target="footer171.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1.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2.xml"/><Relationship Id="rId256" Type="http://schemas.openxmlformats.org/officeDocument/2006/relationships/footer" Target="footer122.xml"/><Relationship Id="rId277" Type="http://schemas.openxmlformats.org/officeDocument/2006/relationships/header" Target="header133.xml"/><Relationship Id="rId298" Type="http://schemas.openxmlformats.org/officeDocument/2006/relationships/footer" Target="footer143.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header" Target="header146.xml"/><Relationship Id="rId323" Type="http://schemas.openxmlformats.org/officeDocument/2006/relationships/header" Target="header156.xml"/><Relationship Id="rId344" Type="http://schemas.openxmlformats.org/officeDocument/2006/relationships/header" Target="header167.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header" Target="header177.xml"/><Relationship Id="rId386" Type="http://schemas.openxmlformats.org/officeDocument/2006/relationships/theme" Target="theme/theme1.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footer" Target="footer117.xml"/><Relationship Id="rId267" Type="http://schemas.openxmlformats.org/officeDocument/2006/relationships/footer" Target="footer127.xml"/><Relationship Id="rId288" Type="http://schemas.openxmlformats.org/officeDocument/2006/relationships/footer" Target="footer138.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footer" Target="footer161.xml"/><Relationship Id="rId355" Type="http://schemas.openxmlformats.org/officeDocument/2006/relationships/header" Target="header172.xml"/><Relationship Id="rId376" Type="http://schemas.openxmlformats.org/officeDocument/2006/relationships/footer" Target="footer182.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header" Target="header113.xml"/><Relationship Id="rId257" Type="http://schemas.openxmlformats.org/officeDocument/2006/relationships/header" Target="header123.xml"/><Relationship Id="rId278" Type="http://schemas.openxmlformats.org/officeDocument/2006/relationships/header" Target="header134.xml"/><Relationship Id="rId303" Type="http://schemas.openxmlformats.org/officeDocument/2006/relationships/footer" Target="footer145.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787/b902cc00-en" TargetMode="External"/></Relationships>
</file>

<file path=word/documenttasks/documenttasks1.xml><?xml version="1.0" encoding="utf-8"?>
<t:Tasks xmlns:t="http://schemas.microsoft.com/office/tasks/2019/documenttasks" xmlns:oel="http://schemas.microsoft.com/office/2019/extlst">
  <t:Task id="{E0278741-EE80-450A-A61E-870676106476}">
    <t:Anchor>
      <t:Comment id="1371236538"/>
    </t:Anchor>
    <t:History>
      <t:Event id="{2116ECA3-972C-49C6-A63E-6D72212C9B90}" time="2023-09-27T14:14:01.867Z">
        <t:Attribution userId="S::valentin.ariton@ec.europa.eu::6d9af2a0-0174-4c06-a454-27e8fc70a857" userProvider="AD" userName="ARITON Valentin (SG-RECOVER)"/>
        <t:Anchor>
          <t:Comment id="1371236538"/>
        </t:Anchor>
        <t:Create/>
      </t:Event>
      <t:Event id="{98DEE484-98D7-4335-BC30-229B42DDAF37}" time="2023-09-27T14:14:01.867Z">
        <t:Attribution userId="S::valentin.ariton@ec.europa.eu::6d9af2a0-0174-4c06-a454-27e8fc70a857" userProvider="AD" userName="ARITON Valentin (SG-RECOVER)"/>
        <t:Anchor>
          <t:Comment id="1371236538"/>
        </t:Anchor>
        <t:Assign userId="S::Maud.DUBERNET-DE-BOSCQ@ec.europa.eu::6f24398c-9cd4-4b9d-a26b-52a9913a01c9" userProvider="AD" userName="DUBERNET DE BOSCQ Maud (SG-RECOVER)"/>
      </t:Event>
      <t:Event id="{EC48FCB0-1835-49F9-8127-8C140037730E}" time="2023-09-27T14:14:01.867Z">
        <t:Attribution userId="S::valentin.ariton@ec.europa.eu::6d9af2a0-0174-4c06-a454-27e8fc70a857" userProvider="AD" userName="ARITON Valentin (SG-RECOVER)"/>
        <t:Anchor>
          <t:Comment id="1371236538"/>
        </t:Anchor>
        <t:SetTitle title="@DUBERNET DE BOSCQ Maud (SG-RECOVER) could you pls insert the track changes?"/>
      </t:Event>
      <t:Event id="{CF40A8F2-4E77-4613-83FF-FF6B169F3CE3}" time="2023-09-27T17:08:23.408Z">
        <t:Attribution userId="S::maud.dubernet-de-boscq@ec.europa.eu::6f24398c-9cd4-4b9d-a26b-52a9913a01c9" userProvider="AD" userName="DUBERNET DE BOSCQ Maud (SG-RECOVER)"/>
        <t:Anchor>
          <t:Comment id="784628160"/>
        </t:Anchor>
        <t:UnassignAll/>
      </t:Event>
      <t:Event id="{0E321151-E173-4A5A-85A7-B3743C79D8D2}" time="2023-09-27T17:08:23.408Z">
        <t:Attribution userId="S::maud.dubernet-de-boscq@ec.europa.eu::6f24398c-9cd4-4b9d-a26b-52a9913a01c9" userProvider="AD" userName="DUBERNET DE BOSCQ Maud (SG-RECOVER)"/>
        <t:Anchor>
          <t:Comment id="784628160"/>
        </t:Anchor>
        <t:Assign userId="S::Valentin.ARITON@ec.europa.eu::6d9af2a0-0174-4c06-a454-27e8fc70a857" userProvider="AD" userName="ARITON Valentin (SG-RECOVER)"/>
      </t:Event>
    </t:History>
  </t:Task>
  <t:Task id="{427D7529-6149-4DA9-9CB0-40AA79B772AF}">
    <t:Anchor>
      <t:Comment id="737171517"/>
    </t:Anchor>
    <t:History>
      <t:Event id="{1FF1DFE3-FDBB-43CB-BCE2-27B66C17E09A}" time="2023-10-16T09:49:54.441Z">
        <t:Attribution userId="S::carmen.antonie@ec.europa.eu::608a27e9-1f5a-4e4a-b4b4-e480b5dbb73a" userProvider="AD" userName="ANTONIE Carmen (SG-RECOVER-BUCHAREST)"/>
        <t:Anchor>
          <t:Comment id="2141173647"/>
        </t:Anchor>
        <t:Create/>
      </t:Event>
      <t:Event id="{4481C223-1490-423E-BE29-7147EBE603FA}" time="2023-10-16T09:49:54.441Z">
        <t:Attribution userId="S::carmen.antonie@ec.europa.eu::608a27e9-1f5a-4e4a-b4b4-e480b5dbb73a" userProvider="AD" userName="ANTONIE Carmen (SG-RECOVER-BUCHAREST)"/>
        <t:Anchor>
          <t:Comment id="2141173647"/>
        </t:Anchor>
        <t:Assign userId="S::Maud.DUBERNET-DE-BOSCQ@ec.europa.eu::6f24398c-9cd4-4b9d-a26b-52a9913a01c9" userProvider="AD" userName="DUBERNET DE BOSCQ Maud (SG-RECOVER)"/>
      </t:Event>
      <t:Event id="{1B407AA4-4C0E-4BBE-89F5-D330C3AFA01A}" time="2023-10-16T09:49:54.441Z">
        <t:Attribution userId="S::carmen.antonie@ec.europa.eu::608a27e9-1f5a-4e4a-b4b4-e480b5dbb73a" userProvider="AD" userName="ANTONIE Carmen (SG-RECOVER-BUCHAREST)"/>
        <t:Anchor>
          <t:Comment id="2141173647"/>
        </t:Anchor>
        <t:SetTitle title="@DUBERNET DE BOSCQ Maud (SG-RECOVER) Dear Maud, could you please address Patrick's comment and flag to me when done. We will send CID annex to horizontals today. Tx!"/>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9540217-dd4d-4552-b080-f316f8754f84">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41198b08-d09d-409c-a169-ca1eb44fa897" xsi:nil="true"/>
    <Comment xmlns="69540217-dd4d-4552-b080-f316f8754f84" xsi:nil="true"/>
    <SharedWithUsers xmlns="41198b08-d09d-409c-a169-ca1eb44fa897">
      <UserInfo>
        <DisplayName>ROSSI Luca (SG-RECOVER)</DisplayName>
        <AccountId>660</AccountId>
        <AccountType/>
      </UserInfo>
      <UserInfo>
        <DisplayName>D'SOUZA Patrick (ECFIN)</DisplayName>
        <AccountId>14</AccountId>
        <AccountType/>
      </UserInfo>
      <UserInfo>
        <DisplayName>LUNGU Marius (SG-RECOVER)</DisplayName>
        <AccountId>84</AccountId>
        <AccountType/>
      </UserInfo>
      <UserInfo>
        <DisplayName>ANTONIE Carmen (SG-RECOVER-BUCHAREST)</DisplayName>
        <AccountId>681</AccountId>
        <AccountType/>
      </UserInfo>
      <UserInfo>
        <DisplayName>KANDIAH Alessandro (ECFIN)</DisplayName>
        <AccountId>408</AccountId>
        <AccountType/>
      </UserInfo>
      <UserInfo>
        <DisplayName>HINRICHS Hendrik (ECFIN)</DisplayName>
        <AccountId>215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4E1EBFBC69D4E9F6EFDF5C754386E" ma:contentTypeVersion="20" ma:contentTypeDescription="Create a new document." ma:contentTypeScope="" ma:versionID="1192d3fdae73a9e6e65b6a94463f9ea0">
  <xsd:schema xmlns:xsd="http://www.w3.org/2001/XMLSchema" xmlns:xs="http://www.w3.org/2001/XMLSchema" xmlns:p="http://schemas.microsoft.com/office/2006/metadata/properties" xmlns:ns1="http://schemas.microsoft.com/sharepoint/v3" xmlns:ns2="69540217-dd4d-4552-b080-f316f8754f84" xmlns:ns3="41198b08-d09d-409c-a169-ca1eb44fa897" targetNamespace="http://schemas.microsoft.com/office/2006/metadata/properties" ma:root="true" ma:fieldsID="c8d98292f5a2b4213ed521986426f1a9" ns1:_="" ns2:_="" ns3:_="">
    <xsd:import namespace="http://schemas.microsoft.com/sharepoint/v3"/>
    <xsd:import namespace="69540217-dd4d-4552-b080-f316f8754f84"/>
    <xsd:import namespace="41198b08-d09d-409c-a169-ca1eb44fa8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Comment" minOccurs="0"/>
                <xsd:element ref="ns2:lcf76f155ced4ddcb4097134ff3c332f" minOccurs="0"/>
                <xsd:element ref="ns3:TaxCatchAll"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540217-dd4d-4552-b080-f316f8754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Comment" ma:index="19" nillable="true" ma:displayName="Comment" ma:format="Dropdown" ma:internalName="Comment">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198b08-d09d-409c-a169-ca1eb44fa8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2effd8-73b0-4c61-aa55-fe88c588bc3c}" ma:internalName="TaxCatchAll" ma:showField="CatchAllData" ma:web="41198b08-d09d-409c-a169-ca1eb44fa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D9160-9720-497F-8206-52B74DB3D49D}">
  <ds:schemaRefs>
    <ds:schemaRef ds:uri="http://schemas.microsoft.com/office/2006/metadata/properties"/>
    <ds:schemaRef ds:uri="http://schemas.microsoft.com/office/infopath/2007/PartnerControls"/>
    <ds:schemaRef ds:uri="http://schemas.microsoft.com/sharepoint/v3"/>
    <ds:schemaRef ds:uri="69540217-dd4d-4552-b080-f316f8754f84"/>
    <ds:schemaRef ds:uri="41198b08-d09d-409c-a169-ca1eb44fa897"/>
  </ds:schemaRefs>
</ds:datastoreItem>
</file>

<file path=customXml/itemProps2.xml><?xml version="1.0" encoding="utf-8"?>
<ds:datastoreItem xmlns:ds="http://schemas.openxmlformats.org/officeDocument/2006/customXml" ds:itemID="{32AA909E-3661-4B74-9607-A943CD7AD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540217-dd4d-4552-b080-f316f8754f84"/>
    <ds:schemaRef ds:uri="41198b08-d09d-409c-a169-ca1eb44fa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008E5-CEC7-4597-BE04-33C239D957A9}">
  <ds:schemaRefs>
    <ds:schemaRef ds:uri="http://schemas.microsoft.com/sharepoint/v3/contenttype/forms"/>
  </ds:schemaRefs>
</ds:datastoreItem>
</file>

<file path=customXml/itemProps4.xml><?xml version="1.0" encoding="utf-8"?>
<ds:datastoreItem xmlns:ds="http://schemas.openxmlformats.org/officeDocument/2006/customXml" ds:itemID="{CAF20E41-3B8A-42F2-AA4A-983D5FBE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18</Pages>
  <Words>153131</Words>
  <Characters>872853</Characters>
  <Application>Microsoft Office Word</Application>
  <DocSecurity>0</DocSecurity>
  <Lines>7273</Lines>
  <Paragraphs>2047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1023937</CharactersWithSpaces>
  <SharedDoc>false</SharedDoc>
  <HLinks>
    <vt:vector size="12" baseType="variant">
      <vt:variant>
        <vt:i4>4784253</vt:i4>
      </vt:variant>
      <vt:variant>
        <vt:i4>0</vt:i4>
      </vt:variant>
      <vt:variant>
        <vt:i4>0</vt:i4>
      </vt:variant>
      <vt:variant>
        <vt:i4>5</vt:i4>
      </vt:variant>
      <vt:variant>
        <vt:lpwstr>https://ec.europa.eu/regional_policy/en/information/maps/quality_of_life/</vt:lpwstr>
      </vt:variant>
      <vt:variant>
        <vt:lpwstr/>
      </vt:variant>
      <vt:variant>
        <vt:i4>2490486</vt:i4>
      </vt:variant>
      <vt:variant>
        <vt:i4>0</vt:i4>
      </vt:variant>
      <vt:variant>
        <vt:i4>0</vt:i4>
      </vt:variant>
      <vt:variant>
        <vt:i4>5</vt:i4>
      </vt:variant>
      <vt:variant>
        <vt:lpwstr>https://doi.org/10.1787/b902cc00-en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HINRICHS Hendrik (ECFIN)</dc:creator>
  <cp:keywords/>
  <dc:description/>
  <cp:lastModifiedBy>EC CoDe</cp:lastModifiedBy>
  <cp:revision>221</cp:revision>
  <dcterms:created xsi:type="dcterms:W3CDTF">2023-11-16T14:16:00Z</dcterms:created>
  <dcterms:modified xsi:type="dcterms:W3CDTF">2023-11-28T11:10:00Z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0x0101001904E1EBFBC69D4E9F6EFDF5C754386E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2023-08-31T12:15:55Z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d871e515-f07d-43c1-bb91-ff64e4ccc248</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DocStatus">
    <vt:lpwstr>Green</vt:lpwstr>
  </property>
  <property fmtid="{D5CDD505-2E9C-101B-9397-08002B2CF9AE}" pid="18" name="CPTemplateID">
    <vt:lpwstr>CP-036</vt:lpwstr>
  </property>
  <property fmtid="{D5CDD505-2E9C-101B-9397-08002B2CF9AE}" pid="19" name="Last edited using">
    <vt:lpwstr>LW 9.0, Build 20230317</vt:lpwstr>
  </property>
  <property fmtid="{D5CDD505-2E9C-101B-9397-08002B2CF9AE}" pid="20" name="Created using">
    <vt:lpwstr>LW 9.0, Build 20230317</vt:lpwstr>
  </property>
</Properties>
</file>